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81_4112583830"/>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83_4112583830"/>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85_4112583830"/>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87_4112583830"/>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81_4112583830">
            <w:r>
              <w:rPr>
                <w:webHidden/>
                <w:rStyle w:val="IndexLink"/>
              </w:rPr>
              <w:t>Remerciements</w:t>
              <w:tab/>
              <w:t>2</w:t>
            </w:r>
          </w:hyperlink>
        </w:p>
        <w:p>
          <w:pPr>
            <w:pStyle w:val="TOC1"/>
            <w:tabs>
              <w:tab w:val="clear" w:pos="9026"/>
              <w:tab w:val="right" w:pos="9025" w:leader="dot"/>
            </w:tabs>
            <w:rPr/>
          </w:pPr>
          <w:hyperlink w:anchor="__RefHeading___Toc20083_4112583830">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85_4112583830">
            <w:r>
              <w:rPr>
                <w:webHidden/>
                <w:rStyle w:val="IndexLink"/>
              </w:rPr>
              <w:t>Résumé</w:t>
              <w:tab/>
              <w:t>4</w:t>
            </w:r>
          </w:hyperlink>
        </w:p>
        <w:p>
          <w:pPr>
            <w:pStyle w:val="TOC1"/>
            <w:tabs>
              <w:tab w:val="clear" w:pos="9026"/>
              <w:tab w:val="right" w:pos="9025" w:leader="dot"/>
            </w:tabs>
            <w:rPr/>
          </w:pPr>
          <w:hyperlink w:anchor="__RefHeading___Toc20087_4112583830">
            <w:r>
              <w:rPr>
                <w:webHidden/>
                <w:rStyle w:val="IndexLink"/>
              </w:rPr>
              <w:t>Sommaire</w:t>
              <w:tab/>
              <w:t>5</w:t>
            </w:r>
          </w:hyperlink>
        </w:p>
        <w:p>
          <w:pPr>
            <w:pStyle w:val="TOC1"/>
            <w:tabs>
              <w:tab w:val="clear" w:pos="9026"/>
              <w:tab w:val="right" w:pos="9025" w:leader="dot"/>
            </w:tabs>
            <w:rPr/>
          </w:pPr>
          <w:hyperlink w:anchor="__RefHeading___Toc20089_4112583830">
            <w:r>
              <w:rPr>
                <w:webHidden/>
                <w:rStyle w:val="IndexLink"/>
              </w:rPr>
              <w:t>Liste des tableaux</w:t>
              <w:tab/>
              <w:t>9</w:t>
            </w:r>
          </w:hyperlink>
        </w:p>
        <w:p>
          <w:pPr>
            <w:pStyle w:val="TOC1"/>
            <w:tabs>
              <w:tab w:val="clear" w:pos="9026"/>
              <w:tab w:val="right" w:pos="9025" w:leader="dot"/>
            </w:tabs>
            <w:rPr/>
          </w:pPr>
          <w:hyperlink w:anchor="__RefHeading___Toc20091_4112583830">
            <w:r>
              <w:rPr>
                <w:webHidden/>
                <w:rStyle w:val="IndexLink"/>
              </w:rPr>
              <w:t>Liste des figures</w:t>
              <w:tab/>
              <w:t>10</w:t>
            </w:r>
          </w:hyperlink>
        </w:p>
        <w:p>
          <w:pPr>
            <w:pStyle w:val="TOC1"/>
            <w:tabs>
              <w:tab w:val="clear" w:pos="9026"/>
              <w:tab w:val="right" w:pos="9025" w:leader="dot"/>
            </w:tabs>
            <w:rPr/>
          </w:pPr>
          <w:hyperlink w:anchor="__RefHeading___Toc20093_4112583830">
            <w:r>
              <w:rPr>
                <w:webHidden/>
                <w:rStyle w:val="IndexLink"/>
              </w:rPr>
              <w:t>Liste des abréviations</w:t>
              <w:tab/>
              <w:t>11</w:t>
            </w:r>
          </w:hyperlink>
        </w:p>
        <w:p>
          <w:pPr>
            <w:pStyle w:val="TOC1"/>
            <w:tabs>
              <w:tab w:val="clear" w:pos="9026"/>
              <w:tab w:val="right" w:pos="9025" w:leader="dot"/>
            </w:tabs>
            <w:rPr/>
          </w:pPr>
          <w:hyperlink w:anchor="__RefHeading___Toc20095_4112583830">
            <w:r>
              <w:rPr>
                <w:webHidden/>
                <w:rStyle w:val="IndexLink"/>
              </w:rPr>
              <w:t>Glossaire</w:t>
              <w:tab/>
              <w:t>11</w:t>
            </w:r>
          </w:hyperlink>
        </w:p>
        <w:p>
          <w:pPr>
            <w:pStyle w:val="TOC1"/>
            <w:tabs>
              <w:tab w:val="clear" w:pos="9026"/>
              <w:tab w:val="right" w:pos="9025" w:leader="dot"/>
            </w:tabs>
            <w:rPr/>
          </w:pPr>
          <w:hyperlink w:anchor="__RefHeading___Toc20097_4112583830">
            <w:r>
              <w:rPr>
                <w:webHidden/>
                <w:rStyle w:val="IndexLink"/>
              </w:rPr>
              <w:t>Introduction générale</w:t>
              <w:tab/>
              <w:t>13</w:t>
            </w:r>
          </w:hyperlink>
        </w:p>
        <w:p>
          <w:pPr>
            <w:pStyle w:val="TOC2"/>
            <w:tabs>
              <w:tab w:val="clear" w:pos="8743"/>
              <w:tab w:val="right" w:pos="9025" w:leader="dot"/>
            </w:tabs>
            <w:rPr/>
          </w:pPr>
          <w:hyperlink w:anchor="__RefHeading___Toc20099_4112583830">
            <w:r>
              <w:rPr>
                <w:webHidden/>
                <w:rStyle w:val="IndexLink"/>
              </w:rPr>
              <w:t>Contexte</w:t>
              <w:tab/>
              <w:t>13</w:t>
            </w:r>
          </w:hyperlink>
        </w:p>
        <w:p>
          <w:pPr>
            <w:pStyle w:val="TOC2"/>
            <w:tabs>
              <w:tab w:val="clear" w:pos="8743"/>
              <w:tab w:val="right" w:pos="9025" w:leader="dot"/>
            </w:tabs>
            <w:rPr/>
          </w:pPr>
          <w:hyperlink w:anchor="__RefHeading___Toc20101_4112583830">
            <w:r>
              <w:rPr>
                <w:webHidden/>
                <w:rStyle w:val="IndexLink"/>
              </w:rPr>
              <w:t>Problématique</w:t>
              <w:tab/>
              <w:t>13</w:t>
            </w:r>
          </w:hyperlink>
        </w:p>
        <w:p>
          <w:pPr>
            <w:pStyle w:val="TOC2"/>
            <w:tabs>
              <w:tab w:val="clear" w:pos="8743"/>
              <w:tab w:val="right" w:pos="9025" w:leader="dot"/>
            </w:tabs>
            <w:rPr/>
          </w:pPr>
          <w:hyperlink w:anchor="__RefHeading___Toc20103_4112583830">
            <w:r>
              <w:rPr>
                <w:webHidden/>
                <w:rStyle w:val="IndexLink"/>
              </w:rPr>
              <w:t>Objectif et démarche</w:t>
              <w:tab/>
              <w:t>14</w:t>
            </w:r>
          </w:hyperlink>
        </w:p>
        <w:p>
          <w:pPr>
            <w:pStyle w:val="TOC2"/>
            <w:tabs>
              <w:tab w:val="clear" w:pos="8743"/>
              <w:tab w:val="right" w:pos="9025" w:leader="dot"/>
            </w:tabs>
            <w:rPr/>
          </w:pPr>
          <w:hyperlink w:anchor="__RefHeading___Toc20105_4112583830">
            <w:r>
              <w:rPr>
                <w:webHidden/>
                <w:rStyle w:val="IndexLink"/>
              </w:rPr>
              <w:t>Apports</w:t>
              <w:tab/>
              <w:t>14</w:t>
            </w:r>
          </w:hyperlink>
        </w:p>
        <w:p>
          <w:pPr>
            <w:pStyle w:val="TOC2"/>
            <w:tabs>
              <w:tab w:val="clear" w:pos="8743"/>
              <w:tab w:val="right" w:pos="9025" w:leader="dot"/>
            </w:tabs>
            <w:rPr/>
          </w:pPr>
          <w:hyperlink w:anchor="__RefHeading___Toc20107_4112583830">
            <w:r>
              <w:rPr>
                <w:webHidden/>
                <w:rStyle w:val="IndexLink"/>
              </w:rPr>
              <w:t>Plan du mémoire</w:t>
              <w:tab/>
              <w:t>15</w:t>
            </w:r>
          </w:hyperlink>
        </w:p>
        <w:p>
          <w:pPr>
            <w:pStyle w:val="TOC1"/>
            <w:tabs>
              <w:tab w:val="clear" w:pos="9026"/>
              <w:tab w:val="right" w:pos="9025" w:leader="dot"/>
            </w:tabs>
            <w:rPr/>
          </w:pPr>
          <w:hyperlink w:anchor="__RefHeading___Toc20109_4112583830">
            <w:r>
              <w:rPr>
                <w:webHidden/>
                <w:rStyle w:val="IndexLink"/>
              </w:rPr>
              <w:t>Chapitre 1 – État de l’art</w:t>
              <w:tab/>
              <w:t>16</w:t>
            </w:r>
          </w:hyperlink>
        </w:p>
        <w:p>
          <w:pPr>
            <w:pStyle w:val="TOC2"/>
            <w:tabs>
              <w:tab w:val="clear" w:pos="8743"/>
              <w:tab w:val="right" w:pos="9025" w:leader="dot"/>
            </w:tabs>
            <w:rPr/>
          </w:pPr>
          <w:hyperlink w:anchor="__RefHeading___Toc20111_4112583830">
            <w:r>
              <w:rPr>
                <w:webHidden/>
                <w:rStyle w:val="IndexLink"/>
              </w:rPr>
              <w:t>Introduction du chapitre</w:t>
              <w:tab/>
              <w:t>16</w:t>
            </w:r>
          </w:hyperlink>
        </w:p>
        <w:p>
          <w:pPr>
            <w:pStyle w:val="TOC2"/>
            <w:tabs>
              <w:tab w:val="clear" w:pos="8743"/>
              <w:tab w:val="right" w:pos="9025" w:leader="dot"/>
            </w:tabs>
            <w:rPr/>
          </w:pPr>
          <w:hyperlink w:anchor="__RefHeading___Toc20113_4112583830">
            <w:r>
              <w:rPr>
                <w:webHidden/>
                <w:rStyle w:val="IndexLink"/>
              </w:rPr>
              <w:t>1.1 Cadre théorique : ce que l’on peut attendre</w:t>
              <w:tab/>
              <w:t>17</w:t>
            </w:r>
          </w:hyperlink>
        </w:p>
        <w:p>
          <w:pPr>
            <w:pStyle w:val="TOC2"/>
            <w:tabs>
              <w:tab w:val="clear" w:pos="8743"/>
              <w:tab w:val="right" w:pos="9025" w:leader="dot"/>
            </w:tabs>
            <w:rPr/>
          </w:pPr>
          <w:hyperlink w:anchor="__RefHeading___Toc20115_4112583830">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117_4112583830">
            <w:r>
              <w:rPr>
                <w:webHidden/>
                <w:rStyle w:val="IndexLink"/>
              </w:rPr>
              <w:t>1.3 Machine learning et prévision des spreads</w:t>
              <w:tab/>
              <w:t>21</w:t>
            </w:r>
          </w:hyperlink>
        </w:p>
        <w:p>
          <w:pPr>
            <w:pStyle w:val="TOC2"/>
            <w:tabs>
              <w:tab w:val="clear" w:pos="8743"/>
              <w:tab w:val="right" w:pos="9025" w:leader="dot"/>
            </w:tabs>
            <w:rPr/>
          </w:pPr>
          <w:hyperlink w:anchor="__RefHeading___Toc20119_4112583830">
            <w:r>
              <w:rPr>
                <w:webHidden/>
                <w:rStyle w:val="IndexLink"/>
              </w:rPr>
              <w:t>1.4 Données ouvertes et précautions de méthode</w:t>
              <w:tab/>
              <w:t>23</w:t>
            </w:r>
          </w:hyperlink>
        </w:p>
        <w:p>
          <w:pPr>
            <w:pStyle w:val="TOC2"/>
            <w:tabs>
              <w:tab w:val="clear" w:pos="8743"/>
              <w:tab w:val="right" w:pos="9025" w:leader="dot"/>
            </w:tabs>
            <w:rPr/>
          </w:pPr>
          <w:hyperlink w:anchor="__RefHeading___Toc20121_4112583830">
            <w:r>
              <w:rPr>
                <w:webHidden/>
                <w:rStyle w:val="IndexLink"/>
              </w:rPr>
              <w:t>1.5 Synthèse et positionnement du mémoire</w:t>
              <w:tab/>
              <w:t>25</w:t>
            </w:r>
          </w:hyperlink>
        </w:p>
        <w:p>
          <w:pPr>
            <w:pStyle w:val="TOC1"/>
            <w:tabs>
              <w:tab w:val="clear" w:pos="9026"/>
              <w:tab w:val="right" w:pos="9025" w:leader="dot"/>
            </w:tabs>
            <w:rPr/>
          </w:pPr>
          <w:hyperlink w:anchor="__RefHeading___Toc20123_4112583830">
            <w:r>
              <w:rPr>
                <w:webHidden/>
                <w:rStyle w:val="IndexLink"/>
              </w:rPr>
              <w:t>Chapitre 2 – Données et méthodologie</w:t>
              <w:tab/>
              <w:t>29</w:t>
            </w:r>
          </w:hyperlink>
        </w:p>
        <w:p>
          <w:pPr>
            <w:pStyle w:val="TOC2"/>
            <w:tabs>
              <w:tab w:val="clear" w:pos="8743"/>
              <w:tab w:val="right" w:pos="9025" w:leader="dot"/>
            </w:tabs>
            <w:rPr/>
          </w:pPr>
          <w:hyperlink w:anchor="__RefHeading___Toc20125_4112583830">
            <w:r>
              <w:rPr>
                <w:webHidden/>
                <w:rStyle w:val="IndexLink"/>
              </w:rPr>
              <w:t>Introduction du chapitre</w:t>
              <w:tab/>
              <w:t>29</w:t>
            </w:r>
          </w:hyperlink>
        </w:p>
        <w:p>
          <w:pPr>
            <w:pStyle w:val="TOC2"/>
            <w:tabs>
              <w:tab w:val="clear" w:pos="8743"/>
              <w:tab w:val="right" w:pos="9025" w:leader="dot"/>
            </w:tabs>
            <w:rPr/>
          </w:pPr>
          <w:hyperlink w:anchor="__RefHeading___Toc20127_4112583830">
            <w:r>
              <w:rPr>
                <w:webHidden/>
                <w:rStyle w:val="IndexLink"/>
              </w:rPr>
              <w:t>2.1 Sources des données</w:t>
              <w:tab/>
              <w:t>29</w:t>
            </w:r>
          </w:hyperlink>
        </w:p>
        <w:p>
          <w:pPr>
            <w:pStyle w:val="TOC2"/>
            <w:tabs>
              <w:tab w:val="clear" w:pos="8743"/>
              <w:tab w:val="right" w:pos="9025" w:leader="dot"/>
            </w:tabs>
            <w:rPr/>
          </w:pPr>
          <w:hyperlink w:anchor="__RefHeading___Toc20129_4112583830">
            <w:r>
              <w:rPr>
                <w:webHidden/>
                <w:rStyle w:val="IndexLink"/>
              </w:rPr>
              <w:t>2.2 Construction du jeu de données</w:t>
              <w:tab/>
              <w:t>30</w:t>
            </w:r>
          </w:hyperlink>
        </w:p>
        <w:p>
          <w:pPr>
            <w:pStyle w:val="TOC2"/>
            <w:tabs>
              <w:tab w:val="clear" w:pos="8743"/>
              <w:tab w:val="right" w:pos="9025" w:leader="dot"/>
            </w:tabs>
            <w:rPr/>
          </w:pPr>
          <w:hyperlink w:anchor="__RefHeading___Toc20131_4112583830">
            <w:r>
              <w:rPr>
                <w:webHidden/>
                <w:rStyle w:val="IndexLink"/>
              </w:rPr>
              <w:t>2.3 Variables cibles et stationnarité</w:t>
              <w:tab/>
              <w:t>34</w:t>
            </w:r>
          </w:hyperlink>
        </w:p>
        <w:p>
          <w:pPr>
            <w:pStyle w:val="TOC2"/>
            <w:tabs>
              <w:tab w:val="clear" w:pos="8743"/>
              <w:tab w:val="right" w:pos="9025" w:leader="dot"/>
            </w:tabs>
            <w:rPr/>
          </w:pPr>
          <w:hyperlink w:anchor="__RefHeading___Toc20133_4112583830">
            <w:r>
              <w:rPr>
                <w:webHidden/>
                <w:rStyle w:val="IndexLink"/>
              </w:rPr>
              <w:t>2.4 Variables explicatives</w:t>
              <w:tab/>
              <w:t>35</w:t>
            </w:r>
          </w:hyperlink>
        </w:p>
        <w:p>
          <w:pPr>
            <w:pStyle w:val="TOC2"/>
            <w:tabs>
              <w:tab w:val="clear" w:pos="8743"/>
              <w:tab w:val="right" w:pos="9025" w:leader="dot"/>
            </w:tabs>
            <w:rPr/>
          </w:pPr>
          <w:hyperlink w:anchor="__RefHeading___Toc20135_4112583830">
            <w:r>
              <w:rPr>
                <w:webHidden/>
                <w:rStyle w:val="IndexLink"/>
              </w:rPr>
              <w:t>2.5 Modèles retenus</w:t>
              <w:tab/>
              <w:t>36</w:t>
            </w:r>
          </w:hyperlink>
        </w:p>
        <w:p>
          <w:pPr>
            <w:pStyle w:val="TOC2"/>
            <w:tabs>
              <w:tab w:val="clear" w:pos="8743"/>
              <w:tab w:val="right" w:pos="9025" w:leader="dot"/>
            </w:tabs>
            <w:rPr/>
          </w:pPr>
          <w:hyperlink w:anchor="__RefHeading___Toc20137_4112583830">
            <w:r>
              <w:rPr>
                <w:webHidden/>
                <w:rStyle w:val="IndexLink"/>
              </w:rPr>
              <w:t>2.6 Protocole d’évaluation</w:t>
              <w:tab/>
              <w:t>38</w:t>
            </w:r>
          </w:hyperlink>
        </w:p>
        <w:p>
          <w:pPr>
            <w:pStyle w:val="TOC2"/>
            <w:tabs>
              <w:tab w:val="clear" w:pos="8743"/>
              <w:tab w:val="right" w:pos="9025" w:leader="dot"/>
            </w:tabs>
            <w:rPr/>
          </w:pPr>
          <w:hyperlink w:anchor="__RefHeading___Toc20139_4112583830">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141_4112583830">
            <w:r>
              <w:rPr>
                <w:webHidden/>
                <w:rStyle w:val="IndexLink"/>
              </w:rPr>
              <w:t>2.8 Considérations éthiques</w:t>
              <w:tab/>
              <w:t>44</w:t>
            </w:r>
          </w:hyperlink>
        </w:p>
        <w:p>
          <w:pPr>
            <w:pStyle w:val="TOC1"/>
            <w:tabs>
              <w:tab w:val="clear" w:pos="9026"/>
              <w:tab w:val="right" w:pos="9025" w:leader="dot"/>
            </w:tabs>
            <w:rPr/>
          </w:pPr>
          <w:hyperlink w:anchor="__RefHeading___Toc20143_4112583830">
            <w:r>
              <w:rPr>
                <w:webHidden/>
                <w:rStyle w:val="IndexLink"/>
              </w:rPr>
              <w:t>Chapitre 3 – Résultats</w:t>
              <w:tab/>
              <w:t>46</w:t>
            </w:r>
          </w:hyperlink>
        </w:p>
        <w:p>
          <w:pPr>
            <w:pStyle w:val="TOC2"/>
            <w:tabs>
              <w:tab w:val="clear" w:pos="8743"/>
              <w:tab w:val="right" w:pos="9025" w:leader="dot"/>
            </w:tabs>
            <w:rPr/>
          </w:pPr>
          <w:hyperlink w:anchor="__RefHeading___Toc20145_4112583830">
            <w:r>
              <w:rPr>
                <w:webHidden/>
                <w:rStyle w:val="IndexLink"/>
              </w:rPr>
              <w:t>3.1 Statistiques descriptives</w:t>
              <w:tab/>
              <w:t>46</w:t>
            </w:r>
          </w:hyperlink>
        </w:p>
        <w:p>
          <w:pPr>
            <w:pStyle w:val="TOC2"/>
            <w:tabs>
              <w:tab w:val="clear" w:pos="8743"/>
              <w:tab w:val="right" w:pos="9025" w:leader="dot"/>
            </w:tabs>
            <w:rPr/>
          </w:pPr>
          <w:hyperlink w:anchor="__RefHeading___Toc20147_4112583830">
            <w:r>
              <w:rPr>
                <w:webHidden/>
                <w:rStyle w:val="IndexLink"/>
              </w:rPr>
              <w:t>3.2 Modèles principaux</w:t>
              <w:tab/>
              <w:t>47</w:t>
            </w:r>
          </w:hyperlink>
        </w:p>
        <w:p>
          <w:pPr>
            <w:pStyle w:val="TOC2"/>
            <w:tabs>
              <w:tab w:val="clear" w:pos="8743"/>
              <w:tab w:val="right" w:pos="9025" w:leader="dot"/>
            </w:tabs>
            <w:rPr/>
          </w:pPr>
          <w:hyperlink w:anchor="__RefHeading___Toc20149_4112583830">
            <w:r>
              <w:rPr>
                <w:webHidden/>
                <w:rStyle w:val="IndexLink"/>
              </w:rPr>
              <w:t>3.3 Solidité des résultats</w:t>
              <w:tab/>
              <w:t>49</w:t>
            </w:r>
          </w:hyperlink>
        </w:p>
        <w:p>
          <w:pPr>
            <w:pStyle w:val="TOC2"/>
            <w:tabs>
              <w:tab w:val="clear" w:pos="8743"/>
              <w:tab w:val="right" w:pos="9025" w:leader="dot"/>
            </w:tabs>
            <w:rPr/>
          </w:pPr>
          <w:hyperlink w:anchor="__RefHeading___Toc20151_4112583830">
            <w:r>
              <w:rPr>
                <w:webHidden/>
                <w:rStyle w:val="IndexLink"/>
              </w:rPr>
              <w:t>3.4 Importance des variables</w:t>
              <w:tab/>
              <w:t>50</w:t>
            </w:r>
          </w:hyperlink>
        </w:p>
        <w:p>
          <w:pPr>
            <w:pStyle w:val="TOC2"/>
            <w:tabs>
              <w:tab w:val="clear" w:pos="8743"/>
              <w:tab w:val="right" w:pos="9025" w:leader="dot"/>
            </w:tabs>
            <w:rPr/>
          </w:pPr>
          <w:hyperlink w:anchor="__RefHeading___Toc20153_4112583830">
            <w:r>
              <w:rPr>
                <w:webHidden/>
                <w:rStyle w:val="IndexLink"/>
              </w:rPr>
              <w:t>3.5 Extensions sur les données françaises</w:t>
              <w:tab/>
              <w:t>51</w:t>
            </w:r>
          </w:hyperlink>
        </w:p>
        <w:p>
          <w:pPr>
            <w:pStyle w:val="TOC2"/>
            <w:tabs>
              <w:tab w:val="clear" w:pos="8743"/>
              <w:tab w:val="right" w:pos="9025" w:leader="dot"/>
            </w:tabs>
            <w:rPr/>
          </w:pPr>
          <w:hyperlink w:anchor="__RefHeading___Toc20155_4112583830">
            <w:r>
              <w:rPr>
                <w:webHidden/>
                <w:rStyle w:val="IndexLink"/>
              </w:rPr>
              <w:t>3.6 Panel européen et marche aléatoire (E15 à E18)</w:t>
              <w:tab/>
              <w:t>54</w:t>
            </w:r>
          </w:hyperlink>
        </w:p>
        <w:p>
          <w:pPr>
            <w:pStyle w:val="TOC2"/>
            <w:tabs>
              <w:tab w:val="clear" w:pos="8743"/>
              <w:tab w:val="right" w:pos="9025" w:leader="dot"/>
            </w:tabs>
            <w:rPr/>
          </w:pPr>
          <w:hyperlink w:anchor="__RefHeading___Toc20157_4112583830">
            <w:r>
              <w:rPr>
                <w:webHidden/>
                <w:rStyle w:val="IndexLink"/>
              </w:rPr>
              <w:t>3.7 Synthèse : état des hypothèses</w:t>
              <w:tab/>
              <w:t>55</w:t>
            </w:r>
          </w:hyperlink>
        </w:p>
        <w:p>
          <w:pPr>
            <w:pStyle w:val="TOC1"/>
            <w:tabs>
              <w:tab w:val="clear" w:pos="9026"/>
              <w:tab w:val="right" w:pos="9025" w:leader="dot"/>
            </w:tabs>
            <w:rPr/>
          </w:pPr>
          <w:hyperlink w:anchor="__RefHeading___Toc20159_4112583830">
            <w:r>
              <w:rPr>
                <w:webHidden/>
                <w:rStyle w:val="IndexLink"/>
              </w:rPr>
              <w:t>Chapitre 4 – Discussion</w:t>
              <w:tab/>
              <w:t>56</w:t>
            </w:r>
          </w:hyperlink>
        </w:p>
        <w:p>
          <w:pPr>
            <w:pStyle w:val="TOC2"/>
            <w:tabs>
              <w:tab w:val="clear" w:pos="8743"/>
              <w:tab w:val="right" w:pos="9025" w:leader="dot"/>
            </w:tabs>
            <w:rPr/>
          </w:pPr>
          <w:hyperlink w:anchor="__RefHeading___Toc20161_4112583830">
            <w:r>
              <w:rPr>
                <w:webHidden/>
                <w:rStyle w:val="IndexLink"/>
              </w:rPr>
              <w:t>4.1 Réponse à la problématique</w:t>
              <w:tab/>
              <w:t>56</w:t>
            </w:r>
          </w:hyperlink>
        </w:p>
        <w:p>
          <w:pPr>
            <w:pStyle w:val="TOC2"/>
            <w:tabs>
              <w:tab w:val="clear" w:pos="8743"/>
              <w:tab w:val="right" w:pos="9025" w:leader="dot"/>
            </w:tabs>
            <w:rPr/>
          </w:pPr>
          <w:hyperlink w:anchor="__RefHeading___Toc20163_4112583830">
            <w:r>
              <w:rPr>
                <w:webHidden/>
                <w:rStyle w:val="IndexLink"/>
              </w:rPr>
              <w:t>4.2 Pourquoi les dépenses n’aident pas : trois pistes</w:t>
              <w:tab/>
              <w:t>56</w:t>
            </w:r>
          </w:hyperlink>
        </w:p>
        <w:p>
          <w:pPr>
            <w:pStyle w:val="TOC2"/>
            <w:tabs>
              <w:tab w:val="clear" w:pos="8743"/>
              <w:tab w:val="right" w:pos="9025" w:leader="dot"/>
            </w:tabs>
            <w:rPr/>
          </w:pPr>
          <w:hyperlink w:anchor="__RefHeading___Toc20165_4112583830">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67_4112583830">
            <w:r>
              <w:rPr>
                <w:webHidden/>
                <w:rStyle w:val="IndexLink"/>
              </w:rPr>
              <w:t>4.4 Retour sur les modèles</w:t>
              <w:tab/>
              <w:t>59</w:t>
            </w:r>
          </w:hyperlink>
        </w:p>
        <w:p>
          <w:pPr>
            <w:pStyle w:val="TOC2"/>
            <w:tabs>
              <w:tab w:val="clear" w:pos="8743"/>
              <w:tab w:val="right" w:pos="9025" w:leader="dot"/>
            </w:tabs>
            <w:rPr/>
          </w:pPr>
          <w:hyperlink w:anchor="__RefHeading___Toc20169_4112583830">
            <w:r>
              <w:rPr>
                <w:webHidden/>
                <w:rStyle w:val="IndexLink"/>
              </w:rPr>
              <w:t>4.5 Comparaison avec la littérature</w:t>
              <w:tab/>
              <w:t>60</w:t>
            </w:r>
          </w:hyperlink>
        </w:p>
        <w:p>
          <w:pPr>
            <w:pStyle w:val="TOC2"/>
            <w:tabs>
              <w:tab w:val="clear" w:pos="8743"/>
              <w:tab w:val="right" w:pos="9025" w:leader="dot"/>
            </w:tabs>
            <w:rPr/>
          </w:pPr>
          <w:hyperlink w:anchor="__RefHeading___Toc20171_4112583830">
            <w:r>
              <w:rPr>
                <w:webHidden/>
                <w:rStyle w:val="IndexLink"/>
              </w:rPr>
              <w:t>4.6 Implications</w:t>
              <w:tab/>
              <w:t>62</w:t>
            </w:r>
          </w:hyperlink>
        </w:p>
        <w:p>
          <w:pPr>
            <w:pStyle w:val="TOC2"/>
            <w:tabs>
              <w:tab w:val="clear" w:pos="8743"/>
              <w:tab w:val="right" w:pos="9025" w:leader="dot"/>
            </w:tabs>
            <w:rPr/>
          </w:pPr>
          <w:hyperlink w:anchor="__RefHeading___Toc20173_4112583830">
            <w:r>
              <w:rPr>
                <w:webHidden/>
                <w:rStyle w:val="IndexLink"/>
              </w:rPr>
              <w:t>4.7 Limites</w:t>
              <w:tab/>
              <w:t>63</w:t>
            </w:r>
          </w:hyperlink>
        </w:p>
        <w:p>
          <w:pPr>
            <w:pStyle w:val="TOC2"/>
            <w:tabs>
              <w:tab w:val="clear" w:pos="8743"/>
              <w:tab w:val="right" w:pos="9025" w:leader="dot"/>
            </w:tabs>
            <w:rPr/>
          </w:pPr>
          <w:hyperlink w:anchor="__RefHeading___Toc20175_4112583830">
            <w:r>
              <w:rPr>
                <w:webHidden/>
                <w:rStyle w:val="IndexLink"/>
              </w:rPr>
              <w:t>4.8 Recherches futures</w:t>
              <w:tab/>
              <w:t>64</w:t>
            </w:r>
          </w:hyperlink>
        </w:p>
        <w:p>
          <w:pPr>
            <w:pStyle w:val="TOC1"/>
            <w:tabs>
              <w:tab w:val="clear" w:pos="9026"/>
              <w:tab w:val="right" w:pos="9025" w:leader="dot"/>
            </w:tabs>
            <w:rPr/>
          </w:pPr>
          <w:hyperlink w:anchor="__RefHeading___Toc20177_4112583830">
            <w:r>
              <w:rPr>
                <w:webHidden/>
                <w:rStyle w:val="IndexLink"/>
              </w:rPr>
              <w:t>Conclusion générale</w:t>
              <w:tab/>
              <w:t>66</w:t>
            </w:r>
          </w:hyperlink>
        </w:p>
        <w:p>
          <w:pPr>
            <w:pStyle w:val="TOC2"/>
            <w:tabs>
              <w:tab w:val="clear" w:pos="8743"/>
              <w:tab w:val="right" w:pos="9025" w:leader="dot"/>
            </w:tabs>
            <w:rPr/>
          </w:pPr>
          <w:hyperlink w:anchor="__RefHeading___Toc20179_4112583830">
            <w:r>
              <w:rPr>
                <w:webHidden/>
                <w:rStyle w:val="IndexLink"/>
              </w:rPr>
              <w:t>Principaux résultats</w:t>
              <w:tab/>
              <w:t>66</w:t>
            </w:r>
          </w:hyperlink>
        </w:p>
        <w:p>
          <w:pPr>
            <w:pStyle w:val="TOC2"/>
            <w:tabs>
              <w:tab w:val="clear" w:pos="8743"/>
              <w:tab w:val="right" w:pos="9025" w:leader="dot"/>
            </w:tabs>
            <w:rPr/>
          </w:pPr>
          <w:hyperlink w:anchor="__RefHeading___Toc20181_4112583830">
            <w:r>
              <w:rPr>
                <w:webHidden/>
                <w:rStyle w:val="IndexLink"/>
              </w:rPr>
              <w:t>Apports</w:t>
              <w:tab/>
              <w:t>66</w:t>
            </w:r>
          </w:hyperlink>
        </w:p>
        <w:p>
          <w:pPr>
            <w:pStyle w:val="TOC2"/>
            <w:tabs>
              <w:tab w:val="clear" w:pos="8743"/>
              <w:tab w:val="right" w:pos="9025" w:leader="dot"/>
            </w:tabs>
            <w:rPr/>
          </w:pPr>
          <w:hyperlink w:anchor="__RefHeading___Toc20183_4112583830">
            <w:r>
              <w:rPr>
                <w:webHidden/>
                <w:rStyle w:val="IndexLink"/>
              </w:rPr>
              <w:t>Limites</w:t>
              <w:tab/>
              <w:t>67</w:t>
            </w:r>
          </w:hyperlink>
        </w:p>
        <w:p>
          <w:pPr>
            <w:pStyle w:val="TOC2"/>
            <w:tabs>
              <w:tab w:val="clear" w:pos="8743"/>
              <w:tab w:val="right" w:pos="9025" w:leader="dot"/>
            </w:tabs>
            <w:rPr/>
          </w:pPr>
          <w:hyperlink w:anchor="__RefHeading___Toc20185_4112583830">
            <w:r>
              <w:rPr>
                <w:webHidden/>
                <w:rStyle w:val="IndexLink"/>
              </w:rPr>
              <w:t>Perspectives</w:t>
              <w:tab/>
              <w:t>67</w:t>
            </w:r>
          </w:hyperlink>
        </w:p>
        <w:p>
          <w:pPr>
            <w:pStyle w:val="TOC1"/>
            <w:tabs>
              <w:tab w:val="clear" w:pos="9026"/>
              <w:tab w:val="right" w:pos="9025" w:leader="dot"/>
            </w:tabs>
            <w:rPr/>
          </w:pPr>
          <w:hyperlink w:anchor="__RefHeading___Toc20187_4112583830">
            <w:r>
              <w:rPr>
                <w:webHidden/>
                <w:rStyle w:val="IndexLink"/>
              </w:rPr>
              <w:t>Références</w:t>
              <w:tab/>
              <w:t>68</w:t>
            </w:r>
          </w:hyperlink>
        </w:p>
        <w:p>
          <w:pPr>
            <w:pStyle w:val="TOC2"/>
            <w:tabs>
              <w:tab w:val="clear" w:pos="8743"/>
              <w:tab w:val="right" w:pos="9025" w:leader="dot"/>
            </w:tabs>
            <w:rPr/>
          </w:pPr>
          <w:hyperlink w:anchor="__RefHeading___Toc20189_4112583830">
            <w:r>
              <w:rPr>
                <w:webHidden/>
                <w:rStyle w:val="IndexLink"/>
              </w:rPr>
              <w:t>Sources en ligne</w:t>
              <w:tab/>
              <w:t>70</w:t>
            </w:r>
          </w:hyperlink>
        </w:p>
        <w:p>
          <w:pPr>
            <w:pStyle w:val="TOC1"/>
            <w:tabs>
              <w:tab w:val="clear" w:pos="9026"/>
              <w:tab w:val="right" w:pos="9025" w:leader="dot"/>
            </w:tabs>
            <w:rPr/>
          </w:pPr>
          <w:hyperlink w:anchor="__RefHeading___Toc20191_4112583830">
            <w:r>
              <w:rPr>
                <w:webHidden/>
                <w:rStyle w:val="IndexLink"/>
              </w:rPr>
              <w:t>Annexes</w:t>
              <w:tab/>
              <w:t>71</w:t>
            </w:r>
          </w:hyperlink>
        </w:p>
        <w:p>
          <w:pPr>
            <w:pStyle w:val="TOC2"/>
            <w:tabs>
              <w:tab w:val="clear" w:pos="8743"/>
              <w:tab w:val="right" w:pos="9025" w:leader="dot"/>
            </w:tabs>
            <w:rPr/>
          </w:pPr>
          <w:hyperlink w:anchor="__RefHeading___Toc20193_4112583830">
            <w:r>
              <w:rPr>
                <w:webHidden/>
                <w:rStyle w:val="IndexLink"/>
              </w:rPr>
              <w:t>Annexe A – Variables des modèles principaux</w:t>
              <w:tab/>
              <w:t>71</w:t>
            </w:r>
          </w:hyperlink>
        </w:p>
        <w:p>
          <w:pPr>
            <w:pStyle w:val="TOC2"/>
            <w:tabs>
              <w:tab w:val="clear" w:pos="8743"/>
              <w:tab w:val="right" w:pos="9025" w:leader="dot"/>
            </w:tabs>
            <w:rPr/>
          </w:pPr>
          <w:hyperlink w:anchor="__RefHeading___Toc20195_4112583830">
            <w:r>
              <w:rPr>
                <w:webHidden/>
                <w:rStyle w:val="IndexLink"/>
              </w:rPr>
              <w:t>Annexe B – Détail des extensions E1 à E20</w:t>
              <w:tab/>
              <w:t>71</w:t>
            </w:r>
          </w:hyperlink>
        </w:p>
        <w:p>
          <w:pPr>
            <w:pStyle w:val="TOC2"/>
            <w:tabs>
              <w:tab w:val="clear" w:pos="8743"/>
              <w:tab w:val="right" w:pos="9025" w:leader="dot"/>
            </w:tabs>
            <w:rPr/>
          </w:pPr>
          <w:hyperlink w:anchor="__RefHeading___Toc20197_4112583830">
            <w:r>
              <w:rPr>
                <w:webHidden/>
                <w:rStyle w:val="IndexLink"/>
              </w:rPr>
              <w:t>Annexe C – Sensibilité à la graine aléatoire</w:t>
              <w:tab/>
              <w:t>85</w:t>
            </w:r>
          </w:hyperlink>
        </w:p>
        <w:p>
          <w:pPr>
            <w:pStyle w:val="TOC2"/>
            <w:tabs>
              <w:tab w:val="clear" w:pos="8743"/>
              <w:tab w:val="right" w:pos="9025" w:leader="dot"/>
            </w:tabs>
            <w:rPr/>
          </w:pPr>
          <w:hyperlink w:anchor="__RefHeading___Toc20199_4112583830">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201_4112583830">
            <w:r>
              <w:rPr>
                <w:webHidden/>
                <w:rStyle w:val="IndexLink"/>
              </w:rPr>
              <w:t>Annexe E – Robustesse au décalage de publication</w:t>
              <w:tab/>
              <w:t>86</w:t>
            </w:r>
          </w:hyperlink>
        </w:p>
        <w:p>
          <w:pPr>
            <w:pStyle w:val="TOC2"/>
            <w:tabs>
              <w:tab w:val="clear" w:pos="8743"/>
              <w:tab w:val="right" w:pos="9025" w:leader="dot"/>
            </w:tabs>
            <w:rPr/>
          </w:pPr>
          <w:hyperlink w:anchor="__RefHeading___Toc20203_4112583830">
            <w:r>
              <w:rPr>
                <w:webHidden/>
                <w:rStyle w:val="IndexLink"/>
              </w:rPr>
              <w:t>Annexe F – Code et reproductibilité</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89_4112583830"/>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205_4112583830">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247_4112583830">
            <w:r>
              <w:rPr>
                <w:webHidden/>
                <w:rStyle w:val="IndexLink"/>
              </w:rPr>
              <w:t>Tableau 2.1 – Sources des données</w:t>
              <w:tab/>
              <w:t>29</w:t>
            </w:r>
          </w:hyperlink>
        </w:p>
        <w:p>
          <w:pPr>
            <w:pStyle w:val="TOC1"/>
            <w:tabs>
              <w:tab w:val="clear" w:pos="9026"/>
              <w:tab w:val="right" w:pos="9025" w:leader="dot"/>
            </w:tabs>
            <w:rPr/>
          </w:pPr>
          <w:hyperlink w:anchor="__RefHeading___Toc20245_4112583830">
            <w:r>
              <w:rPr>
                <w:webHidden/>
                <w:rStyle w:val="IndexLink"/>
              </w:rPr>
              <w:t>Tableau 2.2 – Soldes annuels reconstitués</w:t>
              <w:tab/>
              <w:t>33</w:t>
            </w:r>
          </w:hyperlink>
        </w:p>
        <w:p>
          <w:pPr>
            <w:pStyle w:val="TOC1"/>
            <w:tabs>
              <w:tab w:val="clear" w:pos="9026"/>
              <w:tab w:val="right" w:pos="9025" w:leader="dot"/>
            </w:tabs>
            <w:rPr/>
          </w:pPr>
          <w:hyperlink w:anchor="__RefHeading___Toc20243_4112583830">
            <w:r>
              <w:rPr>
                <w:webHidden/>
                <w:rStyle w:val="IndexLink"/>
              </w:rPr>
              <w:t>Tableau 2.3 – Variables cibles</w:t>
              <w:tab/>
              <w:t>34</w:t>
            </w:r>
          </w:hyperlink>
        </w:p>
        <w:p>
          <w:pPr>
            <w:pStyle w:val="TOC1"/>
            <w:tabs>
              <w:tab w:val="clear" w:pos="9026"/>
              <w:tab w:val="right" w:pos="9025" w:leader="dot"/>
            </w:tabs>
            <w:rPr/>
          </w:pPr>
          <w:hyperlink w:anchor="__RefHeading___Toc20241_4112583830">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239_4112583830">
            <w:r>
              <w:rPr>
                <w:webHidden/>
                <w:rStyle w:val="IndexLink"/>
              </w:rPr>
              <w:t>Tableau 2.5 – Jeux de variables emboîtés</w:t>
              <w:tab/>
              <w:t>35</w:t>
            </w:r>
          </w:hyperlink>
        </w:p>
        <w:p>
          <w:pPr>
            <w:pStyle w:val="TOC1"/>
            <w:tabs>
              <w:tab w:val="clear" w:pos="9026"/>
              <w:tab w:val="right" w:pos="9025" w:leader="dot"/>
            </w:tabs>
            <w:rPr/>
          </w:pPr>
          <w:hyperlink w:anchor="__RefHeading___Toc20237_4112583830">
            <w:r>
              <w:rPr>
                <w:webHidden/>
                <w:rStyle w:val="IndexLink"/>
              </w:rPr>
              <w:t>Tableau 2.6 – Modèles comparés</w:t>
              <w:tab/>
              <w:t>36</w:t>
            </w:r>
          </w:hyperlink>
        </w:p>
        <w:p>
          <w:pPr>
            <w:pStyle w:val="TOC1"/>
            <w:tabs>
              <w:tab w:val="clear" w:pos="9026"/>
              <w:tab w:val="right" w:pos="9025" w:leader="dot"/>
            </w:tabs>
            <w:rPr/>
          </w:pPr>
          <w:hyperlink w:anchor="__RefHeading___Toc20235_4112583830">
            <w:r>
              <w:rPr>
                <w:webHidden/>
                <w:rStyle w:val="IndexLink"/>
              </w:rPr>
              <w:t>Tableau 2.7 – Mesures de performance</w:t>
              <w:tab/>
              <w:t>39</w:t>
            </w:r>
          </w:hyperlink>
        </w:p>
        <w:p>
          <w:pPr>
            <w:pStyle w:val="TOC1"/>
            <w:tabs>
              <w:tab w:val="clear" w:pos="9026"/>
              <w:tab w:val="right" w:pos="9025" w:leader="dot"/>
            </w:tabs>
            <w:rPr/>
          </w:pPr>
          <w:hyperlink w:anchor="__RefHeading___Toc20233_4112583830">
            <w:r>
              <w:rPr>
                <w:webHidden/>
                <w:rStyle w:val="IndexLink"/>
              </w:rPr>
              <w:t>Tableau 2.8 – Extensions testées</w:t>
              <w:tab/>
              <w:t>42</w:t>
            </w:r>
          </w:hyperlink>
        </w:p>
        <w:p>
          <w:pPr>
            <w:pStyle w:val="TOC1"/>
            <w:tabs>
              <w:tab w:val="clear" w:pos="9026"/>
              <w:tab w:val="right" w:pos="9025" w:leader="dot"/>
            </w:tabs>
            <w:rPr/>
          </w:pPr>
          <w:hyperlink w:anchor="__RefHeading___Toc20231_4112583830">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229_4112583830">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227_4112583830">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225_4112583830">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223_4112583830">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221_4112583830">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219_4112583830">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217_4112583830">
            <w:r>
              <w:rPr>
                <w:webHidden/>
                <w:rStyle w:val="IndexLink"/>
              </w:rPr>
              <w:t>Tableau 3.8 – État des hypothèses</w:t>
              <w:tab/>
              <w:t>55</w:t>
            </w:r>
          </w:hyperlink>
        </w:p>
        <w:p>
          <w:pPr>
            <w:pStyle w:val="TOC1"/>
            <w:tabs>
              <w:tab w:val="clear" w:pos="9026"/>
              <w:tab w:val="right" w:pos="9025" w:leader="dot"/>
            </w:tabs>
            <w:rPr/>
          </w:pPr>
          <w:hyperlink w:anchor="__RefHeading___Toc20215_4112583830">
            <w:r>
              <w:rPr>
                <w:webHidden/>
                <w:rStyle w:val="IndexLink"/>
              </w:rPr>
              <w:t>Tableau A.1 – Variables des jeux emboîtés M0, M1 et M2</w:t>
              <w:tab/>
              <w:t>71</w:t>
            </w:r>
          </w:hyperlink>
        </w:p>
        <w:p>
          <w:pPr>
            <w:pStyle w:val="TOC1"/>
            <w:tabs>
              <w:tab w:val="clear" w:pos="9026"/>
              <w:tab w:val="right" w:pos="9025" w:leader="dot"/>
            </w:tabs>
            <w:rPr/>
          </w:pPr>
          <w:hyperlink w:anchor="__RefHeading___Toc20213_4112583830">
            <w:r>
              <w:rPr>
                <w:webHidden/>
                <w:rStyle w:val="IndexLink"/>
              </w:rPr>
              <w:t>Tableau B.1 – Résultats des 210 comparaisons</w:t>
              <w:tab/>
              <w:t>71</w:t>
            </w:r>
          </w:hyperlink>
        </w:p>
        <w:p>
          <w:pPr>
            <w:pStyle w:val="TOC1"/>
            <w:tabs>
              <w:tab w:val="clear" w:pos="9026"/>
              <w:tab w:val="right" w:pos="9025" w:leader="dot"/>
            </w:tabs>
            <w:rPr/>
          </w:pPr>
          <w:hyperlink w:anchor="__RefHeading___Toc20211_4112583830">
            <w:r>
              <w:rPr>
                <w:webHidden/>
                <w:rStyle w:val="IndexLink"/>
              </w:rPr>
              <w:t>Tableau C.1 – R² hors échantillon (%) selon la graine</w:t>
              <w:tab/>
              <w:t>85</w:t>
            </w:r>
          </w:hyperlink>
        </w:p>
        <w:p>
          <w:pPr>
            <w:pStyle w:val="TOC1"/>
            <w:tabs>
              <w:tab w:val="clear" w:pos="9026"/>
              <w:tab w:val="right" w:pos="9025" w:leader="dot"/>
            </w:tabs>
            <w:rPr/>
          </w:pPr>
          <w:hyperlink w:anchor="__RefHeading___Toc20209_4112583830">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207_4112583830">
            <w:r>
              <w:rPr>
                <w:webHidden/>
                <w:rStyle w:val="IndexLink"/>
              </w:rPr>
              <w:t>Tableau E.1 – Modèles principaux avec un décalage budgétaire de 1, 2 et 3 mois</w:t>
              <w:tab/>
              <w:t>86</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20091_4112583830"/>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49_4112583830">
            <w:r>
              <w:rPr>
                <w:webHidden/>
                <w:rStyle w:val="IndexLink"/>
              </w:rPr>
              <w:t>Figure 3.1 – Distribution des trois cibles</w:t>
              <w:tab/>
              <w:t>47</w:t>
            </w:r>
          </w:hyperlink>
        </w:p>
        <w:p>
          <w:pPr>
            <w:pStyle w:val="TOC1"/>
            <w:tabs>
              <w:tab w:val="clear" w:pos="9026"/>
              <w:tab w:val="right" w:pos="9025" w:leader="dot"/>
            </w:tabs>
            <w:rPr/>
          </w:pPr>
          <w:hyperlink w:anchor="__RefHeading___Toc20255_4112583830">
            <w:r>
              <w:rPr>
                <w:webHidden/>
                <w:rStyle w:val="IndexLink"/>
              </w:rPr>
              <w:t>Figure 3.2 – RMSE relatif à la moyenne historique</w:t>
              <w:tab/>
              <w:t>49</w:t>
            </w:r>
          </w:hyperlink>
        </w:p>
        <w:p>
          <w:pPr>
            <w:pStyle w:val="TOC1"/>
            <w:tabs>
              <w:tab w:val="clear" w:pos="9026"/>
              <w:tab w:val="right" w:pos="9025" w:leader="dot"/>
            </w:tabs>
            <w:rPr/>
          </w:pPr>
          <w:hyperlink w:anchor="__RefHeading___Toc20253_4112583830">
            <w:r>
              <w:rPr>
                <w:webHidden/>
                <w:rStyle w:val="IndexLink"/>
              </w:rPr>
              <w:t>Figure 3.3 – Importance SHAP des variables</w:t>
              <w:tab/>
              <w:t>51</w:t>
            </w:r>
          </w:hyperlink>
        </w:p>
        <w:p>
          <w:pPr>
            <w:pStyle w:val="TOC1"/>
            <w:tabs>
              <w:tab w:val="clear" w:pos="9026"/>
              <w:tab w:val="right" w:pos="9025" w:leader="dot"/>
            </w:tabs>
            <w:rPr/>
          </w:pPr>
          <w:hyperlink w:anchor="__RefHeading___Toc20251_4112583830">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93_4112583830"/>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95_4112583830"/>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97_4112583830"/>
      <w:bookmarkStart w:id="27" w:name="introduction-générale"/>
      <w:bookmarkEnd w:id="26"/>
      <w:bookmarkEnd w:id="27"/>
      <w:r>
        <w:rPr/>
        <w:t>Introduction générale</w:t>
      </w:r>
    </w:p>
    <w:p>
      <w:pPr>
        <w:pStyle w:val="Heading2"/>
        <w:rPr/>
      </w:pPr>
      <w:bookmarkStart w:id="28" w:name="__RefHeading___Toc20099_4112583830"/>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101_4112583830"/>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103_4112583830"/>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105_4112583830"/>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20107_4112583830"/>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109_4112583830"/>
      <w:bookmarkStart w:id="45" w:name="chapitre-1-état-de-lart"/>
      <w:bookmarkEnd w:id="44"/>
      <w:bookmarkEnd w:id="45"/>
      <w:r>
        <w:rPr/>
        <w:t>Chapitre 1 – État de l’art</w:t>
      </w:r>
    </w:p>
    <w:p>
      <w:pPr>
        <w:pStyle w:val="Heading2"/>
        <w:rPr/>
      </w:pPr>
      <w:bookmarkStart w:id="46" w:name="__RefHeading___Toc20111_4112583830"/>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113_4112583830"/>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58" w:name="cadre-théorique-ce-que-lon-peut-attendre"/>
      <w:bookmarkStart w:id="59" w:name="ce-que-nous-en-retenons"/>
      <w:r>
        <w:rPr/>
        <w:t>La référence à battre est simple : la moyenne historique (et, pour les taux, la variation nulle). Un modèle qui ne la bat pas n’a pas de pouvoir prédictif utile par rapport à cette référence.</w:t>
      </w:r>
      <w:bookmarkEnd w:id="58"/>
      <w:bookmarkEnd w:id="59"/>
    </w:p>
    <w:p>
      <w:pPr>
        <w:pStyle w:val="Heading2"/>
        <w:rPr/>
      </w:pPr>
      <w:bookmarkStart w:id="60" w:name="__RefHeading___Toc20115_4112583830"/>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117_4112583830"/>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119_4112583830"/>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121_4112583830"/>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205_4112583830"/>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18"/>
                <w:szCs w:val="24"/>
                <w:lang w:val="en-US" w:eastAsia="zh-CN" w:bidi="ar-SA"/>
              </w:rPr>
              <w:t>France</w:t>
            </w:r>
            <w:r>
              <w:rPr>
                <w:kern w:val="0"/>
                <w:sz w:val="18"/>
                <w:szCs w:val="24"/>
                <w:lang w:val="en-US" w:eastAsia="zh-CN"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données ouvertes.</w:t>
      </w:r>
    </w:p>
    <w:p>
      <w:pPr>
        <w:pStyle w:val="Compact"/>
        <w:numPr>
          <w:ilvl w:val="0"/>
          <w:numId w:val="37"/>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123_4112583830"/>
      <w:bookmarkStart w:id="100" w:name="chapitre-2-données-et-méthodologie"/>
      <w:bookmarkEnd w:id="99"/>
      <w:bookmarkEnd w:id="100"/>
      <w:r>
        <w:rPr/>
        <w:t>Chapitre 2 – Données et méthodologie</w:t>
      </w:r>
    </w:p>
    <w:p>
      <w:pPr>
        <w:pStyle w:val="Heading2"/>
        <w:rPr/>
      </w:pPr>
      <w:bookmarkStart w:id="101" w:name="__RefHeading___Toc20125_4112583830"/>
      <w:bookmarkStart w:id="102" w:name="introduction-du-chapitre-1"/>
      <w:bookmarkEnd w:id="101"/>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et la 2.7 décrit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127_4112583830"/>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247_4112583830"/>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129_4112583830"/>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245_4112583830"/>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08"/>
      <w:bookmarkEnd w:id="113"/>
    </w:p>
    <w:p>
      <w:pPr>
        <w:pStyle w:val="Heading2"/>
        <w:rPr/>
      </w:pPr>
      <w:bookmarkStart w:id="115" w:name="__RefHeading___Toc20131_4112583830"/>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243_4112583830"/>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241_4112583830"/>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133_4112583830"/>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239_4112583830"/>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135_4112583830"/>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237_4112583830"/>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137_4112583830"/>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35_4112583830"/>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prévision « variation nulle » ;</w:t>
      </w:r>
    </w:p>
    <w:p>
      <w:pPr>
        <w:pStyle w:val="Compact"/>
        <w:numPr>
          <w:ilvl w:val="0"/>
          <w:numId w:val="54"/>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5"/>
        </w:numPr>
        <w:rPr/>
      </w:pPr>
      <w:r>
        <w:rPr>
          <w:b/>
          <w:bCs/>
        </w:rPr>
        <w:t>Graine aléatoire</w:t>
      </w:r>
      <w:r>
        <w:rPr/>
        <w:t xml:space="preserve"> : la forêt aléatoire et XGBoost sont réestimés avec 5 et 10 graines différentes.</w:t>
      </w:r>
    </w:p>
    <w:p>
      <w:pPr>
        <w:pStyle w:val="Compact"/>
        <w:numPr>
          <w:ilvl w:val="0"/>
          <w:numId w:val="56"/>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7"/>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8"/>
        </w:numPr>
        <w:rPr/>
      </w:pPr>
      <w:r>
        <w:rPr>
          <w:b/>
          <w:bCs/>
        </w:rPr>
        <w:t>Décalage de publication</w:t>
      </w:r>
      <w:r>
        <w:rPr/>
        <w:t xml:space="preserve"> : les modèles principaux sont relancés avec un décalage budgétaire de 1 et de 3 mois au lieu de 2.</w:t>
      </w:r>
    </w:p>
    <w:p>
      <w:pPr>
        <w:pStyle w:val="Compact"/>
        <w:numPr>
          <w:ilvl w:val="0"/>
          <w:numId w:val="59"/>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139_4112583830"/>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33_4112583830"/>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41_4112583830"/>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43_4112583830"/>
      <w:bookmarkStart w:id="153" w:name="chapitre-3-résultats"/>
      <w:bookmarkEnd w:id="152"/>
      <w:bookmarkEnd w:id="153"/>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45_4112583830"/>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31_4112583830"/>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49_4112583830"/>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47_4112583830"/>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29_4112583830"/>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27_4112583830"/>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0,03</w:t>
            </w:r>
            <w:r>
              <w:rPr>
                <w:kern w:val="0"/>
                <w:sz w:val="20"/>
                <w:szCs w:val="24"/>
                <w:lang w:val="en-US" w:eastAsia="zh-CN"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55_4112583830"/>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49_4112583830"/>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25_4112583830"/>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151_4112583830"/>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Parmi les sept dépenses,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223_4112583830"/>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253_4112583830"/>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153_4112583830"/>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221_4112583830"/>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251_4112583830"/>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155_4112583830"/>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219_4112583830"/>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157_4112583830"/>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217_4112583830"/>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159_4112583830"/>
      <w:bookmarkStart w:id="189" w:name="chapitre-4-discussion"/>
      <w:bookmarkEnd w:id="188"/>
      <w:bookmarkEnd w:id="189"/>
      <w:r>
        <w:rPr/>
        <w:t>Chapitre 4 – Discussion</w:t>
      </w:r>
    </w:p>
    <w:p>
      <w:pPr>
        <w:pStyle w:val="Heading2"/>
        <w:rPr/>
      </w:pPr>
      <w:bookmarkStart w:id="190" w:name="__RefHeading___Toc20161_4112583830"/>
      <w:bookmarkStart w:id="191" w:name="réponse-à-la-problématique"/>
      <w:bookmarkEnd w:id="190"/>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Il faut bien lire ce que cela veut dire.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191"/>
    </w:p>
    <w:p>
      <w:pPr>
        <w:pStyle w:val="Heading2"/>
        <w:rPr/>
      </w:pPr>
      <w:bookmarkStart w:id="192" w:name="__RefHeading___Toc20163_4112583830"/>
      <w:bookmarkStart w:id="193" w:name="X50125295c4ee909886fd31cd1b96bf3457bfef7"/>
      <w:bookmarkEnd w:id="192"/>
      <w:r>
        <w:rPr/>
        <w:t>4.2 Pourquoi les dépenses n’aident pas : trois pistes</w:t>
      </w:r>
    </w:p>
    <w:p>
      <w:pPr>
        <w:pStyle w:val="FirstParagraph"/>
        <w:rPr/>
      </w:pPr>
      <w:r>
        <w:rPr/>
        <w:t>Voici trois explications possibles. Elles peuvent se cumuler, et aucune n’est démontrée par nos tests.</w:t>
      </w:r>
    </w:p>
    <w:p>
      <w:pPr>
        <w:pStyle w:val="Heading3"/>
        <w:rPr/>
      </w:pPr>
      <w:bookmarkStart w:id="194"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2">
        <w:r>
          <w:rPr>
            <w:rStyle w:val="Hyperlink"/>
          </w:rPr>
          <w:t>22</w:t>
        </w:r>
      </w:hyperlink>
      <w:r>
        <w:rPr/>
        <w:t>]. Ramey [</w:t>
      </w:r>
      <w:hyperlink w:anchor="ref35">
        <w:r>
          <w:rPr>
            <w:rStyle w:val="Hyperlink"/>
          </w:rPr>
          <w:t>35</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bookmarkStart w:id="195" w:name="linformation-est-peut-être-déjà-connue"/>
      <w:r>
        <w:rPr/>
        <w:t>Pour vérifier cette idée, il faudrait observer le spread le jour même de chaque publication, avec une étude d’événement. Nous n’avons pas pu la faire,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197"/>
    </w:p>
    <w:p>
      <w:pPr>
        <w:pStyle w:val="Heading3"/>
        <w:rPr/>
      </w:pPr>
      <w:bookmarkStart w:id="19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Il n’y a pas de contradiction : ces études </w:t>
      </w:r>
      <w:r>
        <w:rPr>
          <w:b/>
          <w:bCs/>
        </w:rPr>
        <w:t>expliquent le niveau</w:t>
      </w:r>
      <w:r>
        <w:rPr/>
        <w:t xml:space="preserve"> des spreads, en panel et souvent en période de crise, alors que nous essayons de </w:t>
      </w:r>
      <w:r>
        <w:rPr>
          <w:b/>
          <w:bCs/>
        </w:rPr>
        <w:t>prévoir la variation</w:t>
      </w:r>
      <w:r>
        <w:rPr/>
        <w:t xml:space="preserve">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193"/>
      <w:bookmarkEnd w:id="198"/>
    </w:p>
    <w:p>
      <w:pPr>
        <w:pStyle w:val="Heading2"/>
        <w:rPr/>
      </w:pPr>
      <w:bookmarkStart w:id="199" w:name="__RefHeading___Toc20165_4112583830"/>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Nous avons trois éléments pour en juger.</w:t>
      </w:r>
    </w:p>
    <w:p>
      <w:pPr>
        <w:pStyle w:val="Heading3"/>
        <w:rPr/>
      </w:pPr>
      <w:bookmarkStart w:id="201" w:name="la-puissance-du-test"/>
      <w:r>
        <w:rPr/>
        <w:t>La puissance du test.</w:t>
      </w:r>
    </w:p>
    <w:p>
      <w:pPr>
        <w:pStyle w:val="FirstParagraph"/>
        <w:rPr/>
      </w:pPr>
      <w:bookmarkStart w:id="20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02"/>
    </w:p>
    <w:p>
      <w:pPr>
        <w:pStyle w:val="Heading3"/>
        <w:rPr/>
      </w:pPr>
      <w:bookmarkStart w:id="203" w:name="le-contrôle-négatif"/>
      <w:r>
        <w:rPr/>
        <w:t>Le contrôle négatif.</w:t>
      </w:r>
    </w:p>
    <w:p>
      <w:pPr>
        <w:pStyle w:val="FirstParagraph"/>
        <w:rPr/>
      </w:pPr>
      <w:bookmarkStart w:id="204" w:name="le-contrôle-négatif"/>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w:t>
      </w:r>
      <w:bookmarkEnd w:id="204"/>
    </w:p>
    <w:p>
      <w:pPr>
        <w:pStyle w:val="Heading3"/>
        <w:rPr/>
      </w:pPr>
      <w:bookmarkStart w:id="205"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0"/>
      <w:bookmarkEnd w:id="205"/>
    </w:p>
    <w:p>
      <w:pPr>
        <w:pStyle w:val="Heading2"/>
        <w:rPr/>
      </w:pPr>
      <w:bookmarkStart w:id="206" w:name="__RefHeading___Toc20167_4112583830"/>
      <w:bookmarkStart w:id="207" w:name="retour-sur-les-modèles"/>
      <w:bookmarkEnd w:id="206"/>
      <w:r>
        <w:rPr/>
        <w:t>4.4 Retour sur les modèles</w:t>
      </w:r>
    </w:p>
    <w:p>
      <w:pPr>
        <w:pStyle w:val="Heading3"/>
        <w:rPr/>
      </w:pPr>
      <w:bookmarkStart w:id="208" w:name="Xb75d7f737b711701be77f04909b70a2e4ee2040"/>
      <w:r>
        <w:rPr/>
        <w:t>Les arbres ne font pas mieux que Ridge (H3).</w:t>
      </w:r>
    </w:p>
    <w:p>
      <w:pPr>
        <w:pStyle w:val="FirstParagraph"/>
        <w:rPr/>
      </w:pPr>
      <w:r>
        <w:rPr/>
        <w:t>On pouvait espérer que le machine learning trouve des relations non linéaires. C’est le contraire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08"/>
    </w:p>
    <w:p>
      <w:pPr>
        <w:pStyle w:val="Heading3"/>
        <w:rPr/>
      </w:pPr>
      <w:bookmarkStart w:id="209" w:name="X56eca9362d9a103f13f04ab7928f8f1e9156403"/>
      <w:r>
        <w:rPr/>
        <w:t>L’importance des variables ne dit rien ici (H4).</w:t>
      </w:r>
    </w:p>
    <w:p>
      <w:pPr>
        <w:pStyle w:val="FirstParagraph"/>
        <w:rPr/>
      </w:pPr>
      <w:bookmarkStart w:id="210"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0"/>
    </w:p>
    <w:p>
      <w:pPr>
        <w:pStyle w:val="Heading3"/>
        <w:rPr/>
      </w:pPr>
      <w:bookmarkStart w:id="211" w:name="ce-qui-reste-prévisible"/>
      <w:r>
        <w:rPr/>
        <w:t>Ce qui reste prévisible.</w:t>
      </w:r>
    </w:p>
    <w:p>
      <w:pPr>
        <w:pStyle w:val="FirstParagraph"/>
        <w:rPr/>
      </w:pPr>
      <w:r>
        <w:rPr/>
        <w:t xml:space="preserve">Quelques extensions battent la moyenne, mais </w:t>
      </w:r>
      <w:r>
        <w:rPr>
          <w:b/>
          <w:bCs/>
        </w:rPr>
        <w:t>sans les dépenses</w:t>
      </w:r>
      <w:r>
        <w:rPr/>
        <w:t xml:space="preserve">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1">
        <w:r>
          <w:rPr>
            <w:rStyle w:val="Hyperlink"/>
          </w:rPr>
          <w:t>21</w:t>
        </w:r>
      </w:hyperlink>
      <w:r>
        <w:rPr/>
        <w:t>]. Dans aucun de ces cas les dépenses n’apportent de gain significatif. Ce qui se prévoit un peu vient des marchés eux-mêmes.</w:t>
      </w:r>
      <w:bookmarkEnd w:id="207"/>
      <w:bookmarkEnd w:id="211"/>
    </w:p>
    <w:p>
      <w:pPr>
        <w:pStyle w:val="Heading2"/>
        <w:rPr/>
      </w:pPr>
      <w:bookmarkStart w:id="212" w:name="__RefHeading___Toc20169_4112583830"/>
      <w:bookmarkStart w:id="213" w:name="comparaison-avec-la-littérature"/>
      <w:bookmarkEnd w:id="212"/>
      <w:r>
        <w:rPr/>
        <w:t>4.5 Comparaison avec la littérature</w:t>
      </w:r>
    </w:p>
    <w:p>
      <w:pPr>
        <w:pStyle w:val="Heading3"/>
        <w:rPr/>
      </w:pPr>
      <w:bookmarkStart w:id="214"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xml:space="preserve">]. Nos résultats semblent contraires aux leurs, mais ils ne mesurent pas la même chose. Ces auteurs prévoient le </w:t>
      </w:r>
      <w:r>
        <w:rPr>
          <w:b/>
          <w:bCs/>
        </w:rPr>
        <w:t>niveau</w:t>
      </w:r>
      <w:r>
        <w:rPr/>
        <w:t xml:space="preserve">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15"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15"/>
    </w:p>
    <w:p>
      <w:pPr>
        <w:pStyle w:val="Heading3"/>
        <w:rPr/>
      </w:pPr>
      <w:bookmarkStart w:id="216"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16"/>
    </w:p>
    <w:p>
      <w:pPr>
        <w:pStyle w:val="Heading3"/>
        <w:rPr/>
      </w:pPr>
      <w:bookmarkStart w:id="217"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5">
        <w:r>
          <w:rPr>
            <w:rStyle w:val="Hyperlink"/>
          </w:rPr>
          <w:t>25</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13"/>
      <w:bookmarkEnd w:id="217"/>
    </w:p>
    <w:p>
      <w:pPr>
        <w:pStyle w:val="Heading2"/>
        <w:rPr/>
      </w:pPr>
      <w:bookmarkStart w:id="218" w:name="__RefHeading___Toc20171_4112583830"/>
      <w:bookmarkStart w:id="219" w:name="implications"/>
      <w:bookmarkEnd w:id="218"/>
      <w:r>
        <w:rPr/>
        <w:t>4.6 Implications</w:t>
      </w:r>
    </w:p>
    <w:p>
      <w:pPr>
        <w:pStyle w:val="FirstParagraph"/>
        <w:rPr/>
      </w:pPr>
      <w:r>
        <w:rPr>
          <w:b/>
          <w:bCs/>
        </w:rPr>
        <w:t>Pour la recherche.</w:t>
      </w:r>
      <w:r>
        <w:rPr/>
        <w:t xml:space="preserv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b/>
          <w:bCs/>
        </w:rPr>
        <w:t>Pour les investisseurs.</w:t>
      </w:r>
      <w:r>
        <w:rPr/>
        <w:t xml:space="preserve">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r>
        <w:rPr>
          <w:b/>
          <w:bCs/>
        </w:rPr>
        <w:t>Pour les producteurs de données ouvertes.</w:t>
      </w:r>
      <w:r>
        <w:rPr/>
        <w:t xml:space="preserve"> Un calendrier de publication archivé et la conservation des versions successives des chiffres permettraient de travailler avec l’information réellement disponible à chaque date.</w:t>
      </w:r>
      <w:bookmarkEnd w:id="219"/>
    </w:p>
    <w:p>
      <w:pPr>
        <w:pStyle w:val="Heading2"/>
        <w:rPr/>
      </w:pPr>
      <w:bookmarkStart w:id="220" w:name="__RefHeading___Toc20173_4112583830"/>
      <w:bookmarkStart w:id="221" w:name="limites"/>
      <w:bookmarkEnd w:id="220"/>
      <w:r>
        <w:rPr/>
        <w:t>4.7 Limites</w:t>
      </w:r>
    </w:p>
    <w:p>
      <w:pPr>
        <w:pStyle w:val="Compact"/>
        <w:numPr>
          <w:ilvl w:val="0"/>
          <w:numId w:val="60"/>
        </w:numPr>
        <w:rPr/>
      </w:pPr>
      <w:r>
        <w:rPr>
          <w:b/>
          <w:bCs/>
        </w:rPr>
        <w:t>Données révisées.</w:t>
      </w:r>
      <w:r>
        <w:rPr/>
        <w:t xml:space="preserve"> Nous utilisons la dernière version publiée des situations budgétaires, pas les chiffres connus à chaque date (ceux de décembre sont d’abord provisoires).</w:t>
      </w:r>
    </w:p>
    <w:p>
      <w:pPr>
        <w:pStyle w:val="Compact"/>
        <w:numPr>
          <w:ilvl w:val="0"/>
          <w:numId w:val="61"/>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2"/>
        </w:numPr>
        <w:rPr/>
      </w:pPr>
      <w:r>
        <w:rPr>
          <w:b/>
          <w:bCs/>
        </w:rPr>
        <w:t>Périmètre.</w:t>
      </w:r>
      <w:r>
        <w:rPr/>
        <w:t xml:space="preserve"> Les données couvrent le budget de l’État, pas la Sécurité sociale ni les collectivités, et ne sont pas ventilées par mission.</w:t>
      </w:r>
    </w:p>
    <w:p>
      <w:pPr>
        <w:pStyle w:val="Compact"/>
        <w:numPr>
          <w:ilvl w:val="0"/>
          <w:numId w:val="63"/>
        </w:numPr>
        <w:rPr/>
      </w:pPr>
      <w:r>
        <w:rPr>
          <w:b/>
          <w:bCs/>
        </w:rPr>
        <w:t>Cibles de taux en moyennes mensuelles.</w:t>
      </w:r>
      <w:r>
        <w:rPr/>
        <w:t xml:space="preserve"> Le spread et le taux OAT sont des moyennes du mois (OCDE), alors que le CAC 40 est pris en fin de mois. Les variations de moyennes sont un peu autocorrélées par construction.</w:t>
      </w:r>
    </w:p>
    <w:p>
      <w:pPr>
        <w:pStyle w:val="Compact"/>
        <w:numPr>
          <w:ilvl w:val="0"/>
          <w:numId w:val="64"/>
        </w:numPr>
        <w:rPr/>
      </w:pPr>
      <w:r>
        <w:rPr>
          <w:b/>
          <w:bCs/>
        </w:rPr>
        <w:t>Variables budgétaires inégales dans l’année.</w:t>
      </w:r>
      <w:r>
        <w:rPr/>
        <w:t xml:space="preserve"> L’écart-type de l’écart cumulé est en médiane 6,3 fois plus grand en décembre qu’en janvier.</w:t>
      </w:r>
    </w:p>
    <w:p>
      <w:pPr>
        <w:pStyle w:val="Compact"/>
        <w:numPr>
          <w:ilvl w:val="0"/>
          <w:numId w:val="65"/>
        </w:numPr>
        <w:rPr/>
      </w:pPr>
      <w:r>
        <w:rPr>
          <w:b/>
          <w:bCs/>
        </w:rPr>
        <w:t>Petit échantillon.</w:t>
      </w:r>
      <w:r>
        <w:rPr/>
        <w:t xml:space="preserve"> Avec 70 à 148 mois d’entraînement et 79 mois de test, seul un effet fort pouvait être détecté. Les écarts de quelques points de R² entre deux modèles ne sont pas interprétables.</w:t>
      </w:r>
    </w:p>
    <w:p>
      <w:pPr>
        <w:pStyle w:val="Compact"/>
        <w:numPr>
          <w:ilvl w:val="0"/>
          <w:numId w:val="66"/>
        </w:numPr>
        <w:rPr/>
      </w:pPr>
      <w:r>
        <w:rPr>
          <w:b/>
          <w:bCs/>
        </w:rPr>
        <w:t>Hyperparamètres.</w:t>
      </w:r>
      <w:r>
        <w:rPr/>
        <w:t xml:space="preserve">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67"/>
        </w:numPr>
        <w:rPr/>
      </w:pPr>
      <w:r>
        <w:rPr>
          <w:b/>
          <w:bCs/>
        </w:rPr>
        <w:t>Extensions ajoutées en cours de route.</w:t>
      </w:r>
      <w:r>
        <w:rPr/>
        <w:t xml:space="preserve"> E17 à E20 ont été ajoutées après avoir vu les résultats d’E15 et E16, et E18 est exploratoire. E14 (étude d’événement) n’a pas pu être réalisée.</w:t>
      </w:r>
    </w:p>
    <w:p>
      <w:pPr>
        <w:pStyle w:val="Compact"/>
        <w:numPr>
          <w:ilvl w:val="0"/>
          <w:numId w:val="68"/>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69"/>
        </w:numPr>
        <w:rPr/>
      </w:pPr>
      <w:r>
        <w:rPr>
          <w:b/>
          <w:bCs/>
        </w:rPr>
        <w:t>Pas d’étude d’événement.</w:t>
      </w:r>
      <w:r>
        <w:rPr/>
        <w:t xml:space="preserve"> L’explication « l’information est déjà connue » (section 4.2) reste donc une hypothèse.</w:t>
      </w:r>
      <w:bookmarkEnd w:id="221"/>
    </w:p>
    <w:p>
      <w:pPr>
        <w:pStyle w:val="Heading2"/>
        <w:rPr/>
      </w:pPr>
      <w:bookmarkStart w:id="222" w:name="__RefHeading___Toc20175_4112583830"/>
      <w:bookmarkStart w:id="223" w:name="recherches-futures"/>
      <w:bookmarkEnd w:id="222"/>
      <w:bookmarkEnd w:id="223"/>
      <w:r>
        <w:rPr/>
        <w:t>4.8 Recherches futures</w:t>
      </w:r>
    </w:p>
    <w:p>
      <w:pPr>
        <w:pStyle w:val="Compact"/>
        <w:numPr>
          <w:ilvl w:val="0"/>
          <w:numId w:val="70"/>
        </w:numPr>
        <w:rPr/>
      </w:pPr>
      <w:r>
        <w:rPr>
          <w:b/>
          <w:bCs/>
        </w:rPr>
        <w:t>Étude d’événement.</w:t>
      </w:r>
      <w:r>
        <w:rPr/>
        <w:t xml:space="preserve">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71"/>
        </w:numPr>
        <w:rPr/>
      </w:pPr>
      <w:r>
        <w:rPr>
          <w:b/>
          <w:bCs/>
        </w:rPr>
        <w:t>Les annonces plutôt que l’exécution.</w:t>
      </w:r>
      <w:r>
        <w:rPr/>
        <w:t xml:space="preserve">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72"/>
        </w:numPr>
        <w:rPr/>
      </w:pPr>
      <w:r>
        <w:rPr>
          <w:b/>
          <w:bCs/>
        </w:rPr>
        <w:t>Données en temps réel.</w:t>
      </w:r>
      <w:r>
        <w:rPr/>
        <w:t xml:space="preserve"> Conserver chaque version publiée des situations budgétaires.</w:t>
      </w:r>
    </w:p>
    <w:p>
      <w:pPr>
        <w:pStyle w:val="Compact"/>
        <w:numPr>
          <w:ilvl w:val="0"/>
          <w:numId w:val="73"/>
        </w:numPr>
        <w:rPr/>
      </w:pPr>
      <w:r>
        <w:rPr>
          <w:b/>
          <w:bCs/>
        </w:rPr>
        <w:t>Plus d’observations.</w:t>
      </w:r>
      <w:r>
        <w:rPr/>
        <w:t xml:space="preserve"> Un panel de pays plus long, incluant la crise de 2010-2012, avec des cibles de fin de période plutôt que des moyennes.</w:t>
      </w:r>
    </w:p>
    <w:p>
      <w:pPr>
        <w:pStyle w:val="Compact"/>
        <w:numPr>
          <w:ilvl w:val="0"/>
          <w:numId w:val="74"/>
        </w:numPr>
        <w:rPr/>
      </w:pPr>
      <w:r>
        <w:rPr>
          <w:b/>
          <w:bCs/>
        </w:rPr>
        <w:t>Ventilation sectorielle.</w:t>
      </w:r>
      <w:r>
        <w:rPr/>
        <w:t xml:space="preserve"> Les données de la commande publique permettraient de relier la dépense aux entreprises bénéficiaires et de mieux tester le canal des actions sectorielles (E19).</w:t>
      </w:r>
    </w:p>
    <w:p>
      <w:pPr>
        <w:pStyle w:val="Normal"/>
        <w:rPr/>
      </w:pPr>
      <w:r>
        <w:rPr/>
      </w:r>
      <w:bookmarkStart w:id="224" w:name="chapitre-4-discussion"/>
      <w:bookmarkStart w:id="225" w:name="recherches-futures"/>
      <w:bookmarkStart w:id="226" w:name="chapitre-4-discussion"/>
      <w:bookmarkStart w:id="227" w:name="recherches-futures"/>
      <w:bookmarkEnd w:id="226"/>
      <w:bookmarkEnd w:id="227"/>
      <w:r>
        <w:br w:type="page"/>
      </w:r>
    </w:p>
    <w:p>
      <w:pPr>
        <w:pStyle w:val="Heading1"/>
        <w:spacing w:before="0" w:after="240"/>
        <w:rPr/>
      </w:pPr>
      <w:bookmarkStart w:id="228" w:name="__RefHeading___Toc20177_4112583830"/>
      <w:bookmarkStart w:id="229" w:name="conclusion-générale"/>
      <w:bookmarkEnd w:id="228"/>
      <w:bookmarkEnd w:id="229"/>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0" w:name="__RefHeading___Toc20179_4112583830"/>
      <w:bookmarkStart w:id="231" w:name="principaux-résultats"/>
      <w:bookmarkEnd w:id="230"/>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2"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2"/>
    </w:p>
    <w:p>
      <w:pPr>
        <w:pStyle w:val="Heading2"/>
        <w:rPr/>
      </w:pPr>
      <w:bookmarkStart w:id="233" w:name="__RefHeading___Toc20181_4112583830"/>
      <w:bookmarkStart w:id="234" w:name="apports-1"/>
      <w:bookmarkEnd w:id="233"/>
      <w:r>
        <w:rPr/>
        <w:t>Apports</w:t>
      </w:r>
    </w:p>
    <w:p>
      <w:pPr>
        <w:pStyle w:val="FirstParagraph"/>
        <w:rPr/>
      </w:pPr>
      <w:bookmarkStart w:id="235"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35"/>
    </w:p>
    <w:p>
      <w:pPr>
        <w:pStyle w:val="Heading2"/>
        <w:rPr/>
      </w:pPr>
      <w:bookmarkStart w:id="236" w:name="__RefHeading___Toc20183_4112583830"/>
      <w:bookmarkStart w:id="237" w:name="limites-1"/>
      <w:bookmarkEnd w:id="236"/>
      <w:r>
        <w:rPr/>
        <w:t>Limites</w:t>
      </w:r>
    </w:p>
    <w:p>
      <w:pPr>
        <w:pStyle w:val="FirstParagraph"/>
        <w:rPr/>
      </w:pPr>
      <w:bookmarkStart w:id="238"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38"/>
    </w:p>
    <w:p>
      <w:pPr>
        <w:pStyle w:val="Heading2"/>
        <w:rPr/>
      </w:pPr>
      <w:bookmarkStart w:id="239" w:name="__RefHeading___Toc20185_4112583830"/>
      <w:bookmarkStart w:id="240" w:name="perspectives"/>
      <w:bookmarkEnd w:id="239"/>
      <w:bookmarkEnd w:id="240"/>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1" w:name="conclusion-générale"/>
      <w:bookmarkStart w:id="242" w:name="perspectives"/>
      <w:bookmarkStart w:id="243" w:name="conclusion-générale"/>
      <w:bookmarkStart w:id="244" w:name="perspectives"/>
      <w:bookmarkEnd w:id="243"/>
      <w:bookmarkEnd w:id="244"/>
      <w:r>
        <w:br w:type="page"/>
      </w:r>
    </w:p>
    <w:p>
      <w:pPr>
        <w:pStyle w:val="Heading1"/>
        <w:spacing w:before="0" w:after="240"/>
        <w:rPr/>
      </w:pPr>
      <w:bookmarkStart w:id="245" w:name="__RefHeading___Toc20187_4112583830"/>
      <w:bookmarkStart w:id="246" w:name="références"/>
      <w:bookmarkEnd w:id="245"/>
      <w:bookmarkEnd w:id="246"/>
      <w:r>
        <w:rPr/>
        <w:t>Références</w:t>
      </w:r>
    </w:p>
    <w:p>
      <w:pPr>
        <w:pStyle w:val="Bibliography"/>
        <w:rPr/>
      </w:pPr>
      <w:bookmarkStart w:id="247" w:name="ref1"/>
      <w:bookmarkEnd w:id="247"/>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48" w:name="ref2"/>
      <w:bookmarkEnd w:id="248"/>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49" w:name="ref3"/>
      <w:bookmarkEnd w:id="249"/>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0" w:name="ref4"/>
      <w:bookmarkEnd w:id="250"/>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1" w:name="ref5"/>
      <w:bookmarkEnd w:id="251"/>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2" w:name="ref6"/>
      <w:bookmarkEnd w:id="252"/>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3" w:name="ref7"/>
      <w:bookmarkEnd w:id="253"/>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54" w:name="ref8"/>
      <w:bookmarkEnd w:id="254"/>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55" w:name="ref9"/>
      <w:bookmarkEnd w:id="255"/>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56" w:name="ref10"/>
      <w:bookmarkEnd w:id="256"/>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57" w:name="ref11"/>
      <w:bookmarkEnd w:id="257"/>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58" w:name="ref12"/>
      <w:bookmarkEnd w:id="258"/>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59" w:name="ref13"/>
      <w:bookmarkEnd w:id="259"/>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0" w:name="ref14"/>
      <w:bookmarkEnd w:id="260"/>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1" w:name="ref15"/>
      <w:bookmarkEnd w:id="261"/>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2" w:name="ref16"/>
      <w:bookmarkEnd w:id="262"/>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63" w:name="ref17"/>
      <w:bookmarkEnd w:id="263"/>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64" w:name="ref18"/>
      <w:bookmarkEnd w:id="264"/>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65" w:name="ref19"/>
      <w:bookmarkEnd w:id="265"/>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66" w:name="ref20"/>
      <w:bookmarkEnd w:id="266"/>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67" w:name="ref21"/>
      <w:bookmarkEnd w:id="267"/>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68" w:name="ref22"/>
      <w:bookmarkEnd w:id="268"/>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69" w:name="ref23"/>
      <w:bookmarkEnd w:id="269"/>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70" w:name="ref24"/>
      <w:bookmarkEnd w:id="270"/>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71" w:name="ref25"/>
      <w:bookmarkEnd w:id="271"/>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2" w:name="ref26"/>
      <w:bookmarkEnd w:id="272"/>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73" w:name="ref27"/>
      <w:bookmarkEnd w:id="273"/>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74" w:name="ref28"/>
      <w:bookmarkEnd w:id="274"/>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75" w:name="ref29"/>
      <w:bookmarkEnd w:id="275"/>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76" w:name="ref30"/>
      <w:bookmarkEnd w:id="276"/>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77" w:name="ref31"/>
      <w:bookmarkEnd w:id="277"/>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78" w:name="ref32"/>
      <w:bookmarkEnd w:id="278"/>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79" w:name="ref33"/>
      <w:bookmarkEnd w:id="279"/>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80" w:name="ref34"/>
      <w:bookmarkEnd w:id="280"/>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81" w:name="ref35"/>
      <w:bookmarkEnd w:id="281"/>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82" w:name="ref36"/>
      <w:bookmarkEnd w:id="282"/>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83" w:name="ref37"/>
      <w:bookmarkEnd w:id="283"/>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84" w:name="__RefHeading___Toc20189_4112583830"/>
      <w:bookmarkStart w:id="285" w:name="sources-en-ligne"/>
      <w:bookmarkEnd w:id="284"/>
      <w:bookmarkEnd w:id="285"/>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86" w:name="références"/>
      <w:bookmarkStart w:id="287" w:name="sources-en-ligne"/>
      <w:bookmarkStart w:id="288" w:name="références"/>
      <w:bookmarkStart w:id="289" w:name="sources-en-ligne"/>
      <w:bookmarkEnd w:id="288"/>
      <w:bookmarkEnd w:id="289"/>
      <w:r>
        <w:br w:type="page"/>
      </w:r>
    </w:p>
    <w:p>
      <w:pPr>
        <w:pStyle w:val="Heading1"/>
        <w:spacing w:before="0" w:after="240"/>
        <w:rPr/>
      </w:pPr>
      <w:bookmarkStart w:id="290" w:name="__RefHeading___Toc20191_4112583830"/>
      <w:bookmarkStart w:id="291" w:name="annexes"/>
      <w:bookmarkEnd w:id="290"/>
      <w:r>
        <w:rPr/>
        <w:t>Annexes</w:t>
      </w:r>
    </w:p>
    <w:p>
      <w:pPr>
        <w:pStyle w:val="Heading2"/>
        <w:rPr/>
      </w:pPr>
      <w:bookmarkStart w:id="292" w:name="__RefHeading___Toc20193_4112583830"/>
      <w:bookmarkStart w:id="293" w:name="X3ca383dbffb9d55a756372c83cc12a5ba689804"/>
      <w:bookmarkEnd w:id="292"/>
      <w:r>
        <w:rPr/>
        <w:t>Annexe A – Variables des modèles principaux</w:t>
      </w:r>
    </w:p>
    <w:p>
      <w:pPr>
        <w:pStyle w:val="CaptionTable"/>
        <w:keepNext w:val="true"/>
        <w:spacing w:lineRule="auto" w:line="240" w:before="120" w:after="80"/>
        <w:jc w:val="left"/>
        <w:rPr/>
      </w:pPr>
      <w:bookmarkStart w:id="294" w:name="__RefHeading___Toc20215_4112583830"/>
      <w:bookmarkEnd w:id="294"/>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93"/>
    </w:p>
    <w:p>
      <w:pPr>
        <w:pStyle w:val="Heading2"/>
        <w:rPr/>
      </w:pPr>
      <w:bookmarkStart w:id="295" w:name="__RefHeading___Toc20195_4112583830"/>
      <w:bookmarkStart w:id="296" w:name="annexe-b-détail-des-extensions-e1-à-e20"/>
      <w:bookmarkEnd w:id="295"/>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97" w:name="__RefHeading___Toc20213_4112583830"/>
      <w:bookmarkEnd w:id="297"/>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96"/>
    </w:p>
    <w:p>
      <w:pPr>
        <w:pStyle w:val="Heading2"/>
        <w:rPr/>
      </w:pPr>
      <w:bookmarkStart w:id="298" w:name="__RefHeading___Toc20197_4112583830"/>
      <w:bookmarkStart w:id="299" w:name="Xb3e285cc14b2fbc3f04dfc3a545449b954bfbe1"/>
      <w:bookmarkEnd w:id="298"/>
      <w:r>
        <w:rPr/>
        <w:t>Annexe C – Sensibilité à la graine aléatoire</w:t>
      </w:r>
    </w:p>
    <w:p>
      <w:pPr>
        <w:pStyle w:val="CaptionTable"/>
        <w:keepNext w:val="true"/>
        <w:spacing w:lineRule="auto" w:line="240" w:before="120" w:after="80"/>
        <w:jc w:val="left"/>
        <w:rPr/>
      </w:pPr>
      <w:bookmarkStart w:id="300" w:name="__RefHeading___Toc20211_4112583830"/>
      <w:bookmarkEnd w:id="300"/>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99"/>
    </w:p>
    <w:p>
      <w:pPr>
        <w:pStyle w:val="Heading2"/>
        <w:rPr/>
      </w:pPr>
      <w:bookmarkStart w:id="301" w:name="__RefHeading___Toc20199_4112583830"/>
      <w:bookmarkStart w:id="302" w:name="Xd68da8618e318907bf0faf326720b285d49eebd"/>
      <w:bookmarkEnd w:id="301"/>
      <w:r>
        <w:rPr/>
        <w:t>Annexe D – Contrôle négatif : dépenses contre variables de bruit</w:t>
      </w:r>
    </w:p>
    <w:p>
      <w:pPr>
        <w:pStyle w:val="CaptionTable"/>
        <w:keepNext w:val="true"/>
        <w:spacing w:lineRule="auto" w:line="240" w:before="120" w:after="80"/>
        <w:jc w:val="left"/>
        <w:rPr/>
      </w:pPr>
      <w:bookmarkStart w:id="303" w:name="__RefHeading___Toc20209_4112583830"/>
      <w:bookmarkEnd w:id="303"/>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2"/>
    </w:p>
    <w:p>
      <w:pPr>
        <w:pStyle w:val="Heading2"/>
        <w:rPr/>
      </w:pPr>
      <w:bookmarkStart w:id="304" w:name="__RefHeading___Toc20201_4112583830"/>
      <w:bookmarkStart w:id="305" w:name="Xe4aa703dc8ae53bd5a3baef5b8de368c6e05d88"/>
      <w:bookmarkEnd w:id="304"/>
      <w:r>
        <w:rPr/>
        <w:t>Annexe E – Robustesse au décalage de publication</w:t>
      </w:r>
    </w:p>
    <w:p>
      <w:pPr>
        <w:pStyle w:val="CaptionTable"/>
        <w:keepNext w:val="true"/>
        <w:spacing w:lineRule="auto" w:line="240" w:before="120" w:after="80"/>
        <w:jc w:val="left"/>
        <w:rPr/>
      </w:pPr>
      <w:bookmarkStart w:id="306" w:name="__RefHeading___Toc20207_4112583830"/>
      <w:bookmarkEnd w:id="306"/>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05"/>
    </w:p>
    <w:p>
      <w:pPr>
        <w:pStyle w:val="Heading2"/>
        <w:rPr/>
      </w:pPr>
      <w:bookmarkStart w:id="307" w:name="__RefHeading___Toc20203_4112583830"/>
      <w:bookmarkStart w:id="308" w:name="annexe-f-code-et-reproductibilité"/>
      <w:bookmarkEnd w:id="307"/>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1"/>
      <w:bookmarkEnd w:id="308"/>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21713</Words>
  <Characters>107927</Characters>
  <CharactersWithSpaces>126469</CharactersWithSpaces>
  <Paragraphs>3152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2026-10-01T23:42:26Z</dcterms:created>
  <dc:creator>Abdellah Elyamine DALI BRAHAM</dc:creator>
  <dc:description/>
  <dc:language>en-US</dc:language>
  <cp:lastModifiedBy/>
  <dcterms:modified xsi:type="dcterms:W3CDTF">2026-10-01T23:42:32Z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