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A5198" w14:textId="77777777" w:rsidR="009F473C" w:rsidRPr="009F473C" w:rsidRDefault="009F473C" w:rsidP="009F473C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9F473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¿Cuánto le cuesta realmente a su empresa el "silencio operativo" de los procesos manuales?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 w:rsidRPr="009F473C">
        <w:rPr>
          <w:rFonts w:ascii="Segoe UI Emoji" w:eastAsia="Times New Roman" w:hAnsi="Segoe UI Emoji" w:cs="Segoe UI Emoji"/>
          <w:sz w:val="24"/>
          <w:szCs w:val="24"/>
          <w:lang w:eastAsia="es-CL"/>
        </w:rPr>
        <w:t>📊</w:t>
      </w:r>
    </w:p>
    <w:p w14:paraId="773916F9" w14:textId="4DDEE4FD" w:rsidR="009F473C" w:rsidRPr="009F473C" w:rsidRDefault="009F473C" w:rsidP="009F473C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9F473C">
        <w:rPr>
          <w:rFonts w:ascii="Arial" w:eastAsia="Times New Roman" w:hAnsi="Arial" w:cs="Arial"/>
          <w:sz w:val="24"/>
          <w:szCs w:val="24"/>
          <w:lang w:eastAsia="es-CL"/>
        </w:rPr>
        <w:t xml:space="preserve">Como líderes, auditamos con lupa las grandes inversiones. Sin embargo, las fugas de capital más peligrosas suelen ser invisibles. Hablo del flujo manual de rendiciones, cajas chicas y viáticos de viajes administrados mediante cadenas eternas de </w:t>
      </w:r>
      <w:r w:rsidRPr="009F473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emails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 xml:space="preserve">, </w:t>
      </w:r>
      <w:r w:rsidRPr="009F473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hojas de cálculo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 xml:space="preserve"> y </w:t>
      </w:r>
      <w:r w:rsidRPr="009F473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guardado físico de boletas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643337E1" w14:textId="77777777" w:rsidR="009F473C" w:rsidRPr="009F473C" w:rsidRDefault="009F473C" w:rsidP="009F473C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9F473C">
        <w:rPr>
          <w:rFonts w:ascii="Arial" w:eastAsia="Times New Roman" w:hAnsi="Arial" w:cs="Arial"/>
          <w:sz w:val="24"/>
          <w:szCs w:val="24"/>
          <w:lang w:eastAsia="es-CL"/>
        </w:rPr>
        <w:t>Las consecuencias de este arrastre operativo son críticas. Los errores en reportes de rendición de gastos no solo duplican pagos y generan pérdidas financieras directas; su impacto más grave es que fuerzan a la alta dirección a tomar decisiones con una visión sesgada a causa de datos incorrectos.</w:t>
      </w:r>
    </w:p>
    <w:p w14:paraId="1BF3A275" w14:textId="77777777" w:rsidR="009F473C" w:rsidRPr="009F473C" w:rsidRDefault="009F473C" w:rsidP="009F473C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9F473C">
        <w:rPr>
          <w:rFonts w:ascii="Arial" w:eastAsia="Times New Roman" w:hAnsi="Arial" w:cs="Arial"/>
          <w:sz w:val="24"/>
          <w:szCs w:val="24"/>
          <w:lang w:eastAsia="es-CL"/>
        </w:rPr>
        <w:t xml:space="preserve">Para un </w:t>
      </w:r>
      <w:r w:rsidRPr="009F473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CFO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 xml:space="preserve">, </w:t>
      </w:r>
      <w:r w:rsidRPr="009F473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CEO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 xml:space="preserve"> o </w:t>
      </w:r>
      <w:r w:rsidRPr="009F473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Director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>, el verdadero peligro de un cierre de mes basado en papeles no es solo el gasto transaccional, sino tres problemas estratégicos:</w:t>
      </w:r>
    </w:p>
    <w:p w14:paraId="6CAC35AC" w14:textId="77777777" w:rsidR="009F473C" w:rsidRPr="009F473C" w:rsidRDefault="009F473C" w:rsidP="009F473C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9F473C">
        <w:rPr>
          <w:rFonts w:ascii="Segoe UI Emoji" w:eastAsia="Times New Roman" w:hAnsi="Segoe UI Emoji" w:cs="Segoe UI Emoji"/>
          <w:sz w:val="24"/>
          <w:szCs w:val="24"/>
          <w:lang w:eastAsia="es-CL"/>
        </w:rPr>
        <w:t>📉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 w:rsidRPr="009F473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Erosión de la productividad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>: Profesionales senior de finanzas perdiendo horas valiosas persiguiendo comprobantes y digitando datos en lugar de analizar riesgos.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9F473C">
        <w:rPr>
          <w:rFonts w:ascii="Segoe UI Emoji" w:eastAsia="Times New Roman" w:hAnsi="Segoe UI Emoji" w:cs="Segoe UI Emoji"/>
          <w:sz w:val="24"/>
          <w:szCs w:val="24"/>
          <w:lang w:eastAsia="es-CL"/>
        </w:rPr>
        <w:t>👁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 xml:space="preserve">️ </w:t>
      </w:r>
      <w:r w:rsidRPr="009F473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Ceguera financiera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>: Gestionar la caja con datos desactualizados que recién se consolidan semanas después de cerrado el mes.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9F473C">
        <w:rPr>
          <w:rFonts w:ascii="Segoe UI Emoji" w:eastAsia="Times New Roman" w:hAnsi="Segoe UI Emoji" w:cs="Segoe UI Emoji"/>
          <w:sz w:val="24"/>
          <w:szCs w:val="24"/>
          <w:lang w:eastAsia="es-CL"/>
        </w:rPr>
        <w:t>⚠️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 w:rsidRPr="009F473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Riesgo de cumplimiento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>: Procesos vulnerables a la pérdida de trazabilidad auditable ante exigencias regulatorias locales.</w:t>
      </w:r>
    </w:p>
    <w:p w14:paraId="2593F927" w14:textId="77777777" w:rsidR="009F473C" w:rsidRPr="009F473C" w:rsidRDefault="009F473C" w:rsidP="009F473C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9F473C">
        <w:rPr>
          <w:rFonts w:ascii="Arial" w:eastAsia="Times New Roman" w:hAnsi="Arial" w:cs="Arial"/>
          <w:sz w:val="24"/>
          <w:szCs w:val="24"/>
          <w:lang w:eastAsia="es-CL"/>
        </w:rPr>
        <w:t xml:space="preserve">El control financiero moderno no puede ser sinónimo de burocracia pesada. La eficiencia real radica en la </w:t>
      </w:r>
      <w:r w:rsidRPr="009F473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agilidad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38CA15C6" w14:textId="6538C4B3" w:rsidR="009F473C" w:rsidRPr="009F473C" w:rsidRDefault="00B5112F" w:rsidP="009F473C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>
        <w:rPr>
          <w:rFonts w:ascii="Arial" w:eastAsia="Times New Roman" w:hAnsi="Arial" w:cs="Arial"/>
          <w:sz w:val="24"/>
          <w:szCs w:val="24"/>
          <w:lang w:eastAsia="es-CL"/>
        </w:rPr>
        <w:t xml:space="preserve">Te </w:t>
      </w:r>
      <w:r w:rsidR="009F473C" w:rsidRPr="009F473C">
        <w:rPr>
          <w:rFonts w:ascii="Arial" w:eastAsia="Times New Roman" w:hAnsi="Arial" w:cs="Arial"/>
          <w:sz w:val="24"/>
          <w:szCs w:val="24"/>
          <w:lang w:eastAsia="es-CL"/>
        </w:rPr>
        <w:t xml:space="preserve"> ayudamos a transformar este cuello de botella en un proceso ágil y sencillo. Rediseñamos sus flujos de aprobación de viáticos y cajas chicas para eliminar el papel, mitigar los errores humanos de digitación y otorgar visibilidad del gasto en tiempo real, conectando la operación directo con su contabilidad.</w:t>
      </w:r>
    </w:p>
    <w:p w14:paraId="3BB22725" w14:textId="77777777" w:rsidR="009F473C" w:rsidRPr="009F473C" w:rsidRDefault="009F473C" w:rsidP="009F473C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9F473C">
        <w:rPr>
          <w:rFonts w:ascii="Arial" w:eastAsia="Times New Roman" w:hAnsi="Arial" w:cs="Arial"/>
          <w:sz w:val="24"/>
          <w:szCs w:val="24"/>
          <w:lang w:eastAsia="es-CL"/>
        </w:rPr>
        <w:t>Menos fricción operativa. Más decisiones estratégicas.</w:t>
      </w:r>
    </w:p>
    <w:p w14:paraId="3C948498" w14:textId="77777777" w:rsidR="009F473C" w:rsidRPr="009F473C" w:rsidRDefault="009F473C" w:rsidP="009F473C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9F473C">
        <w:rPr>
          <w:rFonts w:ascii="Arial" w:eastAsia="Times New Roman" w:hAnsi="Arial" w:cs="Arial"/>
          <w:sz w:val="24"/>
          <w:szCs w:val="24"/>
          <w:lang w:eastAsia="es-CL"/>
        </w:rPr>
        <w:t>Si su equipo pasa más tiempo persiguiendo recibos que analizando el negocio, es momento de evolucionar.</w:t>
      </w:r>
    </w:p>
    <w:p w14:paraId="28AF8001" w14:textId="77777777" w:rsidR="009F473C" w:rsidRPr="009F473C" w:rsidRDefault="009F473C" w:rsidP="009F473C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9F473C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9F473C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 w:rsidRPr="009F473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¿Cómo maneja actualmente su organización el cierre de gastos del mes? Los leo en los comentarios.</w:t>
      </w:r>
    </w:p>
    <w:p w14:paraId="6FCE7676" w14:textId="77777777" w:rsidR="009F473C" w:rsidRPr="009F473C" w:rsidRDefault="009F473C" w:rsidP="009F473C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9F473C">
        <w:rPr>
          <w:rFonts w:ascii="Arial" w:eastAsia="Times New Roman" w:hAnsi="Arial" w:cs="Arial"/>
          <w:sz w:val="24"/>
          <w:szCs w:val="24"/>
          <w:lang w:eastAsia="es-CL"/>
        </w:rPr>
        <w:t>#GestiónFinanciera #Liderazgo #CFO #TransformaciónDigital #EficienciaOperativa #FinanzasChile #Productividad</w:t>
      </w:r>
    </w:p>
    <w:p w14:paraId="7EF0550B" w14:textId="77777777" w:rsidR="00DE24D8" w:rsidRDefault="00DE24D8"/>
    <w:sectPr w:rsidR="00DE24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3C"/>
    <w:rsid w:val="009F473C"/>
    <w:rsid w:val="00B5112F"/>
    <w:rsid w:val="00DE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8CBDD"/>
  <w15:chartTrackingRefBased/>
  <w15:docId w15:val="{DC5503D1-AB68-4A75-B1F7-A4CE658F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F47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3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578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43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74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42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36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537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8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93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7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500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66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2026-06-15T18:40:00Z</dcterms:created>
  <dcterms:modified xsi:type="dcterms:W3CDTF">2026-06-15T18:41:00Z</dcterms:modified>
</cp:coreProperties>
</file>