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Arial" w:cs="Arial" w:eastAsia="Arial" w:hAnsi="Arial"/>
          <w:b/>
          <w:bCs/>
          <w:color w:val="1F3864"/>
          <w:sz w:val="20"/>
          <w:szCs w:val="20"/>
        </w:rPr>
        <w:t xml:space="preserve">A.R.E.N.A. VIETNAM — QUALITY &amp; COMPLIANCE</w:t>
      </w:r>
    </w:p>
    <w:p>
      <w:pPr>
        <w:spacing w:after="120"/>
      </w:pPr>
      <w:r>
        <w:rPr>
          <w:rFonts w:ascii="Arial" w:cs="Arial" w:eastAsia="Arial" w:hAnsi="Arial"/>
          <w:b/>
          <w:bCs/>
          <w:color w:val="1F3864"/>
          <w:sz w:val="44"/>
          <w:szCs w:val="44"/>
        </w:rPr>
        <w:t xml:space="preserve">Master Quality Compliance Guideline</w:t>
      </w:r>
    </w:p>
    <w:p>
      <w:pPr>
        <w:spacing w:after="400"/>
      </w:pPr>
      <w:r>
        <w:rPr>
          <w:rFonts w:ascii="Arial" w:cs="Arial" w:eastAsia="Arial" w:hAnsi="Arial"/>
          <w:b/>
          <w:bCs/>
          <w:sz w:val="30"/>
          <w:szCs w:val="30"/>
        </w:rPr>
        <w:t xml:space="preserve">Manual Hand Pallet Truck (pedestrian-propelled, hydraulic lift)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Document reference</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MCG-DIY-HT-PT-001</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Version / status</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v1.3 — Draft for CQAD approval (process flowcharts Fig. 1–3; regulatory cross-check 14/10/2026)</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Issue date</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14/10/2026</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Department</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DIY</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Product Family (QSD level)</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Hand Tools</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Product Sub-Family (QCP level)</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Storage / Moving</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Compliance pathway</w:t>
            </w:r>
          </w:p>
        </w:tc>
        <w:tc>
          <w:tcPr>
            <w:tcW w:type="dxa" w:w="6747"/>
            <w:tcMar>
              <w:top w:type="dxa" w:w="50"/>
              <w:left w:type="dxa" w:w="80"/>
              <w:bottom w:type="dxa" w:w="50"/>
              <w:right w:type="dxa" w:w="80"/>
            </w:tcMar>
            <w:vAlign w:val="top"/>
          </w:tcPr>
          <w:p>
            <w:pPr>
              <w:spacing w:after="30"/>
            </w:pPr>
            <w:r>
              <w:rPr>
                <w:rFonts w:ascii="Arial" w:cs="Arial" w:eastAsia="Arial" w:hAnsi="Arial"/>
                <w:b/>
                <w:bCs/>
                <w:sz w:val="17"/>
                <w:szCs w:val="17"/>
              </w:rPr>
              <w:t xml:space="preserve">PATHWAY A — CE marking</w:t>
            </w:r>
            <w:r>
              <w:rPr>
                <w:rFonts w:ascii="Arial" w:cs="Arial" w:eastAsia="Arial" w:hAnsi="Arial"/>
                <w:sz w:val="17"/>
                <w:szCs w:val="17"/>
              </w:rPr>
              <w:t xml:space="preserve"> · Machinery Directive 2006/42/EC → Machinery Regulation (EU) 2023/1230 from 20/01/2027 · Internal production control (Module A), no Notified Body</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Target markets</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EU-27 + Switzerland</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Allies</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HAGEBAU · ITM · BCM · DEDEMAN · JUMBO/Coop</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Mode</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Mode 1 — Category level (supplier / factory fields left as [___])</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Source document</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Product requirements – pallet truck (sample validation checklist, A.R.E.N.A. template)</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Prepared by / Approved by</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QS [___]  /  CQAD [___]</w:t>
            </w:r>
          </w:p>
        </w:tc>
      </w:tr>
    </w:tbl>
    <w:p>
      <w:pPr>
        <w:spacing w:after="80"/>
      </w:pPr>
    </w:p>
    <w:p>
      <w:pPr>
        <w:spacing w:after="120"/>
      </w:pPr>
      <w:r>
        <w:rPr>
          <w:rFonts w:ascii="Arial" w:cs="Arial" w:eastAsia="Arial" w:hAnsi="Arial"/>
          <w:i/>
          <w:iCs/>
          <w:sz w:val="16"/>
          <w:szCs w:val="16"/>
        </w:rPr>
        <w:t xml:space="preserve">Regulatory status cross-checked on 14/10/2026 against EUR-Lex, Commission, BAuA/ZLS, CEN national catalogues and SECO publications. Items still open are listed in Annex E and marked “verify” in the text; close them before release as controlled document.</w:t>
      </w:r>
    </w:p>
    <w:p>
      <w:r>
        <w:br w:type="page"/>
      </w:r>
    </w:p>
    <w:p>
      <w:pPr>
        <w:spacing w:after="120"/>
      </w:pPr>
      <w:r>
        <w:rPr>
          <w:rFonts w:ascii="Arial" w:cs="Arial" w:eastAsia="Arial" w:hAnsi="Arial"/>
          <w:b/>
          <w:bCs/>
          <w:color w:val="1F3864"/>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rFonts w:ascii="Arial" w:cs="Arial" w:eastAsia="Arial" w:hAnsi="Arial"/>
          <w:i/>
          <w:iCs/>
          <w:sz w:val="16"/>
          <w:szCs w:val="16"/>
        </w:rPr>
        <w:t xml:space="preserve">(Right-click → Update field in Word to refresh page numbers.)</w:t>
      </w:r>
    </w:p>
    <w:p>
      <w:r>
        <w:br w:type="page"/>
      </w:r>
    </w:p>
    <w:p>
      <w:pPr>
        <w:pStyle w:val="Heading1"/>
        <w:spacing w:after="160" w:before="240"/>
      </w:pPr>
      <w:r>
        <w:rPr>
          <w:rFonts w:ascii="Arial" w:cs="Arial" w:eastAsia="Arial" w:hAnsi="Arial"/>
          <w:b/>
          <w:bCs/>
          <w:color w:val="1F3864"/>
          <w:sz w:val="28"/>
          <w:szCs w:val="28"/>
        </w:rPr>
        <w:t xml:space="preserve">1. Executive Summary</w:t>
      </w:r>
    </w:p>
    <w:p>
      <w:pPr>
        <w:pStyle w:val="ListParagraph"/>
        <w:numPr>
          <w:ilvl w:val="0"/>
          <w:numId w:val="2"/>
        </w:numPr>
        <w:spacing w:after="60"/>
      </w:pPr>
      <w:r>
        <w:rPr>
          <w:rFonts w:ascii="Arial" w:cs="Arial" w:eastAsia="Arial" w:hAnsi="Arial"/>
          <w:b/>
          <w:bCs/>
          <w:sz w:val="20"/>
          <w:szCs w:val="20"/>
        </w:rPr>
        <w:t xml:space="preserve">Pathway A (CE).</w:t>
      </w:r>
      <w:r>
        <w:rPr>
          <w:rFonts w:ascii="Arial" w:cs="Arial" w:eastAsia="Arial" w:hAnsi="Arial"/>
          <w:sz w:val="20"/>
          <w:szCs w:val="20"/>
        </w:rPr>
        <w:t xml:space="preserve"> A manual pallet truck is lifting machinery whose only power source is directly applied human effort — within the scope of the Machinery Directive 2006/42/EC (Art. 2(a), 4th indent) and of the Machinery Regulation (EU) 2023/1230 from 20/01/2027.</w:t>
      </w:r>
    </w:p>
    <w:p>
      <w:pPr>
        <w:pStyle w:val="ListParagraph"/>
        <w:numPr>
          <w:ilvl w:val="0"/>
          <w:numId w:val="2"/>
        </w:numPr>
        <w:spacing w:after="60"/>
      </w:pPr>
      <w:r>
        <w:rPr>
          <w:rFonts w:ascii="Arial" w:cs="Arial" w:eastAsia="Arial" w:hAnsi="Arial"/>
          <w:b/>
          <w:bCs/>
          <w:sz w:val="20"/>
          <w:szCs w:val="20"/>
        </w:rPr>
        <w:t xml:space="preserve">Regulatory switch-over.</w:t>
      </w:r>
      <w:r>
        <w:rPr>
          <w:rFonts w:ascii="Arial" w:cs="Arial" w:eastAsia="Arial" w:hAnsi="Arial"/>
          <w:sz w:val="20"/>
          <w:szCs w:val="20"/>
        </w:rPr>
        <w:t xml:space="preserve"> Units placed on the EU market up to 19/01/2027 → MD 2006/42/EC. Units placed on the market from 20/01/2027 → MR (EU) 2023/1230 (new DoC wording, Annex III EHSR, importer marking, instructions rules). Any P.O. with EU arrival on or after 20/01/2027 shall be documented under the MR.</w:t>
      </w:r>
    </w:p>
    <w:p>
      <w:pPr>
        <w:pStyle w:val="ListParagraph"/>
        <w:numPr>
          <w:ilvl w:val="0"/>
          <w:numId w:val="2"/>
        </w:numPr>
        <w:spacing w:after="60"/>
      </w:pPr>
      <w:r>
        <w:rPr>
          <w:rFonts w:ascii="Arial" w:cs="Arial" w:eastAsia="Arial" w:hAnsi="Arial"/>
          <w:b/>
          <w:bCs/>
          <w:sz w:val="20"/>
          <w:szCs w:val="20"/>
        </w:rPr>
        <w:t xml:space="preserve">Conformity assessment.</w:t>
      </w:r>
      <w:r>
        <w:rPr>
          <w:rFonts w:ascii="Arial" w:cs="Arial" w:eastAsia="Arial" w:hAnsi="Arial"/>
          <w:sz w:val="20"/>
          <w:szCs w:val="20"/>
        </w:rPr>
        <w:t xml:space="preserve"> Not listed in MD Annex IV / MR Annex I → internal production control (MD Art. 12(2), Annex VIII; MR Module A, Annex VI). No Notified Body; A.R.E.N.A. requires an ISO/IEC 17025-accredited third-party test report.</w:t>
      </w:r>
    </w:p>
    <w:p>
      <w:pPr>
        <w:pStyle w:val="ListParagraph"/>
        <w:numPr>
          <w:ilvl w:val="0"/>
          <w:numId w:val="2"/>
        </w:numPr>
        <w:spacing w:after="60"/>
      </w:pPr>
      <w:r>
        <w:rPr>
          <w:rFonts w:ascii="Arial" w:cs="Arial" w:eastAsia="Arial" w:hAnsi="Arial"/>
          <w:b/>
          <w:bCs/>
          <w:sz w:val="20"/>
          <w:szCs w:val="20"/>
        </w:rPr>
        <w:t xml:space="preserve">Harmonised standards.</w:t>
      </w:r>
      <w:r>
        <w:rPr>
          <w:rFonts w:ascii="Arial" w:cs="Arial" w:eastAsia="Arial" w:hAnsi="Arial"/>
          <w:sz w:val="20"/>
          <w:szCs w:val="20"/>
        </w:rPr>
        <w:t xml:space="preserve"> EN ISO 3691-5:2015 + AC:2016 + A1:2020 (pedestrian-propelled trucks; ISO 3691-5:2014 confirmed 2021, no revision found), </w:t>
      </w:r>
      <w:r>
        <w:rPr>
          <w:rFonts w:ascii="Arial" w:cs="Arial" w:eastAsia="Arial" w:hAnsi="Arial"/>
          <w:b/>
          <w:bCs/>
          <w:sz w:val="20"/>
          <w:szCs w:val="20"/>
        </w:rPr>
        <w:t xml:space="preserve">EN 16307-5:2023</w:t>
      </w:r>
      <w:r>
        <w:rPr>
          <w:rFonts w:ascii="Arial" w:cs="Arial" w:eastAsia="Arial" w:hAnsi="Arial"/>
          <w:sz w:val="20"/>
          <w:szCs w:val="20"/>
        </w:rPr>
        <w:t xml:space="preserve"> (supplementary requirements; supersedes EN 16307-5:2013, withdrawn 29/12/2023), EN ISO 12100:2010. MR: no list of harmonised standards published in the OJEU as of September 2026 (first list expected end-2026); MD citations do not automatically give presumption of conformity under MR Art. 20.</w:t>
      </w:r>
    </w:p>
    <w:p>
      <w:pPr>
        <w:pStyle w:val="ListParagraph"/>
        <w:numPr>
          <w:ilvl w:val="0"/>
          <w:numId w:val="2"/>
        </w:numPr>
        <w:spacing w:after="60"/>
      </w:pPr>
      <w:r>
        <w:rPr>
          <w:rFonts w:ascii="Arial" w:cs="Arial" w:eastAsia="Arial" w:hAnsi="Arial"/>
          <w:b/>
          <w:bCs/>
          <w:sz w:val="20"/>
          <w:szCs w:val="20"/>
        </w:rPr>
        <w:t xml:space="preserve">Horizontal overlays.</w:t>
      </w:r>
      <w:r>
        <w:rPr>
          <w:rFonts w:ascii="Arial" w:cs="Arial" w:eastAsia="Arial" w:hAnsi="Arial"/>
          <w:sz w:val="20"/>
          <w:szCs w:val="20"/>
        </w:rPr>
        <w:t xml:space="preserve"> REACH (Art. 33 SVHC, Annex XVII entries 50 PAH and 51 phthalates for grips/wheels), POPs (EU) 2019/1021 (SCCP), PPWR (EU) 2025/40 (applicable since 12/08/2026), GPSR (EU) 2023/988 (complementary), Reg. (EU) 2019/1020 Art. 4 (EU economic operator).</w:t>
      </w:r>
    </w:p>
    <w:p>
      <w:pPr>
        <w:pStyle w:val="ListParagraph"/>
        <w:numPr>
          <w:ilvl w:val="0"/>
          <w:numId w:val="2"/>
        </w:numPr>
        <w:spacing w:after="60"/>
      </w:pPr>
      <w:r>
        <w:rPr>
          <w:rFonts w:ascii="Arial" w:cs="Arial" w:eastAsia="Arial" w:hAnsi="Arial"/>
          <w:b/>
          <w:bCs/>
          <w:sz w:val="20"/>
          <w:szCs w:val="20"/>
        </w:rPr>
        <w:t xml:space="preserve">Key corrections to the source checklist:</w:t>
      </w:r>
      <w:r>
        <w:rPr>
          <w:rFonts w:ascii="Arial" w:cs="Arial" w:eastAsia="Arial" w:hAnsi="Arial"/>
          <w:sz w:val="20"/>
          <w:szCs w:val="20"/>
        </w:rPr>
        <w:t xml:space="preserve"> GPSD 2001/95/EC → GPSR; PPWD 94/62/EC → PPWR; dynamic test (1.1 × rated load), load holding, overload device, crushing points, data plate and instructions checks added; AQL sampling plan defined. Full log in Section 15.</w:t>
      </w:r>
    </w:p>
    <w:p>
      <w:pPr>
        <w:pStyle w:val="ListParagraph"/>
        <w:numPr>
          <w:ilvl w:val="0"/>
          <w:numId w:val="2"/>
        </w:numPr>
        <w:spacing w:after="60"/>
      </w:pPr>
      <w:r>
        <w:rPr>
          <w:rFonts w:ascii="Arial" w:cs="Arial" w:eastAsia="Arial" w:hAnsi="Arial"/>
          <w:b/>
          <w:bCs/>
          <w:sz w:val="20"/>
          <w:szCs w:val="20"/>
        </w:rPr>
        <w:t xml:space="preserve">GS mark (voluntary, Germany).</w:t>
      </w:r>
      <w:r>
        <w:rPr>
          <w:rFonts w:ascii="Arial" w:cs="Arial" w:eastAsia="Arial" w:hAnsi="Arial"/>
          <w:sz w:val="20"/>
          <w:szCs w:val="20"/>
        </w:rPr>
        <w:t xml:space="preserve"> Where an Ally (e.g. HAGEBAU) orders GS, a ZLS-recognised GS body (TÜV SÜD / TÜV Rheinland / TÜV NORD or equivalent) tests the type to EN ISO 3691-5 + AfPS GS 2019:01 PAK, inspects the factory before award and annually thereafter; certificate max. 5 years (ProdSG §§ 20–24). Process in Section 10.</w:t>
      </w:r>
    </w:p>
    <w:p>
      <w:pPr>
        <w:pStyle w:val="ListParagraph"/>
        <w:numPr>
          <w:ilvl w:val="0"/>
          <w:numId w:val="2"/>
        </w:numPr>
        <w:spacing w:after="60"/>
      </w:pPr>
      <w:r>
        <w:rPr>
          <w:rFonts w:ascii="Arial" w:cs="Arial" w:eastAsia="Arial" w:hAnsi="Arial"/>
          <w:b/>
          <w:bCs/>
          <w:sz w:val="20"/>
          <w:szCs w:val="20"/>
        </w:rPr>
        <w:t xml:space="preserve">Release (SRC) critical items:</w:t>
      </w:r>
      <w:r>
        <w:rPr>
          <w:rFonts w:ascii="Arial" w:cs="Arial" w:eastAsia="Arial" w:hAnsi="Arial"/>
          <w:sz w:val="20"/>
          <w:szCs w:val="20"/>
        </w:rPr>
        <w:t xml:space="preserve"> valid test report covering the variant, signed DoC in Ally language(s), CE + complete data plate incl. rated capacity, paper instructions in the destination language(s), FRI PASS (Cr 0 / Ma 2.5 / Mi 4.0), PPWR packaging data, SVHC declaration.</w:t>
      </w:r>
    </w:p>
    <w:p>
      <w:r>
        <w:br w:type="page"/>
      </w:r>
    </w:p>
    <w:p>
      <w:pPr>
        <w:pStyle w:val="Heading2"/>
        <w:spacing w:after="120" w:before="200"/>
      </w:pPr>
      <w:r>
        <w:rPr>
          <w:rFonts w:ascii="Arial" w:cs="Arial" w:eastAsia="Arial" w:hAnsi="Arial"/>
          <w:b/>
          <w:bCs/>
          <w:color w:val="1F3864"/>
          <w:sz w:val="24"/>
          <w:szCs w:val="24"/>
        </w:rPr>
        <w:t xml:space="preserve">1.1 Process overview — compliance chain flowchart</w:t>
      </w:r>
    </w:p>
    <w:p>
      <w:pPr>
        <w:spacing w:after="60"/>
        <w:jc w:val="center"/>
      </w:pPr>
      <w:r>
        <w:drawing>
          <wp:inline distT="0" distB="0" distL="0" distR="0">
            <wp:extent cx="5715000" cy="757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7572375"/>
                    </a:xfrm>
                    <a:prstGeom prst="rect">
                      <a:avLst/>
                    </a:prstGeom>
                  </pic:spPr>
                </pic:pic>
              </a:graphicData>
            </a:graphic>
          </wp:inline>
        </w:drawing>
      </w:r>
    </w:p>
    <w:p>
      <w:pPr>
        <w:spacing w:after="160"/>
        <w:jc w:val="center"/>
      </w:pPr>
      <w:r>
        <w:rPr>
          <w:rFonts w:ascii="Arial" w:cs="Arial" w:eastAsia="Arial" w:hAnsi="Arial"/>
          <w:i/>
          <w:iCs/>
          <w:color w:val="595959"/>
          <w:sz w:val="16"/>
          <w:szCs w:val="16"/>
        </w:rPr>
        <w:t xml:space="preserve">Figure 1 — Sequential 8-link chain with go/no-go gates; the MD/MR decision is taken on the EU arrival date of each P.O.</w:t>
      </w:r>
    </w:p>
    <w:p>
      <w:r>
        <w:br w:type="page"/>
      </w:r>
    </w:p>
    <w:p>
      <w:pPr>
        <w:pStyle w:val="Heading1"/>
        <w:spacing w:after="160" w:before="240"/>
      </w:pPr>
      <w:r>
        <w:rPr>
          <w:rFonts w:ascii="Arial" w:cs="Arial" w:eastAsia="Arial" w:hAnsi="Arial"/>
          <w:b/>
          <w:bCs/>
          <w:color w:val="1F3864"/>
          <w:sz w:val="28"/>
          <w:szCs w:val="28"/>
        </w:rPr>
        <w:t xml:space="preserve">2. Link 1 — 4-Step Compliance Determination</w:t>
      </w:r>
    </w:p>
    <w:p>
      <w:pPr>
        <w:pStyle w:val="Heading2"/>
        <w:spacing w:after="120" w:before="200"/>
      </w:pPr>
      <w:r>
        <w:rPr>
          <w:rFonts w:ascii="Arial" w:cs="Arial" w:eastAsia="Arial" w:hAnsi="Arial"/>
          <w:b/>
          <w:bCs/>
          <w:color w:val="1F3864"/>
          <w:sz w:val="24"/>
          <w:szCs w:val="24"/>
        </w:rPr>
        <w:t xml:space="preserve">2.1 Step I — Intended use and foreseeable misuse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Function</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Horizontal transport of palletised loads up to the rated capacity Q (typically 2 000–3 000 kg at load centre c = 600 mm — confirm per offer); fork lift by pumping the tiller; controlled lowering by hand lever (and/or foot pedal).</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Operating environment</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Smooth, level, hard floors; indoor warehouses, shops, workshops (EN ISO 3691-5 Cl. 3 definition — verify).</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User population</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Professional operators and non-professional DIY customers (DIY retail channel → consumer use assumed for instructions and safety information).</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Reasonably foreseeable misuse</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Overloading; eccentric / off-centre loads; use on slopes or uneven ground; riding on the truck; lifting persons; use as vehicle jack; parking on gradient without brake; children playing with parked truck; tiller released under load.</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Vehicle component?</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No → Pathway D excluded</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Biocidal claim?</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No → Pathway E excluded</w:t>
            </w:r>
          </w:p>
        </w:tc>
      </w:tr>
    </w:tbl>
    <w:p>
      <w:pPr>
        <w:spacing w:after="80"/>
      </w:pPr>
    </w:p>
    <w:p>
      <w:pPr>
        <w:pStyle w:val="Heading2"/>
        <w:spacing w:after="120" w:before="200"/>
      </w:pPr>
      <w:r>
        <w:rPr>
          <w:rFonts w:ascii="Arial" w:cs="Arial" w:eastAsia="Arial" w:hAnsi="Arial"/>
          <w:b/>
          <w:bCs/>
          <w:color w:val="1F3864"/>
          <w:sz w:val="24"/>
          <w:szCs w:val="24"/>
        </w:rPr>
        <w:t xml:space="preserve">2.2 Step II — Directive scope check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349"/>
        <w:gridCol w:w="3663"/>
      </w:tblGrid>
      <w:tr>
        <w:trPr>
          <w:tblHeader/>
        </w:trPr>
        <w:tc>
          <w:tcPr>
            <w:tcW w:type="dxa" w:w="231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Directive / Regulation</w:t>
            </w:r>
          </w:p>
        </w:tc>
        <w:tc>
          <w:tcPr>
            <w:tcW w:type="dxa" w:w="231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Scope clause</w:t>
            </w:r>
          </w:p>
        </w:tc>
        <w:tc>
          <w:tcPr>
            <w:tcW w:type="dxa" w:w="134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In scope?</w:t>
            </w:r>
          </w:p>
        </w:tc>
        <w:tc>
          <w:tcPr>
            <w:tcW w:type="dxa" w:w="366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Justification</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Machinery Directive 2006/42/EC</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Art. 1(1)(a); Art. 2(a) 4th indent</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YES (until 19/01/2027)</w:t>
            </w:r>
          </w:p>
        </w:tc>
        <w:tc>
          <w:tcPr>
            <w:tcW w:type="dxa" w:w="3663"/>
            <w:tcMar>
              <w:top w:type="dxa" w:w="50"/>
              <w:left w:type="dxa" w:w="80"/>
              <w:bottom w:type="dxa" w:w="50"/>
              <w:right w:type="dxa" w:w="80"/>
            </w:tcMar>
            <w:vAlign w:val="top"/>
          </w:tcPr>
          <w:p>
            <w:pPr>
              <w:spacing w:after="30"/>
            </w:pPr>
            <w:r>
              <w:rPr>
                <w:rFonts w:ascii="Arial" w:cs="Arial" w:eastAsia="Arial" w:hAnsi="Arial"/>
                <w:sz w:val="17"/>
                <w:szCs w:val="17"/>
              </w:rPr>
              <w:t xml:space="preserve">Assembly for lifting loads whose only power source is directly applied human effort.</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Machinery Regulation (EU) 2023/1230</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Art. 2; Art. 3 definition of “machinery” (manual lifting assemblies) — verify point</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YES (from 20/01/2027)</w:t>
            </w:r>
          </w:p>
        </w:tc>
        <w:tc>
          <w:tcPr>
            <w:tcW w:type="dxa" w:w="3663"/>
            <w:tcMar>
              <w:top w:type="dxa" w:w="50"/>
              <w:left w:type="dxa" w:w="80"/>
              <w:bottom w:type="dxa" w:w="50"/>
              <w:right w:type="dxa" w:w="80"/>
            </w:tcMar>
            <w:vAlign w:val="top"/>
          </w:tcPr>
          <w:p>
            <w:pPr>
              <w:spacing w:after="30"/>
            </w:pPr>
            <w:r>
              <w:rPr>
                <w:rFonts w:ascii="Arial" w:cs="Arial" w:eastAsia="Arial" w:hAnsi="Arial"/>
                <w:sz w:val="17"/>
                <w:szCs w:val="17"/>
              </w:rPr>
              <w:t xml:space="preserve">Same scope logic carried over from MD.</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LVD 2014/35/EU / EMC 2014/30/EU</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Art. 1 / Art. 2</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3663"/>
            <w:tcMar>
              <w:top w:type="dxa" w:w="50"/>
              <w:left w:type="dxa" w:w="80"/>
              <w:bottom w:type="dxa" w:w="50"/>
              <w:right w:type="dxa" w:w="80"/>
            </w:tcMar>
            <w:vAlign w:val="top"/>
          </w:tcPr>
          <w:p>
            <w:pPr>
              <w:spacing w:after="30"/>
            </w:pPr>
            <w:r>
              <w:rPr>
                <w:rFonts w:ascii="Arial" w:cs="Arial" w:eastAsia="Arial" w:hAnsi="Arial"/>
                <w:sz w:val="17"/>
                <w:szCs w:val="17"/>
              </w:rPr>
              <w:t xml:space="preserve">No electrical equipment.</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RED 2014/53/EU / RoHS 2011/65/EU</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Art. 1 / Art. 2</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3663"/>
            <w:tcMar>
              <w:top w:type="dxa" w:w="50"/>
              <w:left w:type="dxa" w:w="80"/>
              <w:bottom w:type="dxa" w:w="50"/>
              <w:right w:type="dxa" w:w="80"/>
            </w:tcMar>
            <w:vAlign w:val="top"/>
          </w:tcPr>
          <w:p>
            <w:pPr>
              <w:spacing w:after="30"/>
            </w:pPr>
            <w:r>
              <w:rPr>
                <w:rFonts w:ascii="Arial" w:cs="Arial" w:eastAsia="Arial" w:hAnsi="Arial"/>
                <w:sz w:val="17"/>
                <w:szCs w:val="17"/>
              </w:rPr>
              <w:t xml:space="preserve">No radio or EEE.</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Toys Reg. (EU) 2025/2509</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Art. 2</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3663"/>
            <w:tcMar>
              <w:top w:type="dxa" w:w="50"/>
              <w:left w:type="dxa" w:w="80"/>
              <w:bottom w:type="dxa" w:w="50"/>
              <w:right w:type="dxa" w:w="80"/>
            </w:tcMar>
            <w:vAlign w:val="top"/>
          </w:tcPr>
          <w:p>
            <w:pPr>
              <w:spacing w:after="30"/>
            </w:pPr>
            <w:r>
              <w:rPr>
                <w:rFonts w:ascii="Arial" w:cs="Arial" w:eastAsia="Arial" w:hAnsi="Arial"/>
                <w:sz w:val="17"/>
                <w:szCs w:val="17"/>
              </w:rPr>
              <w:t xml:space="preserve">Not designed for play.</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PPE (EU) 2016/425 / CPR 305/2011</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Art. 3 / Art. 2</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3663"/>
            <w:tcMar>
              <w:top w:type="dxa" w:w="50"/>
              <w:left w:type="dxa" w:w="80"/>
              <w:bottom w:type="dxa" w:w="50"/>
              <w:right w:type="dxa" w:w="80"/>
            </w:tcMar>
            <w:vAlign w:val="top"/>
          </w:tcPr>
          <w:p>
            <w:pPr>
              <w:spacing w:after="30"/>
            </w:pPr>
            <w:r>
              <w:rPr>
                <w:rFonts w:ascii="Arial" w:cs="Arial" w:eastAsia="Arial" w:hAnsi="Arial"/>
                <w:sz w:val="17"/>
                <w:szCs w:val="17"/>
              </w:rPr>
              <w:t xml:space="preserve">Not PPE; not incorporated in construction works.</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GPSR (EU) 2023/988</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Art. 2(1) 2nd subpara.</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COMPLEMENTARY</w:t>
            </w:r>
          </w:p>
        </w:tc>
        <w:tc>
          <w:tcPr>
            <w:tcW w:type="dxa" w:w="3663"/>
            <w:tcMar>
              <w:top w:type="dxa" w:w="50"/>
              <w:left w:type="dxa" w:w="80"/>
              <w:bottom w:type="dxa" w:w="50"/>
              <w:right w:type="dxa" w:w="80"/>
            </w:tcMar>
            <w:vAlign w:val="top"/>
          </w:tcPr>
          <w:p>
            <w:pPr>
              <w:spacing w:after="30"/>
            </w:pPr>
            <w:r>
              <w:rPr>
                <w:rFonts w:ascii="Arial" w:cs="Arial" w:eastAsia="Arial" w:hAnsi="Arial"/>
                <w:sz w:val="17"/>
                <w:szCs w:val="17"/>
              </w:rPr>
              <w:t xml:space="preserve">Applies to aspects/risks not covered by MD/MR and to obligations such as accident notification (Art. 20), online sales (Art. 22) and recalls (Art. 35–37).</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Market Surveillance Reg. (EU) 2019/1020</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Art. 4</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YES</w:t>
            </w:r>
          </w:p>
        </w:tc>
        <w:tc>
          <w:tcPr>
            <w:tcW w:type="dxa" w:w="3663"/>
            <w:tcMar>
              <w:top w:type="dxa" w:w="50"/>
              <w:left w:type="dxa" w:w="80"/>
              <w:bottom w:type="dxa" w:w="50"/>
              <w:right w:type="dxa" w:w="80"/>
            </w:tcMar>
            <w:vAlign w:val="top"/>
          </w:tcPr>
          <w:p>
            <w:pPr>
              <w:spacing w:after="30"/>
            </w:pPr>
            <w:r>
              <w:rPr>
                <w:rFonts w:ascii="Arial" w:cs="Arial" w:eastAsia="Arial" w:hAnsi="Arial"/>
                <w:sz w:val="17"/>
                <w:szCs w:val="17"/>
              </w:rPr>
              <w:t xml:space="preserve">Machinery listed in Art. 4(5): an EU-established economic operator is mandatory; name and contact on product, packaging or accompanying document.</w:t>
            </w:r>
          </w:p>
        </w:tc>
      </w:tr>
    </w:tbl>
    <w:p>
      <w:pPr>
        <w:spacing w:after="80"/>
      </w:pPr>
    </w:p>
    <w:p>
      <w:pPr>
        <w:pStyle w:val="Heading2"/>
        <w:spacing w:after="120" w:before="200"/>
      </w:pPr>
      <w:r>
        <w:rPr>
          <w:rFonts w:ascii="Arial" w:cs="Arial" w:eastAsia="Arial" w:hAnsi="Arial"/>
          <w:b/>
          <w:bCs/>
          <w:color w:val="1F3864"/>
          <w:sz w:val="24"/>
          <w:szCs w:val="24"/>
        </w:rPr>
        <w:t xml:space="preserve">2.3 Step III — Material composition overlays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2120"/>
        <w:gridCol w:w="5013"/>
      </w:tblGrid>
      <w:tr>
        <w:trPr>
          <w:tblHeader/>
        </w:trPr>
        <w:tc>
          <w:tcPr>
            <w:tcW w:type="dxa" w:w="250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Material / signal</w:t>
            </w:r>
          </w:p>
        </w:tc>
        <w:tc>
          <w:tcPr>
            <w:tcW w:type="dxa" w:w="2120"/>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Overlay</w:t>
            </w:r>
          </w:p>
        </w:tc>
        <w:tc>
          <w:tcPr>
            <w:tcW w:type="dxa" w:w="501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Requirement / action</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All articles</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REACH Art. 33</w:t>
            </w:r>
          </w:p>
        </w:tc>
        <w:tc>
          <w:tcPr>
            <w:tcW w:type="dxa" w:w="5013"/>
            <w:tcMar>
              <w:top w:type="dxa" w:w="50"/>
              <w:left w:type="dxa" w:w="80"/>
              <w:bottom w:type="dxa" w:w="50"/>
              <w:right w:type="dxa" w:w="80"/>
            </w:tcMar>
            <w:vAlign w:val="top"/>
          </w:tcPr>
          <w:p>
            <w:pPr>
              <w:spacing w:after="30"/>
            </w:pPr>
            <w:r>
              <w:rPr>
                <w:rFonts w:ascii="Arial" w:cs="Arial" w:eastAsia="Arial" w:hAnsi="Arial"/>
                <w:sz w:val="17"/>
                <w:szCs w:val="17"/>
              </w:rPr>
              <w:t xml:space="preserve">SVHC declaration per shipment (Candidate List current at shipment date, &gt; 0.1 % w/w per article).</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Tiller grip, wheels (PU/rubber/PVC) — skin contact</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REACH Annex XVII entry 50</w:t>
            </w:r>
          </w:p>
        </w:tc>
        <w:tc>
          <w:tcPr>
            <w:tcW w:type="dxa" w:w="5013"/>
            <w:tcMar>
              <w:top w:type="dxa" w:w="50"/>
              <w:left w:type="dxa" w:w="80"/>
              <w:bottom w:type="dxa" w:w="50"/>
              <w:right w:type="dxa" w:w="80"/>
            </w:tcMar>
            <w:vAlign w:val="top"/>
          </w:tcPr>
          <w:p>
            <w:pPr>
              <w:spacing w:after="30"/>
            </w:pPr>
            <w:r>
              <w:rPr>
                <w:rFonts w:ascii="Arial" w:cs="Arial" w:eastAsia="Arial" w:hAnsi="Arial"/>
                <w:sz w:val="17"/>
                <w:szCs w:val="17"/>
              </w:rPr>
              <w:t xml:space="preserve">8 PAH ≤ 1 mg/kg each (articles supplied to general public, prolonged/repetitive skin contact).</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Plasticised PVC grip / hoses</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REACH Annex XVII entry 51</w:t>
            </w:r>
          </w:p>
        </w:tc>
        <w:tc>
          <w:tcPr>
            <w:tcW w:type="dxa" w:w="5013"/>
            <w:tcMar>
              <w:top w:type="dxa" w:w="50"/>
              <w:left w:type="dxa" w:w="80"/>
              <w:bottom w:type="dxa" w:w="50"/>
              <w:right w:type="dxa" w:w="80"/>
            </w:tcMar>
            <w:vAlign w:val="top"/>
          </w:tcPr>
          <w:p>
            <w:pPr>
              <w:spacing w:after="30"/>
            </w:pPr>
            <w:r>
              <w:rPr>
                <w:rFonts w:ascii="Arial" w:cs="Arial" w:eastAsia="Arial" w:hAnsi="Arial"/>
                <w:sz w:val="17"/>
                <w:szCs w:val="17"/>
              </w:rPr>
              <w:t xml:space="preserve">DEHP, DBP, BBP, DIBP ≤ 0.1 % (sum) in plasticised material.</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PVC / rubber parts</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POPs Reg. (EU) 2019/1021</w:t>
            </w:r>
          </w:p>
        </w:tc>
        <w:tc>
          <w:tcPr>
            <w:tcW w:type="dxa" w:w="5013"/>
            <w:tcMar>
              <w:top w:type="dxa" w:w="50"/>
              <w:left w:type="dxa" w:w="80"/>
              <w:bottom w:type="dxa" w:w="50"/>
              <w:right w:type="dxa" w:w="80"/>
            </w:tcMar>
            <w:vAlign w:val="top"/>
          </w:tcPr>
          <w:p>
            <w:pPr>
              <w:spacing w:after="30"/>
            </w:pPr>
            <w:r>
              <w:rPr>
                <w:rFonts w:ascii="Arial" w:cs="Arial" w:eastAsia="Arial" w:hAnsi="Arial"/>
                <w:sz w:val="17"/>
                <w:szCs w:val="17"/>
              </w:rPr>
              <w:t xml:space="preserve">SCCP ≤ 1 500 mg/kg (0.15 % w/w) in articles; MCCP restriction in preparation (2026 delegated act) — monitor.</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Hydraulic oil (contained in pump)</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REACH / CLP</w:t>
            </w:r>
          </w:p>
        </w:tc>
        <w:tc>
          <w:tcPr>
            <w:tcW w:type="dxa" w:w="5013"/>
            <w:tcMar>
              <w:top w:type="dxa" w:w="50"/>
              <w:left w:type="dxa" w:w="80"/>
              <w:bottom w:type="dxa" w:w="50"/>
              <w:right w:type="dxa" w:w="80"/>
            </w:tcMar>
            <w:vAlign w:val="top"/>
          </w:tcPr>
          <w:p>
            <w:pPr>
              <w:spacing w:after="30"/>
            </w:pPr>
            <w:r>
              <w:rPr>
                <w:rFonts w:ascii="Arial" w:cs="Arial" w:eastAsia="Arial" w:hAnsi="Arial"/>
                <w:sz w:val="17"/>
                <w:szCs w:val="17"/>
              </w:rPr>
              <w:t xml:space="preserve">Oil is part of the article; provide SDS of the oil type for maintenance; oil type and volume in instructions.</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Painted / powder-coated steel</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REACH SVHC (Pb chromates)</w:t>
            </w:r>
          </w:p>
        </w:tc>
        <w:tc>
          <w:tcPr>
            <w:tcW w:type="dxa" w:w="5013"/>
            <w:tcMar>
              <w:top w:type="dxa" w:w="50"/>
              <w:left w:type="dxa" w:w="80"/>
              <w:bottom w:type="dxa" w:w="50"/>
              <w:right w:type="dxa" w:w="80"/>
            </w:tcMar>
            <w:vAlign w:val="top"/>
          </w:tcPr>
          <w:p>
            <w:pPr>
              <w:spacing w:after="30"/>
            </w:pPr>
            <w:r>
              <w:rPr>
                <w:rFonts w:ascii="Arial" w:cs="Arial" w:eastAsia="Arial" w:hAnsi="Arial"/>
                <w:sz w:val="17"/>
                <w:szCs w:val="17"/>
              </w:rPr>
              <w:t xml:space="preserve">Lead chromate pigments are SVHC/authorisation substances — confirm lead-free coating.</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Steel frame / forks</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CBAM (EU) 2023/956</w:t>
            </w:r>
          </w:p>
        </w:tc>
        <w:tc>
          <w:tcPr>
            <w:tcW w:type="dxa" w:w="5013"/>
            <w:tcMar>
              <w:top w:type="dxa" w:w="50"/>
              <w:left w:type="dxa" w:w="80"/>
              <w:bottom w:type="dxa" w:w="50"/>
              <w:right w:type="dxa" w:w="80"/>
            </w:tcMar>
            <w:vAlign w:val="top"/>
          </w:tcPr>
          <w:p>
            <w:pPr>
              <w:spacing w:after="30"/>
            </w:pPr>
            <w:r>
              <w:rPr>
                <w:rFonts w:ascii="Arial" w:cs="Arial" w:eastAsia="Arial" w:hAnsi="Arial"/>
                <w:sz w:val="17"/>
                <w:szCs w:val="17"/>
              </w:rPr>
              <w:t xml:space="preserve">CN 8427 90 00 not in current CBAM Annex I → out of scope today. Commission proposal COM(2025) 989 extends CBAM to ~180 steel/aluminium downstream products from 01/01/2028 (EP ENVI: 277 lines) — check whether heading 8427 is added (verify CN on P.O.).</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Wooden pallet / crate</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ISPM 15 · EUDR (EU) 2023/1115</w:t>
            </w:r>
          </w:p>
        </w:tc>
        <w:tc>
          <w:tcPr>
            <w:tcW w:type="dxa" w:w="5013"/>
            <w:tcMar>
              <w:top w:type="dxa" w:w="50"/>
              <w:left w:type="dxa" w:w="80"/>
              <w:bottom w:type="dxa" w:w="50"/>
              <w:right w:type="dxa" w:w="80"/>
            </w:tcMar>
            <w:vAlign w:val="top"/>
          </w:tcPr>
          <w:p>
            <w:pPr>
              <w:spacing w:after="30"/>
            </w:pPr>
            <w:r>
              <w:rPr>
                <w:rFonts w:ascii="Arial" w:cs="Arial" w:eastAsia="Arial" w:hAnsi="Arial"/>
                <w:sz w:val="17"/>
                <w:szCs w:val="17"/>
              </w:rPr>
              <w:t xml:space="preserve">HT-treated with IPPC mark. Packaging used solely to support/protect another product is excluded from EUDR (Annex I).</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All packaging</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PPWR (EU) 2025/40</w:t>
            </w:r>
          </w:p>
        </w:tc>
        <w:tc>
          <w:tcPr>
            <w:tcW w:type="dxa" w:w="5013"/>
            <w:tcMar>
              <w:top w:type="dxa" w:w="50"/>
              <w:left w:type="dxa" w:w="80"/>
              <w:bottom w:type="dxa" w:w="50"/>
              <w:right w:type="dxa" w:w="80"/>
            </w:tcMar>
            <w:vAlign w:val="top"/>
          </w:tcPr>
          <w:p>
            <w:pPr>
              <w:spacing w:after="30"/>
            </w:pPr>
            <w:r>
              <w:rPr>
                <w:rFonts w:ascii="Arial" w:cs="Arial" w:eastAsia="Arial" w:hAnsi="Arial"/>
                <w:sz w:val="17"/>
                <w:szCs w:val="17"/>
              </w:rPr>
              <w:t xml:space="preserve">Art. 5(4): Pb+Cd+Hg+Cr(VI) ≤ 100 mg/kg; packaging data per SKU; EPR registration (see Link 8).</w:t>
            </w:r>
          </w:p>
        </w:tc>
      </w:tr>
    </w:tbl>
    <w:p>
      <w:pPr>
        <w:spacing w:after="80"/>
      </w:pPr>
    </w:p>
    <w:p>
      <w:pPr>
        <w:pStyle w:val="Heading2"/>
        <w:spacing w:after="120" w:before="200"/>
      </w:pPr>
      <w:r>
        <w:rPr>
          <w:rFonts w:ascii="Arial" w:cs="Arial" w:eastAsia="Arial" w:hAnsi="Arial"/>
          <w:b/>
          <w:bCs/>
          <w:color w:val="1F3864"/>
          <w:sz w:val="24"/>
          <w:szCs w:val="24"/>
        </w:rPr>
        <w:t xml:space="preserve">2.4 Step IV — Market destination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Market / Ally</w:t>
            </w:r>
          </w:p>
        </w:tc>
        <w:tc>
          <w:tcPr>
            <w:tcW w:type="dxa" w:w="732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Parallel requirements activated</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EU-27 (all)</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MD/MR + CE; EU economic operator (2019/1020 Art. 4); GPSR complementary obligations; REACH + POPs; PPWR + national EPR; instructions and DoC in official language(s) of the Member State of sale.</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Switzerland — JUMBO/Coop</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Machinery Ordinance (MaschV, SR 819.14) — EU-CH MRA currently recognises EU conformity under MD; Product Safety Act (PrSG, SR 930.11); instructions DE/FR/IT; Swiss distributor/importer identification. </w:t>
            </w:r>
            <w:r>
              <w:rPr>
                <w:rFonts w:ascii="Arial" w:cs="Arial" w:eastAsia="Arial" w:hAnsi="Arial"/>
                <w:b/>
                <w:bCs/>
                <w:sz w:val="17"/>
                <w:szCs w:val="17"/>
              </w:rPr>
              <w:t xml:space="preserve">Risk:</w:t>
            </w:r>
            <w:r>
              <w:rPr>
                <w:rFonts w:ascii="Arial" w:cs="Arial" w:eastAsia="Arial" w:hAnsi="Arial"/>
                <w:sz w:val="17"/>
                <w:szCs w:val="17"/>
              </w:rPr>
              <w:t xml:space="preserve"> revised MaschV aligned with MR was consulted (2025); MRA update depends on ratification of the EU-CH package (expected 2027/2028 at the earliest) → confirm Swiss requirements with JUMBO/Coop for lots arriving after 20/01/2027.</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France — ITM</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French language (Loi Toubon); Triman + Info-tri sorting information (Code de l’environnement L.541-9-3); mineral oils in packaging inks — Law 2020-105 Art. 112 and implementing decree.</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Germany — HAGEBAU</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German language; GS mark (ProdSG §§ 20–24) when ordered by Ally — full process in Section 10; AfPS GS 2019:01 PAK then applies to grips and wheels.</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Romania — DEDEMAN</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Romanian language on instructions, warnings and DoC.</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BCM</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Language(s) and EPR per destination country — [confirm with Ally].</w:t>
            </w:r>
          </w:p>
        </w:tc>
      </w:tr>
    </w:tbl>
    <w:p>
      <w:pPr>
        <w:spacing w:after="80"/>
      </w:pPr>
    </w:p>
    <w:p>
      <w:pPr>
        <w:pStyle w:val="Heading3"/>
        <w:spacing w:after="80" w:before="140"/>
      </w:pPr>
      <w:r>
        <w:rPr>
          <w:rFonts w:ascii="Arial" w:cs="Arial" w:eastAsia="Arial" w:hAnsi="Arial"/>
          <w:b/>
          <w:bCs/>
          <w:sz w:val="21"/>
          <w:szCs w:val="21"/>
        </w:rPr>
        <w:t xml:space="preserve">Gate 1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Pathway A assigned with scope-clause justification (this section) — </w:t>
            </w:r>
            <w:r>
              <w:rPr>
                <w:rFonts w:ascii="Arial" w:cs="Arial" w:eastAsia="Arial" w:hAnsi="Arial"/>
                <w:b/>
                <w:bCs/>
                <w:sz w:val="17"/>
                <w:szCs w:val="17"/>
              </w:rPr>
              <w:t xml:space="preserve">current status: GO</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CONDITIONAL</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Truck variant with electric lift/travel or scale (EEE) → re-run Link 1 (LVD/EMC/RoHS/WEEE/batteries).</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NO-GO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Rated capacity, lift height or variant list not defined by supplier.</w:t>
            </w:r>
          </w:p>
        </w:tc>
      </w:tr>
    </w:tbl>
    <w:p>
      <w:pPr>
        <w:spacing w:after="80"/>
      </w:pPr>
    </w:p>
    <w:p>
      <w:pPr>
        <w:pStyle w:val="Heading1"/>
        <w:spacing w:after="160" w:before="240"/>
      </w:pPr>
      <w:r>
        <w:rPr>
          <w:rFonts w:ascii="Arial" w:cs="Arial" w:eastAsia="Arial" w:hAnsi="Arial"/>
          <w:b/>
          <w:bCs/>
          <w:color w:val="1F3864"/>
          <w:sz w:val="28"/>
          <w:szCs w:val="28"/>
        </w:rPr>
        <w:t xml:space="preserve">3. Link 2 — Pathway Assignment and Directive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252"/>
        <w:gridCol w:w="2409"/>
        <w:gridCol w:w="963"/>
        <w:gridCol w:w="1156"/>
        <w:gridCol w:w="674"/>
        <w:gridCol w:w="1642"/>
      </w:tblGrid>
      <w:tr>
        <w:trPr>
          <w:tblHeader/>
        </w:trPr>
        <w:tc>
          <w:tcPr>
            <w:tcW w:type="dxa" w:w="154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Directive / Regulation</w:t>
            </w:r>
          </w:p>
        </w:tc>
        <w:tc>
          <w:tcPr>
            <w:tcW w:type="dxa" w:w="125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Scope</w:t>
            </w:r>
          </w:p>
        </w:tc>
        <w:tc>
          <w:tcPr>
            <w:tcW w:type="dxa" w:w="240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hEN / reference</w:t>
            </w:r>
          </w:p>
        </w:tc>
        <w:tc>
          <w:tcPr>
            <w:tcW w:type="dxa" w:w="96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Pathway</w:t>
            </w:r>
          </w:p>
        </w:tc>
        <w:tc>
          <w:tcPr>
            <w:tcW w:type="dxa" w:w="1156"/>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Module</w:t>
            </w:r>
          </w:p>
        </w:tc>
        <w:tc>
          <w:tcPr>
            <w:tcW w:type="dxa" w:w="67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NB?</w:t>
            </w:r>
          </w:p>
        </w:tc>
        <w:tc>
          <w:tcPr>
            <w:tcW w:type="dxa" w:w="164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Declaration</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MD 2006/42/EC</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Yes — until 19/01/2027</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EN ISO 3691-5:2015+AC:2016+A1:2020; EN 16307-5:2023 (verify OJEU citation of 2023 edition); EN ISO 12100:2010</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A</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Annex VIII (internal)</w:t>
            </w:r>
          </w:p>
        </w:tc>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1642"/>
            <w:tcMar>
              <w:top w:type="dxa" w:w="50"/>
              <w:left w:type="dxa" w:w="80"/>
              <w:bottom w:type="dxa" w:w="50"/>
              <w:right w:type="dxa" w:w="80"/>
            </w:tcMar>
            <w:vAlign w:val="top"/>
          </w:tcPr>
          <w:p>
            <w:pPr>
              <w:spacing w:after="30"/>
            </w:pPr>
            <w:r>
              <w:rPr>
                <w:rFonts w:ascii="Arial" w:cs="Arial" w:eastAsia="Arial" w:hAnsi="Arial"/>
                <w:sz w:val="17"/>
                <w:szCs w:val="17"/>
              </w:rPr>
              <w:t xml:space="preserve">EC DoC (Annex II 1.A)</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MR (EU) 2023/1230</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Yes — from 20/01/2027</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No MR citation published yet (Sept 2026). Until cited: apply same standards as technical solution and demonstrate Annex III EHSR directly in the technical file (no Art. 20 presumption)</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A</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Module A (Annex VI) — truck not in Annex I</w:t>
            </w:r>
          </w:p>
        </w:tc>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1642"/>
            <w:tcMar>
              <w:top w:type="dxa" w:w="50"/>
              <w:left w:type="dxa" w:w="80"/>
              <w:bottom w:type="dxa" w:w="50"/>
              <w:right w:type="dxa" w:w="80"/>
            </w:tcMar>
            <w:vAlign w:val="top"/>
          </w:tcPr>
          <w:p>
            <w:pPr>
              <w:spacing w:after="30"/>
            </w:pPr>
            <w:r>
              <w:rPr>
                <w:rFonts w:ascii="Arial" w:cs="Arial" w:eastAsia="Arial" w:hAnsi="Arial"/>
                <w:sz w:val="17"/>
                <w:szCs w:val="17"/>
              </w:rPr>
              <w:t xml:space="preserve">EU DoC (Annex V Part A)</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GPSR (EU) 2023/988</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Complementary</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1642"/>
            <w:tcMar>
              <w:top w:type="dxa" w:w="50"/>
              <w:left w:type="dxa" w:w="80"/>
              <w:bottom w:type="dxa" w:w="50"/>
              <w:right w:type="dxa" w:w="80"/>
            </w:tcMar>
            <w:vAlign w:val="top"/>
          </w:tcPr>
          <w:p>
            <w:pPr>
              <w:spacing w:after="30"/>
            </w:pPr>
            <w:r>
              <w:rPr>
                <w:rFonts w:ascii="Arial" w:cs="Arial" w:eastAsia="Arial" w:hAnsi="Arial"/>
                <w:sz w:val="17"/>
                <w:szCs w:val="17"/>
              </w:rPr>
              <w:t xml:space="preserve">None (safety information, traceability)</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Reg. (EU) 2019/1020</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Art. 4</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1642"/>
            <w:tcMar>
              <w:top w:type="dxa" w:w="50"/>
              <w:left w:type="dxa" w:w="80"/>
              <w:bottom w:type="dxa" w:w="50"/>
              <w:right w:type="dxa" w:w="80"/>
            </w:tcMar>
            <w:vAlign w:val="top"/>
          </w:tcPr>
          <w:p>
            <w:pPr>
              <w:spacing w:after="30"/>
            </w:pPr>
            <w:r>
              <w:rPr>
                <w:rFonts w:ascii="Arial" w:cs="Arial" w:eastAsia="Arial" w:hAnsi="Arial"/>
                <w:sz w:val="17"/>
                <w:szCs w:val="17"/>
              </w:rPr>
              <w:t xml:space="preserve">EU operator identification</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REACH / POPs</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Overlay</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Annex XVII; Candidate List</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1642"/>
            <w:tcMar>
              <w:top w:type="dxa" w:w="50"/>
              <w:left w:type="dxa" w:w="80"/>
              <w:bottom w:type="dxa" w:w="50"/>
              <w:right w:type="dxa" w:w="80"/>
            </w:tcMar>
            <w:vAlign w:val="top"/>
          </w:tcPr>
          <w:p>
            <w:pPr>
              <w:spacing w:after="30"/>
            </w:pPr>
            <w:r>
              <w:rPr>
                <w:rFonts w:ascii="Arial" w:cs="Arial" w:eastAsia="Arial" w:hAnsi="Arial"/>
                <w:sz w:val="17"/>
                <w:szCs w:val="17"/>
              </w:rPr>
              <w:t xml:space="preserve">SVHC declaration + test report</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PPWR (EU) 2025/40</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Overlay</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Art. 5(4) heavy metals + DoC/technical documentation (Art. 38–39) applicable since 12/08/2026; Art. 12 labelling from the later of 12/08/2028 or 24 months after implementing acts; recyclability via delegated acts</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1642"/>
            <w:tcMar>
              <w:top w:type="dxa" w:w="50"/>
              <w:left w:type="dxa" w:w="80"/>
              <w:bottom w:type="dxa" w:w="50"/>
              <w:right w:type="dxa" w:w="80"/>
            </w:tcMar>
            <w:vAlign w:val="top"/>
          </w:tcPr>
          <w:p>
            <w:pPr>
              <w:spacing w:after="30"/>
            </w:pPr>
            <w:r>
              <w:rPr>
                <w:rFonts w:ascii="Arial" w:cs="Arial" w:eastAsia="Arial" w:hAnsi="Arial"/>
                <w:sz w:val="17"/>
                <w:szCs w:val="17"/>
              </w:rPr>
              <w:t xml:space="preserve">Packaging EU DoC (packaging manufacturer/supplier)</w:t>
            </w:r>
          </w:p>
        </w:tc>
      </w:tr>
    </w:tbl>
    <w:p>
      <w:pPr>
        <w:spacing w:after="80"/>
      </w:pPr>
    </w:p>
    <w:p>
      <w:pPr>
        <w:pStyle w:val="Heading3"/>
        <w:spacing w:after="80" w:before="140"/>
      </w:pPr>
      <w:r>
        <w:rPr>
          <w:rFonts w:ascii="Arial" w:cs="Arial" w:eastAsia="Arial" w:hAnsi="Arial"/>
          <w:b/>
          <w:bCs/>
          <w:sz w:val="21"/>
          <w:szCs w:val="21"/>
        </w:rPr>
        <w:t xml:space="preserve">Gate 2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Single pathway A; directive stack complete — </w:t>
            </w:r>
            <w:r>
              <w:rPr>
                <w:rFonts w:ascii="Arial" w:cs="Arial" w:eastAsia="Arial" w:hAnsi="Arial"/>
                <w:b/>
                <w:bCs/>
                <w:sz w:val="17"/>
                <w:szCs w:val="17"/>
              </w:rPr>
              <w:t xml:space="preserve">current status: GO</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CONDITIONAL</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P.O. delivery straddles 20/01/2027 → prepare dual MD/MR documentation.</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NO-GO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Pathway cannot be confirmed → return to Link 1.</w:t>
            </w:r>
          </w:p>
        </w:tc>
      </w:tr>
    </w:tbl>
    <w:p>
      <w:pPr>
        <w:spacing w:after="80"/>
      </w:pPr>
    </w:p>
    <w:p>
      <w:pPr>
        <w:pStyle w:val="Heading1"/>
        <w:spacing w:after="160" w:before="240"/>
      </w:pPr>
      <w:r>
        <w:rPr>
          <w:rFonts w:ascii="Arial" w:cs="Arial" w:eastAsia="Arial" w:hAnsi="Arial"/>
          <w:b/>
          <w:bCs/>
          <w:color w:val="1F3864"/>
          <w:sz w:val="28"/>
          <w:szCs w:val="28"/>
        </w:rPr>
        <w:t xml:space="preserve">4. Link 3 — Module Determination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963"/>
        <w:gridCol w:w="3276"/>
        <w:gridCol w:w="1156"/>
        <w:gridCol w:w="1252"/>
        <w:gridCol w:w="1257"/>
      </w:tblGrid>
      <w:tr>
        <w:trPr>
          <w:tblHeader/>
        </w:trPr>
        <w:tc>
          <w:tcPr>
            <w:tcW w:type="dxa" w:w="173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Directive</w:t>
            </w:r>
          </w:p>
        </w:tc>
        <w:tc>
          <w:tcPr>
            <w:tcW w:type="dxa" w:w="96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Pathway</w:t>
            </w:r>
          </w:p>
        </w:tc>
        <w:tc>
          <w:tcPr>
            <w:tcW w:type="dxa" w:w="3276"/>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Module</w:t>
            </w:r>
          </w:p>
        </w:tc>
        <w:tc>
          <w:tcPr>
            <w:tcW w:type="dxa" w:w="1156"/>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NB required</w:t>
            </w:r>
          </w:p>
        </w:tc>
        <w:tc>
          <w:tcPr>
            <w:tcW w:type="dxa" w:w="125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NB name / no.</w:t>
            </w:r>
          </w:p>
        </w:tc>
        <w:tc>
          <w:tcPr>
            <w:tcW w:type="dxa" w:w="125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Certificate ref.</w:t>
            </w:r>
          </w:p>
        </w:tc>
      </w:tr>
      <w:tr>
        <w:trPr>
          <w:tblHeader w:val="false"/>
        </w:trPr>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MD 2006/42/EC</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A</w:t>
            </w:r>
          </w:p>
        </w:tc>
        <w:tc>
          <w:tcPr>
            <w:tcW w:type="dxa" w:w="3276"/>
            <w:tcMar>
              <w:top w:type="dxa" w:w="50"/>
              <w:left w:type="dxa" w:w="80"/>
              <w:bottom w:type="dxa" w:w="50"/>
              <w:right w:type="dxa" w:w="80"/>
            </w:tcMar>
            <w:vAlign w:val="top"/>
          </w:tcPr>
          <w:p>
            <w:pPr>
              <w:spacing w:after="30"/>
            </w:pPr>
            <w:r>
              <w:rPr>
                <w:rFonts w:ascii="Arial" w:cs="Arial" w:eastAsia="Arial" w:hAnsi="Arial"/>
                <w:sz w:val="17"/>
                <w:szCs w:val="17"/>
              </w:rPr>
              <w:t xml:space="preserve">Internal production control — Art. 12(2), Annex VIII</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N/A</w:t>
            </w:r>
          </w:p>
        </w:tc>
        <w:tc>
          <w:tcPr>
            <w:tcW w:type="dxa" w:w="1257"/>
            <w:tcMar>
              <w:top w:type="dxa" w:w="50"/>
              <w:left w:type="dxa" w:w="80"/>
              <w:bottom w:type="dxa" w:w="50"/>
              <w:right w:type="dxa" w:w="80"/>
            </w:tcMar>
            <w:vAlign w:val="top"/>
          </w:tcPr>
          <w:p>
            <w:pPr>
              <w:spacing w:after="30"/>
            </w:pPr>
            <w:r>
              <w:rPr>
                <w:rFonts w:ascii="Arial" w:cs="Arial" w:eastAsia="Arial" w:hAnsi="Arial"/>
                <w:sz w:val="17"/>
                <w:szCs w:val="17"/>
              </w:rPr>
              <w:t xml:space="preserve">N/A</w:t>
            </w:r>
          </w:p>
        </w:tc>
      </w:tr>
      <w:tr>
        <w:trPr>
          <w:tblHeader w:val="false"/>
        </w:trPr>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MR (EU) 2023/1230</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A</w:t>
            </w:r>
          </w:p>
        </w:tc>
        <w:tc>
          <w:tcPr>
            <w:tcW w:type="dxa" w:w="3276"/>
            <w:tcMar>
              <w:top w:type="dxa" w:w="50"/>
              <w:left w:type="dxa" w:w="80"/>
              <w:bottom w:type="dxa" w:w="50"/>
              <w:right w:type="dxa" w:w="80"/>
            </w:tcMar>
            <w:vAlign w:val="top"/>
          </w:tcPr>
          <w:p>
            <w:pPr>
              <w:spacing w:after="30"/>
            </w:pPr>
            <w:r>
              <w:rPr>
                <w:rFonts w:ascii="Arial" w:cs="Arial" w:eastAsia="Arial" w:hAnsi="Arial"/>
                <w:sz w:val="17"/>
                <w:szCs w:val="17"/>
              </w:rPr>
              <w:t xml:space="preserve">Module A — internal production control, Annex VI</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No</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N/A</w:t>
            </w:r>
          </w:p>
        </w:tc>
        <w:tc>
          <w:tcPr>
            <w:tcW w:type="dxa" w:w="1257"/>
            <w:tcMar>
              <w:top w:type="dxa" w:w="50"/>
              <w:left w:type="dxa" w:w="80"/>
              <w:bottom w:type="dxa" w:w="50"/>
              <w:right w:type="dxa" w:w="80"/>
            </w:tcMar>
            <w:vAlign w:val="top"/>
          </w:tcPr>
          <w:p>
            <w:pPr>
              <w:spacing w:after="30"/>
            </w:pPr>
            <w:r>
              <w:rPr>
                <w:rFonts w:ascii="Arial" w:cs="Arial" w:eastAsia="Arial" w:hAnsi="Arial"/>
                <w:sz w:val="17"/>
                <w:szCs w:val="17"/>
              </w:rPr>
              <w:t xml:space="preserve">N/A</w:t>
            </w:r>
          </w:p>
        </w:tc>
      </w:tr>
    </w:tbl>
    <w:p>
      <w:pPr>
        <w:spacing w:after="80"/>
      </w:pPr>
    </w:p>
    <w:p>
      <w:pPr>
        <w:spacing w:after="120"/>
      </w:pPr>
      <w:r>
        <w:rPr>
          <w:rFonts w:ascii="Arial" w:cs="Arial" w:eastAsia="Arial" w:hAnsi="Arial"/>
          <w:sz w:val="20"/>
          <w:szCs w:val="20"/>
        </w:rPr>
        <w:t xml:space="preserve">Rationale: manual pallet trucks are not listed in MD Annex IV nor in MR Annex I (Parts A/B). The module is prescribed by the legislation, not chosen by the manufacturer. </w:t>
      </w:r>
      <w:r>
        <w:rPr>
          <w:rFonts w:ascii="Arial" w:cs="Arial" w:eastAsia="Arial" w:hAnsi="Arial"/>
          <w:b/>
          <w:bCs/>
          <w:sz w:val="20"/>
          <w:szCs w:val="20"/>
        </w:rPr>
        <w:t xml:space="preserve">A.R.E.N.A. requirement:</w:t>
      </w:r>
      <w:r>
        <w:rPr>
          <w:rFonts w:ascii="Arial" w:cs="Arial" w:eastAsia="Arial" w:hAnsi="Arial"/>
          <w:sz w:val="20"/>
          <w:szCs w:val="20"/>
        </w:rPr>
        <w:t xml:space="preserve"> conformity evidence by ISO/IEC 17025-accredited third-party laboratory test report against the hEN(s); voluntary NB/certification body attestation is accepted but does not alter the module. No NB number follows the CE marking.</w:t>
      </w:r>
    </w:p>
    <w:p>
      <w:pPr>
        <w:pStyle w:val="Heading3"/>
        <w:spacing w:after="80" w:before="140"/>
      </w:pPr>
      <w:r>
        <w:rPr>
          <w:rFonts w:ascii="Arial" w:cs="Arial" w:eastAsia="Arial" w:hAnsi="Arial"/>
          <w:b/>
          <w:bCs/>
          <w:sz w:val="21"/>
          <w:szCs w:val="21"/>
        </w:rPr>
        <w:t xml:space="preserve">Gate 3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Module confirmed; no NB required — </w:t>
            </w:r>
            <w:r>
              <w:rPr>
                <w:rFonts w:ascii="Arial" w:cs="Arial" w:eastAsia="Arial" w:hAnsi="Arial"/>
                <w:b/>
                <w:bCs/>
                <w:sz w:val="17"/>
                <w:szCs w:val="17"/>
              </w:rPr>
              <w:t xml:space="preserve">current status: GO</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CONDITIONAL</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Accredited lab not yet appointed — engagement plan before sample validation.</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NO-GO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Supplier declares NB number on marking/DoC without NB involvement (false NB reference).</w:t>
            </w:r>
          </w:p>
        </w:tc>
      </w:tr>
    </w:tbl>
    <w:p>
      <w:pPr>
        <w:spacing w:after="80"/>
      </w:pPr>
    </w:p>
    <w:p>
      <w:pPr>
        <w:pStyle w:val="Heading1"/>
        <w:spacing w:after="160" w:before="240"/>
      </w:pPr>
      <w:r>
        <w:rPr>
          <w:rFonts w:ascii="Arial" w:cs="Arial" w:eastAsia="Arial" w:hAnsi="Arial"/>
          <w:b/>
          <w:bCs/>
          <w:color w:val="1F3864"/>
          <w:sz w:val="28"/>
          <w:szCs w:val="28"/>
        </w:rPr>
        <w:t xml:space="preserve">5. Link 4 — Type Testing and Technical File</w:t>
      </w:r>
    </w:p>
    <w:p>
      <w:pPr>
        <w:pStyle w:val="Heading2"/>
        <w:spacing w:after="120" w:before="200"/>
      </w:pPr>
      <w:r>
        <w:rPr>
          <w:rFonts w:ascii="Arial" w:cs="Arial" w:eastAsia="Arial" w:hAnsi="Arial"/>
          <w:b/>
          <w:bCs/>
          <w:color w:val="1F3864"/>
          <w:sz w:val="24"/>
          <w:szCs w:val="24"/>
        </w:rPr>
        <w:t xml:space="preserve">5.1 Type-test matrix (ITT-equivalent for Module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
        <w:gridCol w:w="2120"/>
        <w:gridCol w:w="2698"/>
        <w:gridCol w:w="4435"/>
      </w:tblGrid>
      <w:tr>
        <w:trPr>
          <w:tblHeader/>
        </w:trPr>
        <w:tc>
          <w:tcPr>
            <w:tcW w:type="dxa" w:w="38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w:t>
            </w:r>
          </w:p>
        </w:tc>
        <w:tc>
          <w:tcPr>
            <w:tcW w:type="dxa" w:w="2120"/>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Test / characteristic</w:t>
            </w:r>
          </w:p>
        </w:tc>
        <w:tc>
          <w:tcPr>
            <w:tcW w:type="dxa" w:w="269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Reference (verify clause)</w:t>
            </w:r>
          </w:p>
        </w:tc>
        <w:tc>
          <w:tcPr>
            <w:tcW w:type="dxa" w:w="443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Requirement</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Static test</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MD/MR Annex I/III 4.1.2.3, 4.1.3; EN ISO 3691-5</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1.5 × Q at load centre c; no permanent deformation, no patent defect, no leakage.</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Dynamic test</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MD/MR 4.1.2.3, 4.1.3</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1.1 × Q; all functions (lift, lower, travel, steer) operate correctly.</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Overload / pressure-limiting device</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EN ISO 3691-5 Cl. 4.4.3.3 (per source)</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Set &lt; 115 % of maximum working pressure; cannot work loose; tool/key needed to alter. Manual trucks: design shall allow fitting. </w:t>
            </w:r>
            <w:r>
              <w:rPr>
                <w:rFonts w:ascii="Arial" w:cs="Arial" w:eastAsia="Arial" w:hAnsi="Arial"/>
                <w:b/>
                <w:bCs/>
                <w:sz w:val="17"/>
                <w:szCs w:val="17"/>
              </w:rPr>
              <w:t xml:space="preserve">A.R.E.N.A./Ally: device fitted — [confirm]</w:t>
            </w:r>
            <w:r>
              <w:rPr>
                <w:rFonts w:ascii="Arial" w:cs="Arial" w:eastAsia="Arial" w:hAnsi="Arial"/>
                <w:sz w:val="17"/>
                <w:szCs w:val="17"/>
              </w:rPr>
              <w:t xml:space="preserve">.</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Stability</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EN ISO 3691-5 / EN 16307-5</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Stability verification per standard (tilt-table or calculation).</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Lifting / lowering control</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MD/MR 1.2.1, 1.2.2, 4.1.2.6; EN ISO 3691-5</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Controls identifiable; controlled lowering under Q; no uncontrolled descent; lowering-speed limit per standard.</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Load holding (drift)</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EN ISO 3691-5</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Drift of raised loaded forks within the limit of the standard over the specified time.</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Tiller and hand grips</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EN ISO 3691-5 Cl. 4.2.2 (per source)</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Closed-loop handle or lateral hand protection; grip cross-section within 25 mm / 35 mm concentric circles; span ≥ 120 mm per hand; operating forces per standard.</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Crushing / shearing points, feet protection</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MD/MR 1.3.7, 1.3.8; EN ISO 13854:2019; EN ISO 3691-5</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Gaps at tiller pivot, linkage, fork rollers: fingers ≥ 25 mm or ≤ safe gap; steer-wheel feet protection per standard.</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9</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Edges and surfaces</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MD/MR 1.3.4</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No sharp edges, angles or rough surfaces on accessible parts.</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10</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Parking brake (if fitted)</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EN ISO 3691-5</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Holds laden truck on gradient specified by the standard / instructions.</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11</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Marking and instructions</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MD/MR 1.7.3, 1.7.4, 4.3.3, 4.4.2; EN ISO 3691-5 Cl. 7</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Content check — see Link 7.</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12</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Coating performance</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ISO 2409; ISO 9227 NSS; ISO 2808</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Cross-cut ≤ class 2; salt-spray hours and DFT per QSD/Ally spec [___].</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13</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Chemical suite</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REACH Annex XVII 50, 51; Art. 33; POPs</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PAH, phthalates (grips/wheels), SCCP, SVHC screening. Validity 2 years.</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14</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Packaging heavy metals</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PPWR Art. 5(4)</w:t>
            </w:r>
          </w:p>
        </w:tc>
        <w:tc>
          <w:tcPr>
            <w:tcW w:type="dxa" w:w="4435"/>
            <w:tcMar>
              <w:top w:type="dxa" w:w="50"/>
              <w:left w:type="dxa" w:w="80"/>
              <w:bottom w:type="dxa" w:w="50"/>
              <w:right w:type="dxa" w:w="80"/>
            </w:tcMar>
            <w:vAlign w:val="top"/>
          </w:tcPr>
          <w:p>
            <w:pPr>
              <w:spacing w:after="30"/>
            </w:pPr>
            <w:r>
              <w:rPr>
                <w:rFonts w:ascii="Arial" w:cs="Arial" w:eastAsia="Arial" w:hAnsi="Arial"/>
                <w:sz w:val="17"/>
                <w:szCs w:val="17"/>
              </w:rPr>
              <w:t xml:space="preserve">Pb+Cd+Hg+Cr(VI) ≤ 100 mg/kg per packaging component.</w:t>
            </w:r>
          </w:p>
        </w:tc>
      </w:tr>
    </w:tbl>
    <w:p>
      <w:pPr>
        <w:spacing w:after="80"/>
      </w:pPr>
    </w:p>
    <w:p>
      <w:pPr>
        <w:spacing w:after="120"/>
      </w:pPr>
      <w:r>
        <w:rPr>
          <w:rFonts w:ascii="Arial" w:cs="Arial" w:eastAsia="Arial" w:hAnsi="Arial"/>
          <w:b/>
          <w:bCs/>
          <w:sz w:val="20"/>
          <w:szCs w:val="20"/>
        </w:rPr>
        <w:t xml:space="preserve">Variant coverage:</w:t>
      </w:r>
      <w:r>
        <w:rPr>
          <w:rFonts w:ascii="Arial" w:cs="Arial" w:eastAsia="Arial" w:hAnsi="Arial"/>
          <w:sz w:val="20"/>
          <w:szCs w:val="20"/>
        </w:rPr>
        <w:t xml:space="preserve"> one report per capacity / fork length / fork width configuration, or documented worst-case justification in the technical file. Re-test on any change of frame, fork section, pump, seals, wheel material, coating system or production site.</w:t>
      </w:r>
    </w:p>
    <w:p>
      <w:pPr>
        <w:spacing w:after="120"/>
      </w:pPr>
      <w:r>
        <w:rPr>
          <w:rFonts w:ascii="Arial" w:cs="Arial" w:eastAsia="Arial" w:hAnsi="Arial"/>
          <w:b/>
          <w:bCs/>
          <w:sz w:val="20"/>
          <w:szCs w:val="20"/>
        </w:rPr>
        <w:t xml:space="preserve">GS orders:</w:t>
      </w:r>
      <w:r>
        <w:rPr>
          <w:rFonts w:ascii="Arial" w:cs="Arial" w:eastAsia="Arial" w:hAnsi="Arial"/>
          <w:sz w:val="20"/>
          <w:szCs w:val="20"/>
        </w:rPr>
        <w:t xml:space="preserve"> commission one combined test at the GS body covering the CE test matrix (items 1–14) and the GS specifications, so the same report serves the technical file and the GS certificate (Section 10).</w:t>
      </w:r>
    </w:p>
    <w:p>
      <w:pPr>
        <w:pStyle w:val="Heading2"/>
        <w:spacing w:after="120" w:before="200"/>
      </w:pPr>
      <w:r>
        <w:rPr>
          <w:rFonts w:ascii="Arial" w:cs="Arial" w:eastAsia="Arial" w:hAnsi="Arial"/>
          <w:b/>
          <w:bCs/>
          <w:color w:val="1F3864"/>
          <w:sz w:val="24"/>
          <w:szCs w:val="24"/>
        </w:rPr>
        <w:t xml:space="preserve">5.2 Technical file content (MD Annex VII A / MR Annex IV)</w:t>
      </w:r>
    </w:p>
    <w:p>
      <w:pPr>
        <w:pStyle w:val="ListParagraph"/>
        <w:numPr>
          <w:ilvl w:val="0"/>
          <w:numId w:val="2"/>
        </w:numPr>
        <w:spacing w:after="60"/>
      </w:pPr>
      <w:r>
        <w:rPr>
          <w:rFonts w:ascii="Arial" w:cs="Arial" w:eastAsia="Arial" w:hAnsi="Arial"/>
          <w:sz w:val="20"/>
          <w:szCs w:val="20"/>
        </w:rPr>
        <w:t xml:space="preserve">General description; overall drawing; detailed drawings of frame, forks, pump and tiller; hydraulic schematic and calculation notes (strength, stability).</w:t>
      </w:r>
    </w:p>
    <w:p>
      <w:pPr>
        <w:pStyle w:val="ListParagraph"/>
        <w:numPr>
          <w:ilvl w:val="0"/>
          <w:numId w:val="2"/>
        </w:numPr>
        <w:spacing w:after="60"/>
      </w:pPr>
      <w:r>
        <w:rPr>
          <w:rFonts w:ascii="Arial" w:cs="Arial" w:eastAsia="Arial" w:hAnsi="Arial"/>
          <w:sz w:val="20"/>
          <w:szCs w:val="20"/>
        </w:rPr>
        <w:t xml:space="preserve">Risk assessment per EN ISO 12100: hazards, protective measures, residual risks (covers all misuse in 2.1).</w:t>
      </w:r>
    </w:p>
    <w:p>
      <w:pPr>
        <w:pStyle w:val="ListParagraph"/>
        <w:numPr>
          <w:ilvl w:val="0"/>
          <w:numId w:val="2"/>
        </w:numPr>
        <w:spacing w:after="60"/>
      </w:pPr>
      <w:r>
        <w:rPr>
          <w:rFonts w:ascii="Arial" w:cs="Arial" w:eastAsia="Arial" w:hAnsi="Arial"/>
          <w:sz w:val="20"/>
          <w:szCs w:val="20"/>
        </w:rPr>
        <w:t xml:space="preserve">List of EHSR applied and harmonised standards with edition dates; justification for any deviation.</w:t>
      </w:r>
    </w:p>
    <w:p>
      <w:pPr>
        <w:pStyle w:val="ListParagraph"/>
        <w:numPr>
          <w:ilvl w:val="0"/>
          <w:numId w:val="2"/>
        </w:numPr>
        <w:spacing w:after="60"/>
      </w:pPr>
      <w:r>
        <w:rPr>
          <w:rFonts w:ascii="Arial" w:cs="Arial" w:eastAsia="Arial" w:hAnsi="Arial"/>
          <w:sz w:val="20"/>
          <w:szCs w:val="20"/>
        </w:rPr>
        <w:t xml:space="preserve">Test reports (Section 5.1) and end-of-line test records.</w:t>
      </w:r>
    </w:p>
    <w:p>
      <w:pPr>
        <w:pStyle w:val="ListParagraph"/>
        <w:numPr>
          <w:ilvl w:val="0"/>
          <w:numId w:val="2"/>
        </w:numPr>
        <w:spacing w:after="60"/>
      </w:pPr>
      <w:r>
        <w:rPr>
          <w:rFonts w:ascii="Arial" w:cs="Arial" w:eastAsia="Arial" w:hAnsi="Arial"/>
          <w:sz w:val="20"/>
          <w:szCs w:val="20"/>
        </w:rPr>
        <w:t xml:space="preserve">Instructions for use (all languages) and copy of DoC.</w:t>
      </w:r>
    </w:p>
    <w:p>
      <w:pPr>
        <w:pStyle w:val="ListParagraph"/>
        <w:numPr>
          <w:ilvl w:val="0"/>
          <w:numId w:val="2"/>
        </w:numPr>
        <w:spacing w:after="60"/>
      </w:pPr>
      <w:r>
        <w:rPr>
          <w:rFonts w:ascii="Arial" w:cs="Arial" w:eastAsia="Arial" w:hAnsi="Arial"/>
          <w:sz w:val="20"/>
          <w:szCs w:val="20"/>
        </w:rPr>
        <w:t xml:space="preserve">Internal measures ensuring series conformity (FPC — Link 5).</w:t>
      </w:r>
    </w:p>
    <w:p>
      <w:pPr>
        <w:pStyle w:val="ListParagraph"/>
        <w:numPr>
          <w:ilvl w:val="0"/>
          <w:numId w:val="2"/>
        </w:numPr>
        <w:spacing w:after="60"/>
      </w:pPr>
      <w:r>
        <w:rPr>
          <w:rFonts w:ascii="Arial" w:cs="Arial" w:eastAsia="Arial" w:hAnsi="Arial"/>
          <w:sz w:val="20"/>
          <w:szCs w:val="20"/>
        </w:rPr>
        <w:t xml:space="preserve">Retention: 10 years from the last unit placed on the market; available to authorities on reasoned request.</w:t>
      </w:r>
    </w:p>
    <w:p>
      <w:pPr>
        <w:pStyle w:val="Heading3"/>
        <w:spacing w:after="80" w:before="140"/>
      </w:pPr>
      <w:r>
        <w:rPr>
          <w:rFonts w:ascii="Arial" w:cs="Arial" w:eastAsia="Arial" w:hAnsi="Arial"/>
          <w:b/>
          <w:bCs/>
          <w:sz w:val="21"/>
          <w:szCs w:val="21"/>
        </w:rPr>
        <w:t xml:space="preserve">Gate 4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Accredited test report covering the exact variant, current hEN editions, all 14 items addressed; technical file complete.</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CONDITIONAL</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Chemical report expiring &lt; 3 months; MR gap analysis pending for deliveries after 20/01/2027.</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NO-GO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Static/dynamic test missing or failed; report covers a different model; design changed since test.</w:t>
            </w:r>
          </w:p>
        </w:tc>
      </w:tr>
    </w:tbl>
    <w:p>
      <w:pPr>
        <w:spacing w:after="80"/>
      </w:pPr>
    </w:p>
    <w:p>
      <w:pPr>
        <w:pStyle w:val="Heading1"/>
        <w:spacing w:after="160" w:before="240"/>
      </w:pPr>
      <w:r>
        <w:rPr>
          <w:rFonts w:ascii="Arial" w:cs="Arial" w:eastAsia="Arial" w:hAnsi="Arial"/>
          <w:b/>
          <w:bCs/>
          <w:color w:val="1F3864"/>
          <w:sz w:val="28"/>
          <w:szCs w:val="28"/>
        </w:rPr>
        <w:t xml:space="preserve">6. Link 5 — Factory Production Control and Inspection</w:t>
      </w:r>
    </w:p>
    <w:p>
      <w:pPr>
        <w:pStyle w:val="Heading2"/>
        <w:spacing w:after="120" w:before="200"/>
      </w:pPr>
      <w:r>
        <w:rPr>
          <w:rFonts w:ascii="Arial" w:cs="Arial" w:eastAsia="Arial" w:hAnsi="Arial"/>
          <w:b/>
          <w:bCs/>
          <w:color w:val="1F3864"/>
          <w:sz w:val="24"/>
          <w:szCs w:val="24"/>
        </w:rPr>
        <w:t xml:space="preserve">6.1 Factory prerequisites (from source, updated)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Criteria</w:t>
            </w:r>
          </w:p>
        </w:tc>
        <w:tc>
          <w:tcPr>
            <w:tcW w:type="dxa" w:w="771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Requirement</w:t>
            </w:r>
          </w:p>
        </w:tc>
      </w:tr>
      <w:tr>
        <w:trPr>
          <w:tblHeader w:val="false"/>
        </w:trPr>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Factory QMS</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A.R.E.N.A. QMS audit grade A/B (C = conditional with CAPA). Valid ISO 9001 certificate is considered satisfying the QMS requirement. FPC audit confirming series conformity to the tested type.</w:t>
            </w:r>
          </w:p>
        </w:tc>
      </w:tr>
      <w:tr>
        <w:trPr>
          <w:tblHeader w:val="false"/>
        </w:trPr>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Factory CSR</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amfori BSCI A/B/C (C = conditional). Valid SA8000 is considered satisfying. ISO 14001 where applicable.</w:t>
            </w:r>
          </w:p>
        </w:tc>
      </w:tr>
    </w:tbl>
    <w:p>
      <w:pPr>
        <w:spacing w:after="80"/>
      </w:pPr>
    </w:p>
    <w:p>
      <w:pPr>
        <w:pStyle w:val="Heading2"/>
        <w:spacing w:after="120" w:before="200"/>
      </w:pPr>
      <w:r>
        <w:rPr>
          <w:rFonts w:ascii="Arial" w:cs="Arial" w:eastAsia="Arial" w:hAnsi="Arial"/>
          <w:b/>
          <w:bCs/>
          <w:color w:val="1F3864"/>
          <w:sz w:val="24"/>
          <w:szCs w:val="24"/>
        </w:rPr>
        <w:t xml:space="preserve">6.2 FPC critical control 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819"/>
        <w:gridCol w:w="2506"/>
      </w:tblGrid>
      <w:tr>
        <w:trPr>
          <w:tblHeader/>
        </w:trPr>
        <w:tc>
          <w:tcPr>
            <w:tcW w:type="dxa" w:w="231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Component / process</w:t>
            </w:r>
          </w:p>
        </w:tc>
        <w:tc>
          <w:tcPr>
            <w:tcW w:type="dxa" w:w="481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Control parameter</w:t>
            </w:r>
          </w:p>
        </w:tc>
        <w:tc>
          <w:tcPr>
            <w:tcW w:type="dxa" w:w="2506"/>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Frequency / record</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Steel (frame, forks)</w:t>
            </w:r>
          </w:p>
        </w:tc>
        <w:tc>
          <w:tcPr>
            <w:tcW w:type="dxa" w:w="4819"/>
            <w:tcMar>
              <w:top w:type="dxa" w:w="50"/>
              <w:left w:type="dxa" w:w="80"/>
              <w:bottom w:type="dxa" w:w="50"/>
              <w:right w:type="dxa" w:w="80"/>
            </w:tcMar>
            <w:vAlign w:val="top"/>
          </w:tcPr>
          <w:p>
            <w:pPr>
              <w:spacing w:after="30"/>
            </w:pPr>
            <w:r>
              <w:rPr>
                <w:rFonts w:ascii="Arial" w:cs="Arial" w:eastAsia="Arial" w:hAnsi="Arial"/>
                <w:sz w:val="17"/>
                <w:szCs w:val="17"/>
              </w:rPr>
              <w:t xml:space="preserve">Grade and thickness vs drawing; mill certificate</w:t>
            </w:r>
          </w:p>
        </w:tc>
        <w:tc>
          <w:tcPr>
            <w:tcW w:type="dxa" w:w="2506"/>
            <w:tcMar>
              <w:top w:type="dxa" w:w="50"/>
              <w:left w:type="dxa" w:w="80"/>
              <w:bottom w:type="dxa" w:w="50"/>
              <w:right w:type="dxa" w:w="80"/>
            </w:tcMar>
            <w:vAlign w:val="top"/>
          </w:tcPr>
          <w:p>
            <w:pPr>
              <w:spacing w:after="30"/>
            </w:pPr>
            <w:r>
              <w:rPr>
                <w:rFonts w:ascii="Arial" w:cs="Arial" w:eastAsia="Arial" w:hAnsi="Arial"/>
                <w:sz w:val="17"/>
                <w:szCs w:val="17"/>
              </w:rPr>
              <w:t xml:space="preserve">Each heat / lot</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Welding</w:t>
            </w:r>
          </w:p>
        </w:tc>
        <w:tc>
          <w:tcPr>
            <w:tcW w:type="dxa" w:w="4819"/>
            <w:tcMar>
              <w:top w:type="dxa" w:w="50"/>
              <w:left w:type="dxa" w:w="80"/>
              <w:bottom w:type="dxa" w:w="50"/>
              <w:right w:type="dxa" w:w="80"/>
            </w:tcMar>
            <w:vAlign w:val="top"/>
          </w:tcPr>
          <w:p>
            <w:pPr>
              <w:spacing w:after="30"/>
            </w:pPr>
            <w:r>
              <w:rPr>
                <w:rFonts w:ascii="Arial" w:cs="Arial" w:eastAsia="Arial" w:hAnsi="Arial"/>
                <w:sz w:val="17"/>
                <w:szCs w:val="17"/>
              </w:rPr>
              <w:t xml:space="preserve">WPS; welder qualification; visual weld inspection (no cracks, porosity, undercut)</w:t>
            </w:r>
          </w:p>
        </w:tc>
        <w:tc>
          <w:tcPr>
            <w:tcW w:type="dxa" w:w="2506"/>
            <w:tcMar>
              <w:top w:type="dxa" w:w="50"/>
              <w:left w:type="dxa" w:w="80"/>
              <w:bottom w:type="dxa" w:w="50"/>
              <w:right w:type="dxa" w:w="80"/>
            </w:tcMar>
            <w:vAlign w:val="top"/>
          </w:tcPr>
          <w:p>
            <w:pPr>
              <w:spacing w:after="30"/>
            </w:pPr>
            <w:r>
              <w:rPr>
                <w:rFonts w:ascii="Arial" w:cs="Arial" w:eastAsia="Arial" w:hAnsi="Arial"/>
                <w:sz w:val="17"/>
                <w:szCs w:val="17"/>
              </w:rPr>
              <w:t xml:space="preserve">Each shift; 100 % visual on load-bearing welds</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Hydraulic pump</w:t>
            </w:r>
          </w:p>
        </w:tc>
        <w:tc>
          <w:tcPr>
            <w:tcW w:type="dxa" w:w="4819"/>
            <w:tcMar>
              <w:top w:type="dxa" w:w="50"/>
              <w:left w:type="dxa" w:w="80"/>
              <w:bottom w:type="dxa" w:w="50"/>
              <w:right w:type="dxa" w:w="80"/>
            </w:tcMar>
            <w:vAlign w:val="top"/>
          </w:tcPr>
          <w:p>
            <w:pPr>
              <w:spacing w:after="30"/>
            </w:pPr>
            <w:r>
              <w:rPr>
                <w:rFonts w:ascii="Arial" w:cs="Arial" w:eastAsia="Arial" w:hAnsi="Arial"/>
                <w:sz w:val="17"/>
                <w:szCs w:val="17"/>
              </w:rPr>
              <w:t xml:space="preserve">100 % pressure/leak test; overload valve setting and seal; oil type and volume</w:t>
            </w:r>
          </w:p>
        </w:tc>
        <w:tc>
          <w:tcPr>
            <w:tcW w:type="dxa" w:w="2506"/>
            <w:tcMar>
              <w:top w:type="dxa" w:w="50"/>
              <w:left w:type="dxa" w:w="80"/>
              <w:bottom w:type="dxa" w:w="50"/>
              <w:right w:type="dxa" w:w="80"/>
            </w:tcMar>
            <w:vAlign w:val="top"/>
          </w:tcPr>
          <w:p>
            <w:pPr>
              <w:spacing w:after="30"/>
            </w:pPr>
            <w:r>
              <w:rPr>
                <w:rFonts w:ascii="Arial" w:cs="Arial" w:eastAsia="Arial" w:hAnsi="Arial"/>
                <w:sz w:val="17"/>
                <w:szCs w:val="17"/>
              </w:rPr>
              <w:t xml:space="preserve">100 %, recorded</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End-of-line load test</w:t>
            </w:r>
          </w:p>
        </w:tc>
        <w:tc>
          <w:tcPr>
            <w:tcW w:type="dxa" w:w="4819"/>
            <w:tcMar>
              <w:top w:type="dxa" w:w="50"/>
              <w:left w:type="dxa" w:w="80"/>
              <w:bottom w:type="dxa" w:w="50"/>
              <w:right w:type="dxa" w:w="80"/>
            </w:tcMar>
            <w:vAlign w:val="top"/>
          </w:tcPr>
          <w:p>
            <w:pPr>
              <w:spacing w:after="30"/>
            </w:pPr>
            <w:r>
              <w:rPr>
                <w:rFonts w:ascii="Arial" w:cs="Arial" w:eastAsia="Arial" w:hAnsi="Arial"/>
                <w:sz w:val="17"/>
                <w:szCs w:val="17"/>
              </w:rPr>
              <w:t xml:space="preserve">Static and dynamic tests per MD Annex I 4.1.2.3 / 4.1.3 (MR Annex III same numbering) — required on all lifting machinery before putting into service</w:t>
            </w:r>
          </w:p>
        </w:tc>
        <w:tc>
          <w:tcPr>
            <w:tcW w:type="dxa" w:w="2506"/>
            <w:tcMar>
              <w:top w:type="dxa" w:w="50"/>
              <w:left w:type="dxa" w:w="80"/>
              <w:bottom w:type="dxa" w:w="50"/>
              <w:right w:type="dxa" w:w="80"/>
            </w:tcMar>
            <w:vAlign w:val="top"/>
          </w:tcPr>
          <w:p>
            <w:pPr>
              <w:spacing w:after="30"/>
            </w:pPr>
            <w:r>
              <w:rPr>
                <w:rFonts w:ascii="Arial" w:cs="Arial" w:eastAsia="Arial" w:hAnsi="Arial"/>
                <w:sz w:val="17"/>
                <w:szCs w:val="17"/>
              </w:rPr>
              <w:t xml:space="preserve">100 %, recorded per serial number</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Wheels and bearings</w:t>
            </w:r>
          </w:p>
        </w:tc>
        <w:tc>
          <w:tcPr>
            <w:tcW w:type="dxa" w:w="4819"/>
            <w:tcMar>
              <w:top w:type="dxa" w:w="50"/>
              <w:left w:type="dxa" w:w="80"/>
              <w:bottom w:type="dxa" w:w="50"/>
              <w:right w:type="dxa" w:w="80"/>
            </w:tcMar>
            <w:vAlign w:val="top"/>
          </w:tcPr>
          <w:p>
            <w:pPr>
              <w:spacing w:after="30"/>
            </w:pPr>
            <w:r>
              <w:rPr>
                <w:rFonts w:ascii="Arial" w:cs="Arial" w:eastAsia="Arial" w:hAnsi="Arial"/>
                <w:sz w:val="17"/>
                <w:szCs w:val="17"/>
              </w:rPr>
              <w:t xml:space="preserve">Material (PU/nylon), diameter, free rotation</w:t>
            </w:r>
          </w:p>
        </w:tc>
        <w:tc>
          <w:tcPr>
            <w:tcW w:type="dxa" w:w="2506"/>
            <w:tcMar>
              <w:top w:type="dxa" w:w="50"/>
              <w:left w:type="dxa" w:w="80"/>
              <w:bottom w:type="dxa" w:w="50"/>
              <w:right w:type="dxa" w:w="80"/>
            </w:tcMar>
            <w:vAlign w:val="top"/>
          </w:tcPr>
          <w:p>
            <w:pPr>
              <w:spacing w:after="30"/>
            </w:pPr>
            <w:r>
              <w:rPr>
                <w:rFonts w:ascii="Arial" w:cs="Arial" w:eastAsia="Arial" w:hAnsi="Arial"/>
                <w:sz w:val="17"/>
                <w:szCs w:val="17"/>
              </w:rPr>
              <w:t xml:space="preserve">Each lot</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Fasteners, pins, circlips</w:t>
            </w:r>
          </w:p>
        </w:tc>
        <w:tc>
          <w:tcPr>
            <w:tcW w:type="dxa" w:w="4819"/>
            <w:tcMar>
              <w:top w:type="dxa" w:w="50"/>
              <w:left w:type="dxa" w:w="80"/>
              <w:bottom w:type="dxa" w:w="50"/>
              <w:right w:type="dxa" w:w="80"/>
            </w:tcMar>
            <w:vAlign w:val="top"/>
          </w:tcPr>
          <w:p>
            <w:pPr>
              <w:spacing w:after="30"/>
            </w:pPr>
            <w:r>
              <w:rPr>
                <w:rFonts w:ascii="Arial" w:cs="Arial" w:eastAsia="Arial" w:hAnsi="Arial"/>
                <w:sz w:val="17"/>
                <w:szCs w:val="17"/>
              </w:rPr>
              <w:t xml:space="preserve">Presence, torque, securing</w:t>
            </w:r>
          </w:p>
        </w:tc>
        <w:tc>
          <w:tcPr>
            <w:tcW w:type="dxa" w:w="2506"/>
            <w:tcMar>
              <w:top w:type="dxa" w:w="50"/>
              <w:left w:type="dxa" w:w="80"/>
              <w:bottom w:type="dxa" w:w="50"/>
              <w:right w:type="dxa" w:w="80"/>
            </w:tcMar>
            <w:vAlign w:val="top"/>
          </w:tcPr>
          <w:p>
            <w:pPr>
              <w:spacing w:after="30"/>
            </w:pPr>
            <w:r>
              <w:rPr>
                <w:rFonts w:ascii="Arial" w:cs="Arial" w:eastAsia="Arial" w:hAnsi="Arial"/>
                <w:sz w:val="17"/>
                <w:szCs w:val="17"/>
              </w:rPr>
              <w:t xml:space="preserve">100 % visual</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Coating</w:t>
            </w:r>
          </w:p>
        </w:tc>
        <w:tc>
          <w:tcPr>
            <w:tcW w:type="dxa" w:w="4819"/>
            <w:tcMar>
              <w:top w:type="dxa" w:w="50"/>
              <w:left w:type="dxa" w:w="80"/>
              <w:bottom w:type="dxa" w:w="50"/>
              <w:right w:type="dxa" w:w="80"/>
            </w:tcMar>
            <w:vAlign w:val="top"/>
          </w:tcPr>
          <w:p>
            <w:pPr>
              <w:spacing w:after="30"/>
            </w:pPr>
            <w:r>
              <w:rPr>
                <w:rFonts w:ascii="Arial" w:cs="Arial" w:eastAsia="Arial" w:hAnsi="Arial"/>
                <w:sz w:val="17"/>
                <w:szCs w:val="17"/>
              </w:rPr>
              <w:t xml:space="preserve">DFT (ISO 2808), cross-cut (ISO 2409)</w:t>
            </w:r>
          </w:p>
        </w:tc>
        <w:tc>
          <w:tcPr>
            <w:tcW w:type="dxa" w:w="2506"/>
            <w:tcMar>
              <w:top w:type="dxa" w:w="50"/>
              <w:left w:type="dxa" w:w="80"/>
              <w:bottom w:type="dxa" w:w="50"/>
              <w:right w:type="dxa" w:w="80"/>
            </w:tcMar>
            <w:vAlign w:val="top"/>
          </w:tcPr>
          <w:p>
            <w:pPr>
              <w:spacing w:after="30"/>
            </w:pPr>
            <w:r>
              <w:rPr>
                <w:rFonts w:ascii="Arial" w:cs="Arial" w:eastAsia="Arial" w:hAnsi="Arial"/>
                <w:sz w:val="17"/>
                <w:szCs w:val="17"/>
              </w:rPr>
              <w:t xml:space="preserve">Each batch</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Marking</w:t>
            </w:r>
          </w:p>
        </w:tc>
        <w:tc>
          <w:tcPr>
            <w:tcW w:type="dxa" w:w="4819"/>
            <w:tcMar>
              <w:top w:type="dxa" w:w="50"/>
              <w:left w:type="dxa" w:w="80"/>
              <w:bottom w:type="dxa" w:w="50"/>
              <w:right w:type="dxa" w:w="80"/>
            </w:tcMar>
            <w:vAlign w:val="top"/>
          </w:tcPr>
          <w:p>
            <w:pPr>
              <w:spacing w:after="30"/>
            </w:pPr>
            <w:r>
              <w:rPr>
                <w:rFonts w:ascii="Arial" w:cs="Arial" w:eastAsia="Arial" w:hAnsi="Arial"/>
                <w:sz w:val="17"/>
                <w:szCs w:val="17"/>
              </w:rPr>
              <w:t xml:space="preserve">Data plate content, serial number, CE, rated capacity</w:t>
            </w:r>
          </w:p>
        </w:tc>
        <w:tc>
          <w:tcPr>
            <w:tcW w:type="dxa" w:w="2506"/>
            <w:tcMar>
              <w:top w:type="dxa" w:w="50"/>
              <w:left w:type="dxa" w:w="80"/>
              <w:bottom w:type="dxa" w:w="50"/>
              <w:right w:type="dxa" w:w="80"/>
            </w:tcMar>
            <w:vAlign w:val="top"/>
          </w:tcPr>
          <w:p>
            <w:pPr>
              <w:spacing w:after="30"/>
            </w:pPr>
            <w:r>
              <w:rPr>
                <w:rFonts w:ascii="Arial" w:cs="Arial" w:eastAsia="Arial" w:hAnsi="Arial"/>
                <w:sz w:val="17"/>
                <w:szCs w:val="17"/>
              </w:rPr>
              <w:t xml:space="preserve">100 %</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Non-conforming product / CAPA / calibration</w:t>
            </w:r>
          </w:p>
        </w:tc>
        <w:tc>
          <w:tcPr>
            <w:tcW w:type="dxa" w:w="4819"/>
            <w:tcMar>
              <w:top w:type="dxa" w:w="50"/>
              <w:left w:type="dxa" w:w="80"/>
              <w:bottom w:type="dxa" w:w="50"/>
              <w:right w:type="dxa" w:w="80"/>
            </w:tcMar>
            <w:vAlign w:val="top"/>
          </w:tcPr>
          <w:p>
            <w:pPr>
              <w:spacing w:after="30"/>
            </w:pPr>
            <w:r>
              <w:rPr>
                <w:rFonts w:ascii="Arial" w:cs="Arial" w:eastAsia="Arial" w:hAnsi="Arial"/>
                <w:sz w:val="17"/>
                <w:szCs w:val="17"/>
              </w:rPr>
              <w:t xml:space="preserve">Segregation, disposition, 8D, gauge calibration</w:t>
            </w:r>
          </w:p>
        </w:tc>
        <w:tc>
          <w:tcPr>
            <w:tcW w:type="dxa" w:w="2506"/>
            <w:tcMar>
              <w:top w:type="dxa" w:w="50"/>
              <w:left w:type="dxa" w:w="80"/>
              <w:bottom w:type="dxa" w:w="50"/>
              <w:right w:type="dxa" w:w="80"/>
            </w:tcMar>
            <w:vAlign w:val="top"/>
          </w:tcPr>
          <w:p>
            <w:pPr>
              <w:spacing w:after="30"/>
            </w:pPr>
            <w:r>
              <w:rPr>
                <w:rFonts w:ascii="Arial" w:cs="Arial" w:eastAsia="Arial" w:hAnsi="Arial"/>
                <w:sz w:val="17"/>
                <w:szCs w:val="17"/>
              </w:rPr>
              <w:t xml:space="preserve">Per procedure; records ≥ 10 years</w:t>
            </w:r>
          </w:p>
        </w:tc>
      </w:tr>
    </w:tbl>
    <w:p>
      <w:pPr>
        <w:spacing w:after="80"/>
      </w:pPr>
    </w:p>
    <w:p>
      <w:pPr>
        <w:pStyle w:val="Heading2"/>
        <w:spacing w:after="120" w:before="200"/>
      </w:pPr>
      <w:r>
        <w:rPr>
          <w:rFonts w:ascii="Arial" w:cs="Arial" w:eastAsia="Arial" w:hAnsi="Arial"/>
          <w:b/>
          <w:bCs/>
          <w:color w:val="1F3864"/>
          <w:sz w:val="24"/>
          <w:szCs w:val="24"/>
        </w:rPr>
        <w:t xml:space="preserve">6.3 A.R.E.N.A. inspection schedule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313"/>
        <w:gridCol w:w="3469"/>
        <w:gridCol w:w="2314"/>
      </w:tblGrid>
      <w:tr>
        <w:trPr>
          <w:tblHeader/>
        </w:trPr>
        <w:tc>
          <w:tcPr>
            <w:tcW w:type="dxa" w:w="154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Stage</w:t>
            </w:r>
          </w:p>
        </w:tc>
        <w:tc>
          <w:tcPr>
            <w:tcW w:type="dxa" w:w="231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Trigger</w:t>
            </w:r>
          </w:p>
        </w:tc>
        <w:tc>
          <w:tcPr>
            <w:tcW w:type="dxa" w:w="346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Quantity / sampling</w:t>
            </w:r>
          </w:p>
        </w:tc>
        <w:tc>
          <w:tcPr>
            <w:tcW w:type="dxa" w:w="231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Checklist</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Sample validation</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New item / new supplier / change</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1 pc (+1 pc golden sample retained)</w:t>
            </w:r>
          </w:p>
        </w:tc>
        <w:tc>
          <w:tcPr>
            <w:tcW w:type="dxa" w:w="2314"/>
            <w:tcMar>
              <w:top w:type="dxa" w:w="50"/>
              <w:left w:type="dxa" w:w="80"/>
              <w:bottom w:type="dxa" w:w="50"/>
              <w:right w:type="dxa" w:w="80"/>
            </w:tcMar>
            <w:vAlign w:val="top"/>
          </w:tcPr>
          <w:p>
            <w:pPr>
              <w:spacing w:after="30"/>
            </w:pPr>
            <w:r>
              <w:rPr>
                <w:rFonts w:ascii="Arial" w:cs="Arial" w:eastAsia="Arial" w:hAnsi="Arial"/>
                <w:sz w:val="17"/>
                <w:szCs w:val="17"/>
              </w:rPr>
              <w:t xml:space="preserve">Annex A — all items incl. static test</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DPI / in-line</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First order; critical order</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At ≥ 20 % of goods produced</w:t>
            </w:r>
          </w:p>
        </w:tc>
        <w:tc>
          <w:tcPr>
            <w:tcW w:type="dxa" w:w="2314"/>
            <w:tcMar>
              <w:top w:type="dxa" w:w="50"/>
              <w:left w:type="dxa" w:w="80"/>
              <w:bottom w:type="dxa" w:w="50"/>
              <w:right w:type="dxa" w:w="80"/>
            </w:tcMar>
            <w:vAlign w:val="top"/>
          </w:tcPr>
          <w:p>
            <w:pPr>
              <w:spacing w:after="30"/>
            </w:pPr>
            <w:r>
              <w:rPr>
                <w:rFonts w:ascii="Arial" w:cs="Arial" w:eastAsia="Arial" w:hAnsi="Arial"/>
                <w:sz w:val="17"/>
                <w:szCs w:val="17"/>
              </w:rPr>
              <w:t xml:space="preserve">Annex A items 1–7 (static test on 1 pc)</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FRI</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Every shipment, mandatory</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100 % produced, ≥ 80 % packed; ISO 2859-1 / ANSI Z1.4 GI-II; Cr 0 · Ma 2.5 · Mi 4.0; functional tests at S-3</w:t>
            </w:r>
          </w:p>
        </w:tc>
        <w:tc>
          <w:tcPr>
            <w:tcW w:type="dxa" w:w="2314"/>
            <w:tcMar>
              <w:top w:type="dxa" w:w="50"/>
              <w:left w:type="dxa" w:w="80"/>
              <w:bottom w:type="dxa" w:w="50"/>
              <w:right w:type="dxa" w:w="80"/>
            </w:tcMar>
            <w:vAlign w:val="top"/>
          </w:tcPr>
          <w:p>
            <w:pPr>
              <w:spacing w:after="30"/>
            </w:pPr>
            <w:r>
              <w:rPr>
                <w:rFonts w:ascii="Arial" w:cs="Arial" w:eastAsia="Arial" w:hAnsi="Arial"/>
                <w:sz w:val="17"/>
                <w:szCs w:val="17"/>
              </w:rPr>
              <w:t xml:space="preserve">Annex A (static test not required unless Ally requests)</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Golden sample</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Every P.O., each variant</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Sealed reference</w:t>
            </w:r>
          </w:p>
        </w:tc>
        <w:tc>
          <w:tcPr>
            <w:tcW w:type="dxa" w:w="2314"/>
            <w:tcMar>
              <w:top w:type="dxa" w:w="50"/>
              <w:left w:type="dxa" w:w="80"/>
              <w:bottom w:type="dxa" w:w="50"/>
              <w:right w:type="dxa" w:w="80"/>
            </w:tcMar>
            <w:vAlign w:val="top"/>
          </w:tcPr>
          <w:p>
            <w:pPr>
              <w:spacing w:after="30"/>
            </w:pPr>
            <w:r>
              <w:rPr>
                <w:rFonts w:ascii="Arial" w:cs="Arial" w:eastAsia="Arial" w:hAnsi="Arial"/>
                <w:sz w:val="17"/>
                <w:szCs w:val="17"/>
              </w:rPr>
              <w:t xml:space="preserve">Per QSD</w:t>
            </w:r>
          </w:p>
        </w:tc>
      </w:tr>
    </w:tbl>
    <w:p>
      <w:pPr>
        <w:spacing w:after="80"/>
      </w:pPr>
    </w:p>
    <w:p>
      <w:r>
        <w:br w:type="page"/>
      </w:r>
    </w:p>
    <w:p>
      <w:pPr>
        <w:pStyle w:val="Heading3"/>
        <w:spacing w:after="80" w:before="140"/>
      </w:pPr>
      <w:r>
        <w:rPr>
          <w:rFonts w:ascii="Arial" w:cs="Arial" w:eastAsia="Arial" w:hAnsi="Arial"/>
          <w:b/>
          <w:bCs/>
          <w:sz w:val="21"/>
          <w:szCs w:val="21"/>
        </w:rPr>
        <w:t xml:space="preserve">6.4 Inspection and release flowchart</w:t>
      </w:r>
    </w:p>
    <w:p>
      <w:pPr>
        <w:spacing w:after="60"/>
        <w:jc w:val="center"/>
      </w:pPr>
      <w:r>
        <w:drawing>
          <wp:inline distT="0" distB="0" distL="0" distR="0">
            <wp:extent cx="5715000" cy="669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6696075"/>
                    </a:xfrm>
                    <a:prstGeom prst="rect">
                      <a:avLst/>
                    </a:prstGeom>
                  </pic:spPr>
                </pic:pic>
              </a:graphicData>
            </a:graphic>
          </wp:inline>
        </w:drawing>
      </w:r>
    </w:p>
    <w:p>
      <w:pPr>
        <w:spacing w:after="160"/>
        <w:jc w:val="center"/>
      </w:pPr>
      <w:r>
        <w:rPr>
          <w:rFonts w:ascii="Arial" w:cs="Arial" w:eastAsia="Arial" w:hAnsi="Arial"/>
          <w:i/>
          <w:iCs/>
          <w:color w:val="595959"/>
          <w:sz w:val="16"/>
          <w:szCs w:val="16"/>
        </w:rPr>
        <w:t xml:space="preserve">Figure 2 — Sample validation, DPI, FRI and SRC decision path with corrective loops.</w:t>
      </w:r>
    </w:p>
    <w:p>
      <w:pPr>
        <w:pStyle w:val="Heading3"/>
        <w:spacing w:after="80" w:before="140"/>
      </w:pPr>
      <w:r>
        <w:rPr>
          <w:rFonts w:ascii="Arial" w:cs="Arial" w:eastAsia="Arial" w:hAnsi="Arial"/>
          <w:b/>
          <w:bCs/>
          <w:sz w:val="21"/>
          <w:szCs w:val="21"/>
        </w:rPr>
        <w:t xml:space="preserve">Gate 5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FPC verified; sample validation PASS; FRI booked.</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CONDITIONAL</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First order — DPI mandatory before FRI.</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NO-GO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No end-of-line load test; FRI critical defect; FPC not established.</w:t>
            </w:r>
          </w:p>
        </w:tc>
      </w:tr>
    </w:tbl>
    <w:p>
      <w:pPr>
        <w:spacing w:after="80"/>
      </w:pPr>
    </w:p>
    <w:p>
      <w:pPr>
        <w:pStyle w:val="Heading1"/>
        <w:spacing w:after="160" w:before="240"/>
      </w:pPr>
      <w:r>
        <w:rPr>
          <w:rFonts w:ascii="Arial" w:cs="Arial" w:eastAsia="Arial" w:hAnsi="Arial"/>
          <w:b/>
          <w:bCs/>
          <w:color w:val="1F3864"/>
          <w:sz w:val="28"/>
          <w:szCs w:val="28"/>
        </w:rPr>
        <w:t xml:space="preserve">7. Link 6 — Declaration of Conformity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373"/>
        <w:gridCol w:w="3374"/>
      </w:tblGrid>
      <w:tr>
        <w:trPr>
          <w:tblHeader/>
        </w:trPr>
        <w:tc>
          <w:tcPr>
            <w:tcW w:type="dxa" w:w="289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DoC element</w:t>
            </w:r>
          </w:p>
        </w:tc>
        <w:tc>
          <w:tcPr>
            <w:tcW w:type="dxa" w:w="337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MD 2006/42/EC — Annex II 1.A</w:t>
            </w:r>
          </w:p>
        </w:tc>
        <w:tc>
          <w:tcPr>
            <w:tcW w:type="dxa" w:w="337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MR (EU) 2023/1230 — Annex V</w:t>
            </w:r>
          </w:p>
        </w:tc>
      </w:tr>
      <w:tr>
        <w:trPr>
          <w:tblHeader w:val="false"/>
        </w:trPr>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Manufacturer name and full address</w:t>
            </w:r>
          </w:p>
        </w:tc>
        <w:tc>
          <w:tcPr>
            <w:tcW w:type="dxa" w:w="3373"/>
            <w:tcMar>
              <w:top w:type="dxa" w:w="50"/>
              <w:left w:type="dxa" w:w="80"/>
              <w:bottom w:type="dxa" w:w="50"/>
              <w:right w:type="dxa" w:w="80"/>
            </w:tcMar>
            <w:vAlign w:val="top"/>
          </w:tcPr>
          <w:p>
            <w:pPr>
              <w:spacing w:after="30"/>
            </w:pPr>
            <w:r>
              <w:rPr>
                <w:rFonts w:ascii="Arial" w:cs="Arial" w:eastAsia="Arial" w:hAnsi="Arial"/>
                <w:sz w:val="17"/>
                <w:szCs w:val="17"/>
              </w:rPr>
              <w:t xml:space="preserve">Required (+ authorised representative)</w:t>
            </w:r>
          </w:p>
        </w:tc>
        <w:tc>
          <w:tcPr>
            <w:tcW w:type="dxa" w:w="3374"/>
            <w:tcMar>
              <w:top w:type="dxa" w:w="50"/>
              <w:left w:type="dxa" w:w="80"/>
              <w:bottom w:type="dxa" w:w="50"/>
              <w:right w:type="dxa" w:w="80"/>
            </w:tcMar>
            <w:vAlign w:val="top"/>
          </w:tcPr>
          <w:p>
            <w:pPr>
              <w:spacing w:after="30"/>
            </w:pPr>
            <w:r>
              <w:rPr>
                <w:rFonts w:ascii="Arial" w:cs="Arial" w:eastAsia="Arial" w:hAnsi="Arial"/>
                <w:sz w:val="17"/>
                <w:szCs w:val="17"/>
              </w:rPr>
              <w:t xml:space="preserve">Required (+ authorised representative)</w:t>
            </w:r>
          </w:p>
        </w:tc>
      </w:tr>
      <w:tr>
        <w:trPr>
          <w:tblHeader w:val="false"/>
        </w:trPr>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Person authorised to compile technical file (established in EU)</w:t>
            </w:r>
          </w:p>
        </w:tc>
        <w:tc>
          <w:tcPr>
            <w:tcW w:type="dxa" w:w="3373"/>
            <w:tcMar>
              <w:top w:type="dxa" w:w="50"/>
              <w:left w:type="dxa" w:w="80"/>
              <w:bottom w:type="dxa" w:w="50"/>
              <w:right w:type="dxa" w:w="80"/>
            </w:tcMar>
            <w:vAlign w:val="top"/>
          </w:tcPr>
          <w:p>
            <w:pPr>
              <w:spacing w:after="30"/>
            </w:pPr>
            <w:r>
              <w:rPr>
                <w:rFonts w:ascii="Arial" w:cs="Arial" w:eastAsia="Arial" w:hAnsi="Arial"/>
                <w:sz w:val="17"/>
                <w:szCs w:val="17"/>
              </w:rPr>
              <w:t xml:space="preserve">Required</w:t>
            </w:r>
          </w:p>
        </w:tc>
        <w:tc>
          <w:tcPr>
            <w:tcW w:type="dxa" w:w="3374"/>
            <w:tcMar>
              <w:top w:type="dxa" w:w="50"/>
              <w:left w:type="dxa" w:w="80"/>
              <w:bottom w:type="dxa" w:w="50"/>
              <w:right w:type="dxa" w:w="80"/>
            </w:tcMar>
            <w:vAlign w:val="top"/>
          </w:tcPr>
          <w:p>
            <w:pPr>
              <w:spacing w:after="30"/>
            </w:pPr>
            <w:r>
              <w:rPr>
                <w:rFonts w:ascii="Arial" w:cs="Arial" w:eastAsia="Arial" w:hAnsi="Arial"/>
                <w:sz w:val="17"/>
                <w:szCs w:val="17"/>
              </w:rPr>
              <w:t xml:space="preserve">Not a DoC field — verify</w:t>
            </w:r>
          </w:p>
        </w:tc>
      </w:tr>
      <w:tr>
        <w:trPr>
          <w:tblHeader w:val="false"/>
        </w:trPr>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Description and identification</w:t>
            </w:r>
          </w:p>
        </w:tc>
        <w:tc>
          <w:tcPr>
            <w:tcW w:type="dxa" w:w="3373"/>
            <w:tcMar>
              <w:top w:type="dxa" w:w="50"/>
              <w:left w:type="dxa" w:w="80"/>
              <w:bottom w:type="dxa" w:w="50"/>
              <w:right w:type="dxa" w:w="80"/>
            </w:tcMar>
            <w:vAlign w:val="top"/>
          </w:tcPr>
          <w:p>
            <w:pPr>
              <w:spacing w:after="30"/>
            </w:pPr>
            <w:r>
              <w:rPr>
                <w:rFonts w:ascii="Arial" w:cs="Arial" w:eastAsia="Arial" w:hAnsi="Arial"/>
                <w:sz w:val="17"/>
                <w:szCs w:val="17"/>
              </w:rPr>
              <w:t xml:space="preserve">Generic denomination, function, model, type, serial number, commercial name</w:t>
            </w:r>
          </w:p>
        </w:tc>
        <w:tc>
          <w:tcPr>
            <w:tcW w:type="dxa" w:w="3374"/>
            <w:tcMar>
              <w:top w:type="dxa" w:w="50"/>
              <w:left w:type="dxa" w:w="80"/>
              <w:bottom w:type="dxa" w:w="50"/>
              <w:right w:type="dxa" w:w="80"/>
            </w:tcMar>
            <w:vAlign w:val="top"/>
          </w:tcPr>
          <w:p>
            <w:pPr>
              <w:spacing w:after="30"/>
            </w:pPr>
            <w:r>
              <w:rPr>
                <w:rFonts w:ascii="Arial" w:cs="Arial" w:eastAsia="Arial" w:hAnsi="Arial"/>
                <w:sz w:val="17"/>
                <w:szCs w:val="17"/>
              </w:rPr>
              <w:t xml:space="preserve">Product, model, type, serial/batch; image optional</w:t>
            </w:r>
          </w:p>
        </w:tc>
      </w:tr>
      <w:tr>
        <w:trPr>
          <w:tblHeader w:val="false"/>
        </w:trPr>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Sole responsibility statement</w:t>
            </w:r>
          </w:p>
        </w:tc>
        <w:tc>
          <w:tcPr>
            <w:tcW w:type="dxa" w:w="3373"/>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3374"/>
            <w:tcMar>
              <w:top w:type="dxa" w:w="50"/>
              <w:left w:type="dxa" w:w="80"/>
              <w:bottom w:type="dxa" w:w="50"/>
              <w:right w:type="dxa" w:w="80"/>
            </w:tcMar>
            <w:vAlign w:val="top"/>
          </w:tcPr>
          <w:p>
            <w:pPr>
              <w:spacing w:after="30"/>
            </w:pPr>
            <w:r>
              <w:rPr>
                <w:rFonts w:ascii="Arial" w:cs="Arial" w:eastAsia="Arial" w:hAnsi="Arial"/>
                <w:sz w:val="17"/>
                <w:szCs w:val="17"/>
              </w:rPr>
              <w:t xml:space="preserve">Required</w:t>
            </w:r>
          </w:p>
        </w:tc>
      </w:tr>
      <w:tr>
        <w:trPr>
          <w:tblHeader w:val="false"/>
        </w:trPr>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Conformity statement</w:t>
            </w:r>
          </w:p>
        </w:tc>
        <w:tc>
          <w:tcPr>
            <w:tcW w:type="dxa" w:w="3373"/>
            <w:tcMar>
              <w:top w:type="dxa" w:w="50"/>
              <w:left w:type="dxa" w:w="80"/>
              <w:bottom w:type="dxa" w:w="50"/>
              <w:right w:type="dxa" w:w="80"/>
            </w:tcMar>
            <w:vAlign w:val="top"/>
          </w:tcPr>
          <w:p>
            <w:pPr>
              <w:spacing w:after="30"/>
            </w:pPr>
            <w:r>
              <w:rPr>
                <w:rFonts w:ascii="Arial" w:cs="Arial" w:eastAsia="Arial" w:hAnsi="Arial"/>
                <w:sz w:val="17"/>
                <w:szCs w:val="17"/>
              </w:rPr>
              <w:t xml:space="preserve">Machinery Directive + other applicable directives</w:t>
            </w:r>
          </w:p>
        </w:tc>
        <w:tc>
          <w:tcPr>
            <w:tcW w:type="dxa" w:w="3374"/>
            <w:tcMar>
              <w:top w:type="dxa" w:w="50"/>
              <w:left w:type="dxa" w:w="80"/>
              <w:bottom w:type="dxa" w:w="50"/>
              <w:right w:type="dxa" w:w="80"/>
            </w:tcMar>
            <w:vAlign w:val="top"/>
          </w:tcPr>
          <w:p>
            <w:pPr>
              <w:spacing w:after="30"/>
            </w:pPr>
            <w:r>
              <w:rPr>
                <w:rFonts w:ascii="Arial" w:cs="Arial" w:eastAsia="Arial" w:hAnsi="Arial"/>
                <w:sz w:val="17"/>
                <w:szCs w:val="17"/>
              </w:rPr>
              <w:t xml:space="preserve">MR + other Union harmonisation legislation</w:t>
            </w:r>
          </w:p>
        </w:tc>
      </w:tr>
      <w:tr>
        <w:trPr>
          <w:tblHeader w:val="false"/>
        </w:trPr>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Standards</w:t>
            </w:r>
          </w:p>
        </w:tc>
        <w:tc>
          <w:tcPr>
            <w:tcW w:type="dxa" w:w="3373"/>
            <w:tcMar>
              <w:top w:type="dxa" w:w="50"/>
              <w:left w:type="dxa" w:w="80"/>
              <w:bottom w:type="dxa" w:w="50"/>
              <w:right w:type="dxa" w:w="80"/>
            </w:tcMar>
            <w:vAlign w:val="top"/>
          </w:tcPr>
          <w:p>
            <w:pPr>
              <w:spacing w:after="30"/>
            </w:pPr>
            <w:r>
              <w:rPr>
                <w:rFonts w:ascii="Arial" w:cs="Arial" w:eastAsia="Arial" w:hAnsi="Arial"/>
                <w:sz w:val="17"/>
                <w:szCs w:val="17"/>
              </w:rPr>
              <w:t xml:space="preserve">Harmonised standards with dates</w:t>
            </w:r>
          </w:p>
        </w:tc>
        <w:tc>
          <w:tcPr>
            <w:tcW w:type="dxa" w:w="3374"/>
            <w:tcMar>
              <w:top w:type="dxa" w:w="50"/>
              <w:left w:type="dxa" w:w="80"/>
              <w:bottom w:type="dxa" w:w="50"/>
              <w:right w:type="dxa" w:w="80"/>
            </w:tcMar>
            <w:vAlign w:val="top"/>
          </w:tcPr>
          <w:p>
            <w:pPr>
              <w:spacing w:after="30"/>
            </w:pPr>
            <w:r>
              <w:rPr>
                <w:rFonts w:ascii="Arial" w:cs="Arial" w:eastAsia="Arial" w:hAnsi="Arial"/>
                <w:sz w:val="17"/>
                <w:szCs w:val="17"/>
              </w:rPr>
              <w:t xml:space="preserve">Harmonised standards / common specifications with dates</w:t>
            </w:r>
          </w:p>
        </w:tc>
      </w:tr>
      <w:tr>
        <w:trPr>
          <w:tblHeader w:val="false"/>
        </w:trPr>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NB</w:t>
            </w:r>
          </w:p>
        </w:tc>
        <w:tc>
          <w:tcPr>
            <w:tcW w:type="dxa" w:w="3373"/>
            <w:tcMar>
              <w:top w:type="dxa" w:w="50"/>
              <w:left w:type="dxa" w:w="80"/>
              <w:bottom w:type="dxa" w:w="50"/>
              <w:right w:type="dxa" w:w="80"/>
            </w:tcMar>
            <w:vAlign w:val="top"/>
          </w:tcPr>
          <w:p>
            <w:pPr>
              <w:spacing w:after="30"/>
            </w:pPr>
            <w:r>
              <w:rPr>
                <w:rFonts w:ascii="Arial" w:cs="Arial" w:eastAsia="Arial" w:hAnsi="Arial"/>
                <w:sz w:val="17"/>
                <w:szCs w:val="17"/>
              </w:rPr>
              <w:t xml:space="preserve">N/A (Annex VIII)</w:t>
            </w:r>
          </w:p>
        </w:tc>
        <w:tc>
          <w:tcPr>
            <w:tcW w:type="dxa" w:w="3374"/>
            <w:tcMar>
              <w:top w:type="dxa" w:w="50"/>
              <w:left w:type="dxa" w:w="80"/>
              <w:bottom w:type="dxa" w:w="50"/>
              <w:right w:type="dxa" w:w="80"/>
            </w:tcMar>
            <w:vAlign w:val="top"/>
          </w:tcPr>
          <w:p>
            <w:pPr>
              <w:spacing w:after="30"/>
            </w:pPr>
            <w:r>
              <w:rPr>
                <w:rFonts w:ascii="Arial" w:cs="Arial" w:eastAsia="Arial" w:hAnsi="Arial"/>
                <w:sz w:val="17"/>
                <w:szCs w:val="17"/>
              </w:rPr>
              <w:t xml:space="preserve">N/A (Module A)</w:t>
            </w:r>
          </w:p>
        </w:tc>
      </w:tr>
      <w:tr>
        <w:trPr>
          <w:tblHeader w:val="false"/>
        </w:trPr>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Place, date, name, function and signature</w:t>
            </w:r>
          </w:p>
        </w:tc>
        <w:tc>
          <w:tcPr>
            <w:tcW w:type="dxa" w:w="3373"/>
            <w:tcMar>
              <w:top w:type="dxa" w:w="50"/>
              <w:left w:type="dxa" w:w="80"/>
              <w:bottom w:type="dxa" w:w="50"/>
              <w:right w:type="dxa" w:w="80"/>
            </w:tcMar>
            <w:vAlign w:val="top"/>
          </w:tcPr>
          <w:p>
            <w:pPr>
              <w:spacing w:after="30"/>
            </w:pPr>
            <w:r>
              <w:rPr>
                <w:rFonts w:ascii="Arial" w:cs="Arial" w:eastAsia="Arial" w:hAnsi="Arial"/>
                <w:sz w:val="17"/>
                <w:szCs w:val="17"/>
              </w:rPr>
              <w:t xml:space="preserve">Required</w:t>
            </w:r>
          </w:p>
        </w:tc>
        <w:tc>
          <w:tcPr>
            <w:tcW w:type="dxa" w:w="3374"/>
            <w:tcMar>
              <w:top w:type="dxa" w:w="50"/>
              <w:left w:type="dxa" w:w="80"/>
              <w:bottom w:type="dxa" w:w="50"/>
              <w:right w:type="dxa" w:w="80"/>
            </w:tcMar>
            <w:vAlign w:val="top"/>
          </w:tcPr>
          <w:p>
            <w:pPr>
              <w:spacing w:after="30"/>
            </w:pPr>
            <w:r>
              <w:rPr>
                <w:rFonts w:ascii="Arial" w:cs="Arial" w:eastAsia="Arial" w:hAnsi="Arial"/>
                <w:sz w:val="17"/>
                <w:szCs w:val="17"/>
              </w:rPr>
              <w:t xml:space="preserve">Required</w:t>
            </w:r>
          </w:p>
        </w:tc>
      </w:tr>
    </w:tbl>
    <w:p>
      <w:pPr>
        <w:spacing w:after="80"/>
      </w:pPr>
    </w:p>
    <w:p>
      <w:pPr>
        <w:pStyle w:val="ListParagraph"/>
        <w:numPr>
          <w:ilvl w:val="0"/>
          <w:numId w:val="2"/>
        </w:numPr>
        <w:spacing w:after="60"/>
      </w:pPr>
      <w:r>
        <w:rPr>
          <w:rFonts w:ascii="Arial" w:cs="Arial" w:eastAsia="Arial" w:hAnsi="Arial"/>
          <w:sz w:val="20"/>
          <w:szCs w:val="20"/>
        </w:rPr>
        <w:t xml:space="preserve">One DoC per model; languages of each Member State of sale (EN + DE/FR/IT/RO etc.).</w:t>
      </w:r>
    </w:p>
    <w:p>
      <w:pPr>
        <w:pStyle w:val="ListParagraph"/>
        <w:numPr>
          <w:ilvl w:val="0"/>
          <w:numId w:val="2"/>
        </w:numPr>
        <w:spacing w:after="60"/>
      </w:pPr>
      <w:r>
        <w:rPr>
          <w:rFonts w:ascii="Arial" w:cs="Arial" w:eastAsia="Arial" w:hAnsi="Arial"/>
          <w:sz w:val="20"/>
          <w:szCs w:val="20"/>
        </w:rPr>
        <w:t xml:space="preserve">MD: the instructions shall contain the DoC or a document setting out its contents (Annex I 1.7.4.2(c)). MR Art. 21: the machinery is accompanied by the EU DoC (Annex V Part A) or the manufacturer provides the internet address where it can be accessed (A.R.E.N.A.: paper copy in the box for DIY channel). Omnibus IV (provisional agreement 09/06/2026, not yet published) introduces an electronic DoC — monitor.</w:t>
      </w:r>
    </w:p>
    <w:p>
      <w:pPr>
        <w:pStyle w:val="ListParagraph"/>
        <w:numPr>
          <w:ilvl w:val="0"/>
          <w:numId w:val="2"/>
        </w:numPr>
        <w:spacing w:after="60"/>
      </w:pPr>
      <w:r>
        <w:rPr>
          <w:rFonts w:ascii="Arial" w:cs="Arial" w:eastAsia="Arial" w:hAnsi="Arial"/>
          <w:sz w:val="20"/>
          <w:szCs w:val="20"/>
        </w:rPr>
        <w:t xml:space="preserve">Superseded references (e.g. EN 1757-2, GPSD 2001/95/EC) on DoC → reject.</w:t>
      </w:r>
    </w:p>
    <w:p>
      <w:pPr>
        <w:pStyle w:val="Heading3"/>
        <w:spacing w:after="80" w:before="140"/>
      </w:pPr>
      <w:r>
        <w:rPr>
          <w:rFonts w:ascii="Arial" w:cs="Arial" w:eastAsia="Arial" w:hAnsi="Arial"/>
          <w:b/>
          <w:bCs/>
          <w:sz w:val="21"/>
          <w:szCs w:val="21"/>
        </w:rPr>
        <w:t xml:space="preserve">Gate 6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DoC complete, signed, correct legal act for the placing-on-market date, correct languages.</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CONDITIONAL</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Cites superseded standard edition — revise before shipment.</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NO-GO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DoC missing/unsigned; MD DoC used for units placed on market after 19/01/2027.</w:t>
            </w:r>
          </w:p>
        </w:tc>
      </w:tr>
    </w:tbl>
    <w:p>
      <w:pPr>
        <w:spacing w:after="80"/>
      </w:pPr>
    </w:p>
    <w:p>
      <w:pPr>
        <w:pStyle w:val="Heading1"/>
        <w:spacing w:after="160" w:before="240"/>
      </w:pPr>
      <w:r>
        <w:rPr>
          <w:rFonts w:ascii="Arial" w:cs="Arial" w:eastAsia="Arial" w:hAnsi="Arial"/>
          <w:b/>
          <w:bCs/>
          <w:color w:val="1F3864"/>
          <w:sz w:val="28"/>
          <w:szCs w:val="28"/>
        </w:rPr>
        <w:t xml:space="preserve">8. Link 7 — CE Marking, Data Plate and Instructions</w:t>
      </w:r>
    </w:p>
    <w:p>
      <w:pPr>
        <w:pStyle w:val="Heading2"/>
        <w:spacing w:after="120" w:before="200"/>
      </w:pPr>
      <w:r>
        <w:rPr>
          <w:rFonts w:ascii="Arial" w:cs="Arial" w:eastAsia="Arial" w:hAnsi="Arial"/>
          <w:b/>
          <w:bCs/>
          <w:color w:val="1F3864"/>
          <w:sz w:val="24"/>
          <w:szCs w:val="24"/>
        </w:rPr>
        <w:t xml:space="preserve">8.1 Marking verification checklist (QC at FRI)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2313"/>
        <w:gridCol w:w="2505"/>
        <w:gridCol w:w="1351"/>
      </w:tblGrid>
      <w:tr>
        <w:trPr>
          <w:tblHeader/>
        </w:trPr>
        <w:tc>
          <w:tcPr>
            <w:tcW w:type="dxa" w:w="346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Element</w:t>
            </w:r>
          </w:p>
        </w:tc>
        <w:tc>
          <w:tcPr>
            <w:tcW w:type="dxa" w:w="231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Reference</w:t>
            </w:r>
          </w:p>
        </w:tc>
        <w:tc>
          <w:tcPr>
            <w:tcW w:type="dxa" w:w="250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Accept criterion</w:t>
            </w:r>
          </w:p>
        </w:tc>
        <w:tc>
          <w:tcPr>
            <w:tcW w:type="dxa" w:w="135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Fail class</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CE marking ≥ 5 mm, Annex II 765/2008 proportions, indelible, next to manufacturer name</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MD 1.7.3 / Art. 16; MR Art. 24</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Present, correct, no NB number</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Manufacturer business name and full address (+ AR)</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MD/MR 1.7.3</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Complete</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Importer name, trade name, postal address and contact</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MR Art. 13; GPSR; 2019/1020 Art. 4</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On product or, where impossible, packaging/document</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Designation, series or type, serial number, year of construction</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MD/MR 1.7.3</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Complete and legible</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Rated capacity (kg) at load centre (mm); unladen mass</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MD/MR 4.3.3; EN ISO 3691-5 data plate (verify)</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Matches test report and spec</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Warning pictograms (no riding, foot crushing, max load)</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Risk assessment; EN ISO 3691-5</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Present, durable</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Swiss distributor identification (CH lots)</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PrSG</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Present</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Barcode / EAN</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Ally spec</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Scans correctly, position per approval</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Triman + Info-tri (FR lots)</w:t>
            </w:r>
          </w:p>
        </w:tc>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L.541-9-3 C. env.</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On packaging or leaflet</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r>
    </w:tbl>
    <w:p>
      <w:pPr>
        <w:spacing w:after="80"/>
      </w:pPr>
    </w:p>
    <w:p>
      <w:pPr>
        <w:pStyle w:val="Heading2"/>
        <w:spacing w:after="120" w:before="200"/>
      </w:pPr>
      <w:r>
        <w:rPr>
          <w:rFonts w:ascii="Arial" w:cs="Arial" w:eastAsia="Arial" w:hAnsi="Arial"/>
          <w:b/>
          <w:bCs/>
          <w:color w:val="1F3864"/>
          <w:sz w:val="24"/>
          <w:szCs w:val="24"/>
        </w:rPr>
        <w:t xml:space="preserve">8.2 Instructions for use — minimum content</w:t>
      </w:r>
    </w:p>
    <w:p>
      <w:pPr>
        <w:pStyle w:val="ListParagraph"/>
        <w:numPr>
          <w:ilvl w:val="0"/>
          <w:numId w:val="2"/>
        </w:numPr>
        <w:spacing w:after="60"/>
      </w:pPr>
      <w:r>
        <w:rPr>
          <w:rFonts w:ascii="Arial" w:cs="Arial" w:eastAsia="Arial" w:hAnsi="Arial"/>
          <w:sz w:val="20"/>
          <w:szCs w:val="20"/>
        </w:rPr>
        <w:t xml:space="preserve">Intended use, rated capacity, load centre, permitted floors; prohibited uses (2.1 misuse list).</w:t>
      </w:r>
    </w:p>
    <w:p>
      <w:pPr>
        <w:pStyle w:val="ListParagraph"/>
        <w:numPr>
          <w:ilvl w:val="0"/>
          <w:numId w:val="2"/>
        </w:numPr>
        <w:spacing w:after="60"/>
      </w:pPr>
      <w:r>
        <w:rPr>
          <w:rFonts w:ascii="Arial" w:cs="Arial" w:eastAsia="Arial" w:hAnsi="Arial"/>
          <w:sz w:val="20"/>
          <w:szCs w:val="20"/>
        </w:rPr>
        <w:t xml:space="preserve">Assembly of tiller (pin, chain/rod adjustment), commissioning check, operation (lift, neutral, lower), parking/brake.</w:t>
      </w:r>
    </w:p>
    <w:p>
      <w:pPr>
        <w:pStyle w:val="ListParagraph"/>
        <w:numPr>
          <w:ilvl w:val="0"/>
          <w:numId w:val="2"/>
        </w:numPr>
        <w:spacing w:after="60"/>
      </w:pPr>
      <w:r>
        <w:rPr>
          <w:rFonts w:ascii="Arial" w:cs="Arial" w:eastAsia="Arial" w:hAnsi="Arial"/>
          <w:sz w:val="20"/>
          <w:szCs w:val="20"/>
        </w:rPr>
        <w:t xml:space="preserve">Maintenance: oil type, volume, refilling, air bleeding, lubrication points, inspection intervals, wear limits; residual risks.</w:t>
      </w:r>
    </w:p>
    <w:p>
      <w:pPr>
        <w:pStyle w:val="ListParagraph"/>
        <w:numPr>
          <w:ilvl w:val="0"/>
          <w:numId w:val="2"/>
        </w:numPr>
        <w:spacing w:after="60"/>
      </w:pPr>
      <w:r>
        <w:rPr>
          <w:rFonts w:ascii="Arial" w:cs="Arial" w:eastAsia="Arial" w:hAnsi="Arial"/>
          <w:sz w:val="20"/>
          <w:szCs w:val="20"/>
        </w:rPr>
        <w:t xml:space="preserve">Manufacturer and importer identification; copy/content of DoC (MD) or DoC access (MR).</w:t>
      </w:r>
    </w:p>
    <w:p>
      <w:pPr>
        <w:pStyle w:val="ListParagraph"/>
        <w:numPr>
          <w:ilvl w:val="0"/>
          <w:numId w:val="2"/>
        </w:numPr>
        <w:spacing w:after="60"/>
      </w:pPr>
      <w:r>
        <w:rPr>
          <w:rFonts w:ascii="Arial" w:cs="Arial" w:eastAsia="Arial" w:hAnsi="Arial"/>
          <w:sz w:val="20"/>
          <w:szCs w:val="20"/>
        </w:rPr>
        <w:t xml:space="preserve">Languages: official language(s) of each country of sale (CH: DE/FR/IT). </w:t>
      </w:r>
      <w:r>
        <w:rPr>
          <w:rFonts w:ascii="Arial" w:cs="Arial" w:eastAsia="Arial" w:hAnsi="Arial"/>
          <w:b/>
          <w:bCs/>
          <w:sz w:val="20"/>
          <w:szCs w:val="20"/>
        </w:rPr>
        <w:t xml:space="preserve">Paper format</w:t>
      </w:r>
      <w:r>
        <w:rPr>
          <w:rFonts w:ascii="Arial" w:cs="Arial" w:eastAsia="Arial" w:hAnsi="Arial"/>
          <w:sz w:val="20"/>
          <w:szCs w:val="20"/>
        </w:rPr>
        <w:t xml:space="preserve"> for the DIY channel. MR Art. 10(7): digital instructions permitted (downloadable, printable, access marked on the machine, online availability for the lifetime and ≥ 10 years); paper copy free of charge on request within one month; safety information on paper where non-professional use is foreseeable.</w:t>
      </w:r>
    </w:p>
    <w:p>
      <w:pPr>
        <w:pStyle w:val="ListParagraph"/>
        <w:numPr>
          <w:ilvl w:val="0"/>
          <w:numId w:val="2"/>
        </w:numPr>
        <w:spacing w:after="60"/>
      </w:pPr>
      <w:r>
        <w:rPr>
          <w:rFonts w:ascii="Arial" w:cs="Arial" w:eastAsia="Arial" w:hAnsi="Arial"/>
          <w:sz w:val="20"/>
          <w:szCs w:val="20"/>
        </w:rPr>
        <w:t xml:space="preserve">Layout per EN IEC/IEEE 82079-1 (assessment via assembly-instruction-assessment skill).</w:t>
      </w:r>
    </w:p>
    <w:p>
      <w:pPr>
        <w:pStyle w:val="Heading3"/>
        <w:spacing w:after="80" w:before="140"/>
      </w:pPr>
      <w:r>
        <w:rPr>
          <w:rFonts w:ascii="Arial" w:cs="Arial" w:eastAsia="Arial" w:hAnsi="Arial"/>
          <w:b/>
          <w:bCs/>
          <w:sz w:val="21"/>
          <w:szCs w:val="21"/>
        </w:rPr>
        <w:t xml:space="preserve">Gate 7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All Critical marking elements present; instructions approved in all languages.</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CONDITIONAL</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Minor label error correctable before carton sealing.</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NO-GO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CE/data plate/rated capacity/importer missing; wrong language; NB number without NB.</w:t>
            </w:r>
          </w:p>
        </w:tc>
      </w:tr>
    </w:tbl>
    <w:p>
      <w:pPr>
        <w:spacing w:after="80"/>
      </w:pPr>
    </w:p>
    <w:p>
      <w:pPr>
        <w:pStyle w:val="Heading1"/>
        <w:spacing w:after="160" w:before="240"/>
      </w:pPr>
      <w:r>
        <w:rPr>
          <w:rFonts w:ascii="Arial" w:cs="Arial" w:eastAsia="Arial" w:hAnsi="Arial"/>
          <w:b/>
          <w:bCs/>
          <w:color w:val="1F3864"/>
          <w:sz w:val="28"/>
          <w:szCs w:val="28"/>
        </w:rPr>
        <w:t xml:space="preserve">9. Link 8 — SRC Release Conditions</w:t>
      </w:r>
    </w:p>
    <w:p>
      <w:pPr>
        <w:pStyle w:val="ListParagraph"/>
        <w:numPr>
          <w:ilvl w:val="0"/>
          <w:numId w:val="2"/>
        </w:numPr>
        <w:spacing w:after="60"/>
      </w:pPr>
      <w:r>
        <w:rPr>
          <w:rFonts w:ascii="Arial" w:cs="Arial" w:eastAsia="Arial" w:hAnsi="Arial"/>
          <w:sz w:val="20"/>
          <w:szCs w:val="20"/>
        </w:rPr>
        <w:t xml:space="preserve">Links 1–3: MCG on file; pathway and module confirmed; legal act matches EU arrival date (MD ≤ 19/01/2027 / MR ≥ 20/01/2027).</w:t>
      </w:r>
    </w:p>
    <w:p>
      <w:pPr>
        <w:pStyle w:val="ListParagraph"/>
        <w:numPr>
          <w:ilvl w:val="0"/>
          <w:numId w:val="2"/>
        </w:numPr>
        <w:spacing w:after="60"/>
      </w:pPr>
      <w:r>
        <w:rPr>
          <w:rFonts w:ascii="Arial" w:cs="Arial" w:eastAsia="Arial" w:hAnsi="Arial"/>
          <w:sz w:val="20"/>
          <w:szCs w:val="20"/>
        </w:rPr>
        <w:t xml:space="preserve">Link 4: accredited test report valid and covering every variant on the P.O.; chemical report ≤ 2 years.</w:t>
      </w:r>
    </w:p>
    <w:p>
      <w:pPr>
        <w:pStyle w:val="ListParagraph"/>
        <w:numPr>
          <w:ilvl w:val="0"/>
          <w:numId w:val="2"/>
        </w:numPr>
        <w:spacing w:after="60"/>
      </w:pPr>
      <w:r>
        <w:rPr>
          <w:rFonts w:ascii="Arial" w:cs="Arial" w:eastAsia="Arial" w:hAnsi="Arial"/>
          <w:sz w:val="20"/>
          <w:szCs w:val="20"/>
        </w:rPr>
        <w:t xml:space="preserve">Link 5: FRI PASS — Cr 0 / Ma 2.5 / Mi 4.0; functional tests PASS; golden sample match; DPI PASS for first order; end-of-line load-test records sighted.</w:t>
      </w:r>
    </w:p>
    <w:p>
      <w:pPr>
        <w:pStyle w:val="ListParagraph"/>
        <w:numPr>
          <w:ilvl w:val="0"/>
          <w:numId w:val="2"/>
        </w:numPr>
        <w:spacing w:after="60"/>
      </w:pPr>
      <w:r>
        <w:rPr>
          <w:rFonts w:ascii="Arial" w:cs="Arial" w:eastAsia="Arial" w:hAnsi="Arial"/>
          <w:sz w:val="20"/>
          <w:szCs w:val="20"/>
        </w:rPr>
        <w:t xml:space="preserve">Link 6: signed DoC in required languages on file.</w:t>
      </w:r>
    </w:p>
    <w:p>
      <w:pPr>
        <w:pStyle w:val="ListParagraph"/>
        <w:numPr>
          <w:ilvl w:val="0"/>
          <w:numId w:val="2"/>
        </w:numPr>
        <w:spacing w:after="60"/>
      </w:pPr>
      <w:r>
        <w:rPr>
          <w:rFonts w:ascii="Arial" w:cs="Arial" w:eastAsia="Arial" w:hAnsi="Arial"/>
          <w:sz w:val="20"/>
          <w:szCs w:val="20"/>
        </w:rPr>
        <w:t xml:space="preserve">Link 7: marking and instructions verified at FRI.</w:t>
      </w:r>
    </w:p>
    <w:p>
      <w:pPr>
        <w:pStyle w:val="ListParagraph"/>
        <w:numPr>
          <w:ilvl w:val="0"/>
          <w:numId w:val="2"/>
        </w:numPr>
        <w:spacing w:after="60"/>
      </w:pPr>
      <w:r>
        <w:rPr>
          <w:rFonts w:ascii="Arial" w:cs="Arial" w:eastAsia="Arial" w:hAnsi="Arial"/>
          <w:sz w:val="20"/>
          <w:szCs w:val="20"/>
        </w:rPr>
        <w:t xml:space="preserve">PPWR: packaging weight and material per SKU recorded (Annex D); heavy-metal compliance; EPR registration of the producer for each destination country.</w:t>
      </w:r>
    </w:p>
    <w:p>
      <w:pPr>
        <w:pStyle w:val="ListParagraph"/>
        <w:numPr>
          <w:ilvl w:val="0"/>
          <w:numId w:val="2"/>
        </w:numPr>
        <w:spacing w:after="60"/>
      </w:pPr>
      <w:r>
        <w:rPr>
          <w:rFonts w:ascii="Arial" w:cs="Arial" w:eastAsia="Arial" w:hAnsi="Arial"/>
          <w:sz w:val="20"/>
          <w:szCs w:val="20"/>
        </w:rPr>
        <w:t xml:space="preserve">REACH: SVHC declaration for the shipment on file.</w:t>
      </w:r>
    </w:p>
    <w:p>
      <w:pPr>
        <w:pStyle w:val="ListParagraph"/>
        <w:numPr>
          <w:ilvl w:val="0"/>
          <w:numId w:val="2"/>
        </w:numPr>
        <w:spacing w:after="60"/>
      </w:pPr>
      <w:r>
        <w:rPr>
          <w:rFonts w:ascii="Arial" w:cs="Arial" w:eastAsia="Arial" w:hAnsi="Arial"/>
          <w:sz w:val="20"/>
          <w:szCs w:val="20"/>
        </w:rPr>
        <w:t xml:space="preserve">Wooden pallets: ISPM 15 HT mark verified.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Ally / market</w:t>
            </w:r>
          </w:p>
        </w:tc>
        <w:tc>
          <w:tcPr>
            <w:tcW w:type="dxa" w:w="732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Additional release condition</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HAGEBAU (DE)</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German instructions/DoC. GS lots: GS certificate valid, covering model, Ally brand/trade name and producing factory; last surveillance inspection within 12 months; GS mark artwork as approved by the GS body (Section 10.7); importer GS verification record per ProdSG § 24.</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ITM (FR)</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French instructions; Triman/Info-tri; mineral-oil-free packaging inks declaration.</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DEDEMAN (RO)</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Romanian instructions/DoC.</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JUMBO/Coop (CH)</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DE/FR/IT instructions; Swiss distributor identification.</w:t>
            </w:r>
          </w:p>
        </w:tc>
      </w:tr>
      <w:tr>
        <w:trPr>
          <w:tblHeader w:val="false"/>
        </w:trPr>
        <w:tc>
          <w:tcPr>
            <w:tcW w:type="dxa" w:w="2313"/>
            <w:tcMar>
              <w:top w:type="dxa" w:w="50"/>
              <w:left w:type="dxa" w:w="80"/>
              <w:bottom w:type="dxa" w:w="50"/>
              <w:right w:type="dxa" w:w="80"/>
            </w:tcMar>
            <w:vAlign w:val="top"/>
          </w:tcPr>
          <w:p>
            <w:pPr>
              <w:spacing w:after="30"/>
            </w:pPr>
            <w:r>
              <w:rPr>
                <w:rFonts w:ascii="Arial" w:cs="Arial" w:eastAsia="Arial" w:hAnsi="Arial"/>
                <w:sz w:val="17"/>
                <w:szCs w:val="17"/>
              </w:rPr>
              <w:t xml:space="preserve">BCM</w:t>
            </w:r>
          </w:p>
        </w:tc>
        <w:tc>
          <w:tcPr>
            <w:tcW w:type="dxa" w:w="7325"/>
            <w:tcMar>
              <w:top w:type="dxa" w:w="50"/>
              <w:left w:type="dxa" w:w="80"/>
              <w:bottom w:type="dxa" w:w="50"/>
              <w:right w:type="dxa" w:w="80"/>
            </w:tcMar>
            <w:vAlign w:val="top"/>
          </w:tcPr>
          <w:p>
            <w:pPr>
              <w:spacing w:after="30"/>
            </w:pPr>
            <w:r>
              <w:rPr>
                <w:rFonts w:ascii="Arial" w:cs="Arial" w:eastAsia="Arial" w:hAnsi="Arial"/>
                <w:sz w:val="17"/>
                <w:szCs w:val="17"/>
              </w:rPr>
              <w:t xml:space="preserve">Destination languages and EPR — [confirm].</w:t>
            </w:r>
          </w:p>
        </w:tc>
      </w:tr>
    </w:tbl>
    <w:p>
      <w:pPr>
        <w:spacing w:after="80"/>
      </w:pPr>
    </w:p>
    <w:p>
      <w:pPr>
        <w:spacing w:after="120"/>
      </w:pPr>
      <w:r>
        <w:rPr>
          <w:rFonts w:ascii="Arial" w:cs="Arial" w:eastAsia="Arial" w:hAnsi="Arial"/>
          <w:b/>
          <w:bCs/>
          <w:sz w:val="20"/>
          <w:szCs w:val="20"/>
        </w:rPr>
        <w:t xml:space="preserve">SRC decision:</w:t>
      </w:r>
      <w:r>
        <w:rPr>
          <w:rFonts w:ascii="Arial" w:cs="Arial" w:eastAsia="Arial" w:hAnsi="Arial"/>
          <w:sz w:val="20"/>
          <w:szCs w:val="20"/>
        </w:rPr>
        <w:t xml:space="preserve"> RELEASED (all gates PASS) · RELEASED WITH CONDITIONS (minor items closed before vessel departure) · HOLD (any critical gate FAIL; escalate to QS Manager and notify Ally if sailing window impacted). Signed by QS; QC countersignature on FRI input.</w:t>
      </w:r>
    </w:p>
    <w:p>
      <w:pPr>
        <w:pStyle w:val="Heading1"/>
        <w:spacing w:after="160" w:before="240"/>
      </w:pPr>
      <w:r>
        <w:rPr>
          <w:rFonts w:ascii="Arial" w:cs="Arial" w:eastAsia="Arial" w:hAnsi="Arial"/>
          <w:b/>
          <w:bCs/>
          <w:color w:val="1F3864"/>
          <w:sz w:val="28"/>
          <w:szCs w:val="28"/>
        </w:rPr>
        <w:t xml:space="preserve">10. GS Mark Certification Process (TÜV / ZLS-recognised GS body)</w:t>
      </w:r>
    </w:p>
    <w:p>
      <w:pPr>
        <w:pStyle w:val="Heading2"/>
        <w:spacing w:after="120" w:before="200"/>
      </w:pPr>
      <w:r>
        <w:rPr>
          <w:rFonts w:ascii="Arial" w:cs="Arial" w:eastAsia="Arial" w:hAnsi="Arial"/>
          <w:b/>
          <w:bCs/>
          <w:color w:val="1F3864"/>
          <w:sz w:val="24"/>
          <w:szCs w:val="24"/>
        </w:rPr>
        <w:t xml:space="preserve">10.1 Legal basis and eligibility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Mark</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GS — “Geprüfte Sicherheit” (tested safety). Voluntary German mark; does </w:t>
            </w:r>
            <w:r>
              <w:rPr>
                <w:rFonts w:ascii="Arial" w:cs="Arial" w:eastAsia="Arial" w:hAnsi="Arial"/>
                <w:b/>
                <w:bCs/>
                <w:sz w:val="17"/>
                <w:szCs w:val="17"/>
              </w:rPr>
              <w:t xml:space="preserve">not</w:t>
            </w:r>
            <w:r>
              <w:rPr>
                <w:rFonts w:ascii="Arial" w:cs="Arial" w:eastAsia="Arial" w:hAnsi="Arial"/>
                <w:sz w:val="17"/>
                <w:szCs w:val="17"/>
              </w:rPr>
              <w:t xml:space="preserve"> replace CE marking, DoC or technical file.</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Legal basis</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Product Safety Act (ProdSG, in force 16/07/2021): </w:t>
            </w:r>
            <w:r>
              <w:rPr>
                <w:rFonts w:ascii="Arial" w:cs="Arial" w:eastAsia="Arial" w:hAnsi="Arial"/>
                <w:b/>
                <w:bCs/>
                <w:sz w:val="17"/>
                <w:szCs w:val="17"/>
              </w:rPr>
              <w:t xml:space="preserve">§ 20</w:t>
            </w:r>
            <w:r>
              <w:rPr>
                <w:rFonts w:ascii="Arial" w:cs="Arial" w:eastAsia="Arial" w:hAnsi="Arial"/>
                <w:sz w:val="17"/>
                <w:szCs w:val="17"/>
              </w:rPr>
              <w:t xml:space="preserve"> award of the GS mark (validity ≤ 5 years or limited to a production lot); </w:t>
            </w:r>
            <w:r>
              <w:rPr>
                <w:rFonts w:ascii="Arial" w:cs="Arial" w:eastAsia="Arial" w:hAnsi="Arial"/>
                <w:b/>
                <w:bCs/>
                <w:sz w:val="17"/>
                <w:szCs w:val="17"/>
              </w:rPr>
              <w:t xml:space="preserve">§ 21</w:t>
            </w:r>
            <w:r>
              <w:rPr>
                <w:rFonts w:ascii="Arial" w:cs="Arial" w:eastAsia="Arial" w:hAnsi="Arial"/>
                <w:sz w:val="17"/>
                <w:szCs w:val="17"/>
              </w:rPr>
              <w:t xml:space="preserve"> GS body duties (type test against § 3/§ 6 and AfPS specifications; production controls); </w:t>
            </w:r>
            <w:r>
              <w:rPr>
                <w:rFonts w:ascii="Arial" w:cs="Arial" w:eastAsia="Arial" w:hAnsi="Arial"/>
                <w:b/>
                <w:bCs/>
                <w:sz w:val="17"/>
                <w:szCs w:val="17"/>
              </w:rPr>
              <w:t xml:space="preserve">§ 22</w:t>
            </w:r>
            <w:r>
              <w:rPr>
                <w:rFonts w:ascii="Arial" w:cs="Arial" w:eastAsia="Arial" w:hAnsi="Arial"/>
                <w:sz w:val="17"/>
                <w:szCs w:val="17"/>
              </w:rPr>
              <w:t xml:space="preserve"> further GS body duties (public certificate list, action on misuse, suspension/withdrawal); </w:t>
            </w:r>
            <w:r>
              <w:rPr>
                <w:rFonts w:ascii="Arial" w:cs="Arial" w:eastAsia="Arial" w:hAnsi="Arial"/>
                <w:b/>
                <w:bCs/>
                <w:sz w:val="17"/>
                <w:szCs w:val="17"/>
              </w:rPr>
              <w:t xml:space="preserve">§ 24</w:t>
            </w:r>
            <w:r>
              <w:rPr>
                <w:rFonts w:ascii="Arial" w:cs="Arial" w:eastAsia="Arial" w:hAnsi="Arial"/>
                <w:sz w:val="17"/>
                <w:szCs w:val="17"/>
              </w:rPr>
              <w:t xml:space="preserve"> obligations of manufacturer and importer; GS symbol per the Annex (Anlage) to ProdSG.</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GS body</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Only a GS body recognised by the ZLS (Zentralstelle der Länder für Sicherheitstechnik) and accredited by DAkkS, listed by BAuA — e.g. TÜV SÜD, TÜV Rheinland, TÜV NORD, DEKRA, Intertek. Verify the body’s ZLS scope covers industrial trucks / machinery.</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Eligibility</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Ready-to-use and suitable product (“verwendungsfertig”) — manual pallet truck qualifies. § 20(2): GS not awarded where the CE legislation already provides at least equivalent requirements via third-party conformity assessment; the truck is Module A (no third party), therefore eligible (confirm with GS body).</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Who holds the certificate</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Manufacturer (or EU authorised representative). Ally brand / trade name and Ally model references must be listed on the certificate (trade-name extension).</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Importer duty (§ 24)</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Before placing a GS-marked product on the German market, the importer (Ally or A.R.E.N.A. entity acting as importer) must verify that a valid GS certificate exists and </w:t>
            </w:r>
            <w:r>
              <w:rPr>
                <w:rFonts w:ascii="Arial" w:cs="Arial" w:eastAsia="Arial" w:hAnsi="Arial"/>
                <w:b/>
                <w:bCs/>
                <w:sz w:val="17"/>
                <w:szCs w:val="17"/>
              </w:rPr>
              <w:t xml:space="preserve">document</w:t>
            </w:r>
            <w:r>
              <w:rPr>
                <w:rFonts w:ascii="Arial" w:cs="Arial" w:eastAsia="Arial" w:hAnsi="Arial"/>
                <w:sz w:val="17"/>
                <w:szCs w:val="17"/>
              </w:rPr>
              <w:t xml:space="preserve"> the check (date, GS body, certificate number).</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Trigger at A.R.E.N.A.</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Ally order specifying GS (typically HAGEBAU, DE/AT). GS cost and lead time to be quoted at RFQ stage.</w:t>
            </w:r>
          </w:p>
        </w:tc>
      </w:tr>
    </w:tbl>
    <w:p>
      <w:pPr>
        <w:spacing w:after="80"/>
      </w:pPr>
    </w:p>
    <w:p>
      <w:pPr>
        <w:pStyle w:val="Heading2"/>
        <w:spacing w:after="120" w:before="200"/>
      </w:pPr>
      <w:r>
        <w:rPr>
          <w:rFonts w:ascii="Arial" w:cs="Arial" w:eastAsia="Arial" w:hAnsi="Arial"/>
          <w:b/>
          <w:bCs/>
          <w:color w:val="1F3864"/>
          <w:sz w:val="24"/>
          <w:szCs w:val="24"/>
        </w:rPr>
        <w:t xml:space="preserve">10.2 Test basis (GS specifications)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6169"/>
      </w:tblGrid>
      <w:tr>
        <w:trPr>
          <w:tblHeader/>
        </w:trPr>
        <w:tc>
          <w:tcPr>
            <w:tcW w:type="dxa" w:w="346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Specification</w:t>
            </w:r>
          </w:p>
        </w:tc>
        <w:tc>
          <w:tcPr>
            <w:tcW w:type="dxa" w:w="616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Scope for the pallet truck</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EN ISO 3691-5:2015+AC:2016+A1:2020; EN 16307-5:2023</w:t>
            </w:r>
          </w:p>
        </w:tc>
        <w:tc>
          <w:tcPr>
            <w:tcW w:type="dxa" w:w="6169"/>
            <w:tcMar>
              <w:top w:type="dxa" w:w="50"/>
              <w:left w:type="dxa" w:w="80"/>
              <w:bottom w:type="dxa" w:w="50"/>
              <w:right w:type="dxa" w:w="80"/>
            </w:tcMar>
            <w:vAlign w:val="top"/>
          </w:tcPr>
          <w:p>
            <w:pPr>
              <w:spacing w:after="30"/>
            </w:pPr>
            <w:r>
              <w:rPr>
                <w:rFonts w:ascii="Arial" w:cs="Arial" w:eastAsia="Arial" w:hAnsi="Arial"/>
                <w:sz w:val="17"/>
                <w:szCs w:val="17"/>
              </w:rPr>
              <w:t xml:space="preserve">Full safety test programme — same as Link 4 items 1–11.</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EN ISO 12100:2010</w:t>
            </w:r>
          </w:p>
        </w:tc>
        <w:tc>
          <w:tcPr>
            <w:tcW w:type="dxa" w:w="6169"/>
            <w:tcMar>
              <w:top w:type="dxa" w:w="50"/>
              <w:left w:type="dxa" w:w="80"/>
              <w:bottom w:type="dxa" w:w="50"/>
              <w:right w:type="dxa" w:w="80"/>
            </w:tcMar>
            <w:vAlign w:val="top"/>
          </w:tcPr>
          <w:p>
            <w:pPr>
              <w:spacing w:after="30"/>
            </w:pPr>
            <w:r>
              <w:rPr>
                <w:rFonts w:ascii="Arial" w:cs="Arial" w:eastAsia="Arial" w:hAnsi="Arial"/>
                <w:sz w:val="17"/>
                <w:szCs w:val="17"/>
              </w:rPr>
              <w:t xml:space="preserve">Risk assessment review by GS body.</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AfPS GS 2019:01 PAK (current; mandatory for new GS certificates since 01/07/2020)</w:t>
            </w:r>
          </w:p>
        </w:tc>
        <w:tc>
          <w:tcPr>
            <w:tcW w:type="dxa" w:w="6169"/>
            <w:tcMar>
              <w:top w:type="dxa" w:w="50"/>
              <w:left w:type="dxa" w:w="80"/>
              <w:bottom w:type="dxa" w:w="50"/>
              <w:right w:type="dxa" w:w="80"/>
            </w:tcMar>
            <w:vAlign w:val="top"/>
          </w:tcPr>
          <w:p>
            <w:pPr>
              <w:spacing w:after="30"/>
            </w:pPr>
            <w:r>
              <w:rPr>
                <w:rFonts w:ascii="Arial" w:cs="Arial" w:eastAsia="Arial" w:hAnsi="Arial"/>
                <w:sz w:val="17"/>
                <w:szCs w:val="17"/>
              </w:rPr>
              <w:t xml:space="preserve">Tiller grip = category 2 (skin contact &gt; 30 s or repeated): benzo[a]pyrene &lt; 0.5 mg/kg, Σ15 PAH &lt; 10 mg/kg. Wheels, covers = category 3: benzo[a]pyrene &lt; 1 mg/kg, Σ15 PAH &lt; 50 mg/kg. Individual PAH limits per AfPS table; category assignment confirmed by GS body.</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ProdSG § 3 / instructions</w:t>
            </w:r>
          </w:p>
        </w:tc>
        <w:tc>
          <w:tcPr>
            <w:tcW w:type="dxa" w:w="6169"/>
            <w:tcMar>
              <w:top w:type="dxa" w:w="50"/>
              <w:left w:type="dxa" w:w="80"/>
              <w:bottom w:type="dxa" w:w="50"/>
              <w:right w:type="dxa" w:w="80"/>
            </w:tcMar>
            <w:vAlign w:val="top"/>
          </w:tcPr>
          <w:p>
            <w:pPr>
              <w:spacing w:after="30"/>
            </w:pPr>
            <w:r>
              <w:rPr>
                <w:rFonts w:ascii="Arial" w:cs="Arial" w:eastAsia="Arial" w:hAnsi="Arial"/>
                <w:sz w:val="17"/>
                <w:szCs w:val="17"/>
              </w:rPr>
              <w:t xml:space="preserve">German instructions and warnings checked for completeness and comprehensibility.</w:t>
            </w:r>
          </w:p>
        </w:tc>
      </w:tr>
      <w:tr>
        <w:trPr>
          <w:tblHeader w:val="false"/>
        </w:trPr>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GS body supplementary requirements</w:t>
            </w:r>
          </w:p>
        </w:tc>
        <w:tc>
          <w:tcPr>
            <w:tcW w:type="dxa" w:w="6169"/>
            <w:tcMar>
              <w:top w:type="dxa" w:w="50"/>
              <w:left w:type="dxa" w:w="80"/>
              <w:bottom w:type="dxa" w:w="50"/>
              <w:right w:type="dxa" w:w="80"/>
            </w:tcMar>
            <w:vAlign w:val="top"/>
          </w:tcPr>
          <w:p>
            <w:pPr>
              <w:spacing w:after="30"/>
            </w:pPr>
            <w:r>
              <w:rPr>
                <w:rFonts w:ascii="Arial" w:cs="Arial" w:eastAsia="Arial" w:hAnsi="Arial"/>
                <w:sz w:val="17"/>
                <w:szCs w:val="17"/>
              </w:rPr>
              <w:t xml:space="preserve">Body-specific test programme (e.g. durability, marking durability) — obtain written test scope with the quotation.</w:t>
            </w:r>
          </w:p>
        </w:tc>
      </w:tr>
    </w:tbl>
    <w:p>
      <w:pPr>
        <w:spacing w:after="80"/>
      </w:pPr>
    </w:p>
    <w:p>
      <w:pPr>
        <w:pStyle w:val="Heading2"/>
        <w:spacing w:after="120" w:before="200"/>
      </w:pPr>
      <w:r>
        <w:rPr>
          <w:rFonts w:ascii="Arial" w:cs="Arial" w:eastAsia="Arial" w:hAnsi="Arial"/>
          <w:b/>
          <w:bCs/>
          <w:color w:val="1F3864"/>
          <w:sz w:val="24"/>
          <w:szCs w:val="24"/>
        </w:rPr>
        <w:t xml:space="preserve">10.3 Step-by-step obtaining process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3855"/>
        <w:gridCol w:w="1542"/>
        <w:gridCol w:w="2120"/>
        <w:gridCol w:w="1543"/>
      </w:tblGrid>
      <w:tr>
        <w:trPr>
          <w:tblHeader/>
        </w:trPr>
        <w:tc>
          <w:tcPr>
            <w:tcW w:type="dxa" w:w="57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Step</w:t>
            </w:r>
          </w:p>
        </w:tc>
        <w:tc>
          <w:tcPr>
            <w:tcW w:type="dxa" w:w="385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Activity</w:t>
            </w:r>
          </w:p>
        </w:tc>
        <w:tc>
          <w:tcPr>
            <w:tcW w:type="dxa" w:w="154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Responsible</w:t>
            </w:r>
          </w:p>
        </w:tc>
        <w:tc>
          <w:tcPr>
            <w:tcW w:type="dxa" w:w="2120"/>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Output / gate</w:t>
            </w:r>
          </w:p>
        </w:tc>
        <w:tc>
          <w:tcPr>
            <w:tcW w:type="dxa" w:w="154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Indicative lead time</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Confirm Ally GS requirement; define models, capacities, brand names to be covered</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Merchandiser + QS</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GS scope sheet</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RFQ stage</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Select ZLS-recognised GS body; request quotation (testing, factory inspection, annual fee); confirm test scope</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Quotation + written test programme</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1 week</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Application signed by manufacturer (certificate holder); trade-name listing for Ally brand</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Supplier</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Application form accepted</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Technical documentation submitted (see 10.4); pre-review by GS body</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Supplier + QS</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Document review report; gaps closed</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1–2 weeks</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Samples shipped (production-representative, quantity per GS body, typically 2–3 units + spare grips/wheels)</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Supplier</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Sample receipt confirmation</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1 week</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Type testing at GS body lab; on failure → CAPA, modified samples, re-test</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GS body; QS follows up</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GS test report — PASS</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3–5 weeks</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Initial factory inspection (Fertigungsstätteninspektion) — mandatory before award: production capability, incoming control, end-of-line load test, critical components, traceability</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GS body; QS attends</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Factory inspection report — PASS</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1–3 weeks (scheduling)</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GS certificate issued (model, brand, factory, standards, validity ≤ 5 years)</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GS body</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GS certificate</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1 week</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9</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GS mark artwork (rating plate / label / packaging) submitted for GS body approval; mark used only after certificate issue</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Supplier + QS</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Approved artwork</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1 week</w:t>
            </w:r>
          </w:p>
        </w:tc>
      </w:tr>
      <w:tr>
        <w:trPr>
          <w:tblHeader w:val="false"/>
        </w:trPr>
        <w:tc>
          <w:tcPr>
            <w:tcW w:type="dxa" w:w="578"/>
            <w:tcMar>
              <w:top w:type="dxa" w:w="50"/>
              <w:left w:type="dxa" w:w="80"/>
              <w:bottom w:type="dxa" w:w="50"/>
              <w:right w:type="dxa" w:w="80"/>
            </w:tcMar>
            <w:vAlign w:val="top"/>
          </w:tcPr>
          <w:p>
            <w:pPr>
              <w:spacing w:after="30"/>
            </w:pPr>
            <w:r>
              <w:rPr>
                <w:rFonts w:ascii="Arial" w:cs="Arial" w:eastAsia="Arial" w:hAnsi="Arial"/>
                <w:sz w:val="17"/>
                <w:szCs w:val="17"/>
              </w:rPr>
              <w:t xml:space="preserve">10</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Certificate details uploaded to QC pack; Ally informed; certificate verified in GS body online database</w:t>
            </w:r>
          </w:p>
        </w:tc>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Link 8 SRC input</w:t>
            </w:r>
          </w:p>
        </w:tc>
        <w:tc>
          <w:tcPr>
            <w:tcW w:type="dxa" w:w="1543"/>
            <w:tcMar>
              <w:top w:type="dxa" w:w="50"/>
              <w:left w:type="dxa" w:w="80"/>
              <w:bottom w:type="dxa" w:w="50"/>
              <w:right w:type="dxa" w:w="80"/>
            </w:tcMar>
            <w:vAlign w:val="top"/>
          </w:tcPr>
          <w:p>
            <w:pPr>
              <w:spacing w:after="30"/>
            </w:pPr>
            <w:r>
              <w:rPr>
                <w:rFonts w:ascii="Arial" w:cs="Arial" w:eastAsia="Arial" w:hAnsi="Arial"/>
                <w:sz w:val="17"/>
                <w:szCs w:val="17"/>
              </w:rPr>
              <w:t xml:space="preserve">—</w:t>
            </w:r>
          </w:p>
        </w:tc>
      </w:tr>
    </w:tbl>
    <w:p>
      <w:pPr>
        <w:spacing w:after="80"/>
      </w:pPr>
    </w:p>
    <w:p>
      <w:pPr>
        <w:spacing w:after="120"/>
      </w:pPr>
      <w:r>
        <w:rPr>
          <w:rFonts w:ascii="Arial" w:cs="Arial" w:eastAsia="Arial" w:hAnsi="Arial"/>
          <w:i/>
          <w:iCs/>
          <w:sz w:val="18"/>
          <w:szCs w:val="18"/>
        </w:rPr>
        <w:t xml:space="preserve">Indicative total: 6–10 weeks from complete documentation to certificate. Plan GS completion before the DPI of the first GS order.</w:t>
      </w:r>
    </w:p>
    <w:p>
      <w:r>
        <w:br w:type="page"/>
      </w:r>
    </w:p>
    <w:p>
      <w:pPr>
        <w:pStyle w:val="Heading3"/>
        <w:spacing w:after="80" w:before="140"/>
      </w:pPr>
      <w:r>
        <w:rPr>
          <w:rFonts w:ascii="Arial" w:cs="Arial" w:eastAsia="Arial" w:hAnsi="Arial"/>
          <w:b/>
          <w:bCs/>
          <w:sz w:val="21"/>
          <w:szCs w:val="21"/>
        </w:rPr>
        <w:t xml:space="preserve">10.3.1 GS process flowchart</w:t>
      </w:r>
    </w:p>
    <w:p>
      <w:pPr>
        <w:spacing w:after="60"/>
        <w:jc w:val="center"/>
      </w:pPr>
      <w:r>
        <w:drawing>
          <wp:inline distT="0" distB="0" distL="0" distR="0">
            <wp:extent cx="5334000" cy="842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8429625"/>
                    </a:xfrm>
                    <a:prstGeom prst="rect">
                      <a:avLst/>
                    </a:prstGeom>
                  </pic:spPr>
                </pic:pic>
              </a:graphicData>
            </a:graphic>
          </wp:inline>
        </w:drawing>
      </w:r>
    </w:p>
    <w:p>
      <w:pPr>
        <w:spacing w:after="160"/>
        <w:jc w:val="center"/>
      </w:pPr>
      <w:r>
        <w:rPr>
          <w:rFonts w:ascii="Arial" w:cs="Arial" w:eastAsia="Arial" w:hAnsi="Arial"/>
          <w:i/>
          <w:iCs/>
          <w:color w:val="595959"/>
          <w:sz w:val="16"/>
          <w:szCs w:val="16"/>
        </w:rPr>
        <w:t xml:space="preserve">Figure 3 — GS mark obtaining process: test and factory gates, CAPA loops and change management.</w:t>
      </w:r>
    </w:p>
    <w:p>
      <w:pPr>
        <w:pStyle w:val="Heading2"/>
        <w:spacing w:after="120" w:before="200"/>
      </w:pPr>
      <w:r>
        <w:rPr>
          <w:rFonts w:ascii="Arial" w:cs="Arial" w:eastAsia="Arial" w:hAnsi="Arial"/>
          <w:b/>
          <w:bCs/>
          <w:color w:val="1F3864"/>
          <w:sz w:val="24"/>
          <w:szCs w:val="24"/>
        </w:rPr>
        <w:t xml:space="preserve">10.4 Documentation package for the GS body</w:t>
      </w:r>
    </w:p>
    <w:p>
      <w:pPr>
        <w:pStyle w:val="ListParagraph"/>
        <w:numPr>
          <w:ilvl w:val="0"/>
          <w:numId w:val="2"/>
        </w:numPr>
        <w:spacing w:after="60"/>
      </w:pPr>
      <w:r>
        <w:rPr>
          <w:rFonts w:ascii="Arial" w:cs="Arial" w:eastAsia="Arial" w:hAnsi="Arial"/>
          <w:sz w:val="20"/>
          <w:szCs w:val="20"/>
        </w:rPr>
        <w:t xml:space="preserve">Application form, company registration of manufacturer and factory address(es).</w:t>
      </w:r>
    </w:p>
    <w:p>
      <w:pPr>
        <w:pStyle w:val="ListParagraph"/>
        <w:numPr>
          <w:ilvl w:val="0"/>
          <w:numId w:val="2"/>
        </w:numPr>
        <w:spacing w:after="60"/>
      </w:pPr>
      <w:r>
        <w:rPr>
          <w:rFonts w:ascii="Arial" w:cs="Arial" w:eastAsia="Arial" w:hAnsi="Arial"/>
          <w:sz w:val="20"/>
          <w:szCs w:val="20"/>
        </w:rPr>
        <w:t xml:space="preserve">Product description, model list, variant matrix (capacity, fork length/width, colour, brand).</w:t>
      </w:r>
    </w:p>
    <w:p>
      <w:pPr>
        <w:pStyle w:val="ListParagraph"/>
        <w:numPr>
          <w:ilvl w:val="0"/>
          <w:numId w:val="2"/>
        </w:numPr>
        <w:spacing w:after="60"/>
      </w:pPr>
      <w:r>
        <w:rPr>
          <w:rFonts w:ascii="Arial" w:cs="Arial" w:eastAsia="Arial" w:hAnsi="Arial"/>
          <w:sz w:val="20"/>
          <w:szCs w:val="20"/>
        </w:rPr>
        <w:t xml:space="preserve">General assembly and detailed drawings; hydraulic schematic; strength and stability calculations.</w:t>
      </w:r>
    </w:p>
    <w:p>
      <w:pPr>
        <w:pStyle w:val="ListParagraph"/>
        <w:numPr>
          <w:ilvl w:val="0"/>
          <w:numId w:val="2"/>
        </w:numPr>
        <w:spacing w:after="60"/>
      </w:pPr>
      <w:r>
        <w:rPr>
          <w:rFonts w:ascii="Arial" w:cs="Arial" w:eastAsia="Arial" w:hAnsi="Arial"/>
          <w:b/>
          <w:bCs/>
          <w:sz w:val="20"/>
          <w:szCs w:val="20"/>
        </w:rPr>
        <w:t xml:space="preserve">Critical components list</w:t>
      </w:r>
      <w:r>
        <w:rPr>
          <w:rFonts w:ascii="Arial" w:cs="Arial" w:eastAsia="Arial" w:hAnsi="Arial"/>
          <w:sz w:val="20"/>
          <w:szCs w:val="20"/>
        </w:rPr>
        <w:t xml:space="preserve"> with sub-suppliers: pump unit, seals, overload valve, fork/frame steel, wheels and rollers, tiller grip material, chain/pins, coating.</w:t>
      </w:r>
    </w:p>
    <w:p>
      <w:pPr>
        <w:pStyle w:val="ListParagraph"/>
        <w:numPr>
          <w:ilvl w:val="0"/>
          <w:numId w:val="2"/>
        </w:numPr>
        <w:spacing w:after="60"/>
      </w:pPr>
      <w:r>
        <w:rPr>
          <w:rFonts w:ascii="Arial" w:cs="Arial" w:eastAsia="Arial" w:hAnsi="Arial"/>
          <w:sz w:val="20"/>
          <w:szCs w:val="20"/>
        </w:rPr>
        <w:t xml:space="preserve">Risk assessment (EN ISO 12100) and existing test reports (CE test report, PAH report) for recognition where accepted.</w:t>
      </w:r>
    </w:p>
    <w:p>
      <w:pPr>
        <w:pStyle w:val="ListParagraph"/>
        <w:numPr>
          <w:ilvl w:val="0"/>
          <w:numId w:val="2"/>
        </w:numPr>
        <w:spacing w:after="60"/>
      </w:pPr>
      <w:r>
        <w:rPr>
          <w:rFonts w:ascii="Arial" w:cs="Arial" w:eastAsia="Arial" w:hAnsi="Arial"/>
          <w:sz w:val="20"/>
          <w:szCs w:val="20"/>
        </w:rPr>
        <w:t xml:space="preserve">German instructions for use, rating plate and warning label artwork; draft DoC.</w:t>
      </w:r>
    </w:p>
    <w:p>
      <w:pPr>
        <w:pStyle w:val="ListParagraph"/>
        <w:numPr>
          <w:ilvl w:val="0"/>
          <w:numId w:val="2"/>
        </w:numPr>
        <w:spacing w:after="60"/>
      </w:pPr>
      <w:r>
        <w:rPr>
          <w:rFonts w:ascii="Arial" w:cs="Arial" w:eastAsia="Arial" w:hAnsi="Arial"/>
          <w:sz w:val="20"/>
          <w:szCs w:val="20"/>
        </w:rPr>
        <w:t xml:space="preserve">Factory QMS documents: ISO 9001 certificate, FPC plan, end-of-line test procedure, calibration list.</w:t>
      </w:r>
    </w:p>
    <w:p>
      <w:pPr>
        <w:pStyle w:val="Heading2"/>
        <w:spacing w:after="120" w:before="200"/>
      </w:pPr>
      <w:r>
        <w:rPr>
          <w:rFonts w:ascii="Arial" w:cs="Arial" w:eastAsia="Arial" w:hAnsi="Arial"/>
          <w:b/>
          <w:bCs/>
          <w:color w:val="1F3864"/>
          <w:sz w:val="24"/>
          <w:szCs w:val="24"/>
        </w:rPr>
        <w:t xml:space="preserve">10.5 Surveillance and certificate maintenance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5011"/>
        <w:gridCol w:w="1929"/>
      </w:tblGrid>
      <w:tr>
        <w:trPr>
          <w:tblHeader/>
        </w:trPr>
        <w:tc>
          <w:tcPr>
            <w:tcW w:type="dxa" w:w="269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Obligation</w:t>
            </w:r>
          </w:p>
        </w:tc>
        <w:tc>
          <w:tcPr>
            <w:tcW w:type="dxa" w:w="501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Requirement</w:t>
            </w:r>
          </w:p>
        </w:tc>
        <w:tc>
          <w:tcPr>
            <w:tcW w:type="dxa" w:w="192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Frequency</w:t>
            </w:r>
          </w:p>
        </w:tc>
      </w:tr>
      <w:tr>
        <w:trPr>
          <w:tblHeader w:val="false"/>
        </w:trPr>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Factory surveillance inspection</w:t>
            </w:r>
          </w:p>
        </w:tc>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GS body inspects the producing factory; checks conformity to tested type and critical components list</w:t>
            </w:r>
          </w:p>
        </w:tc>
        <w:tc>
          <w:tcPr>
            <w:tcW w:type="dxa" w:w="1929"/>
            <w:tcMar>
              <w:top w:type="dxa" w:w="50"/>
              <w:left w:type="dxa" w:w="80"/>
              <w:bottom w:type="dxa" w:w="50"/>
              <w:right w:type="dxa" w:w="80"/>
            </w:tcMar>
            <w:vAlign w:val="top"/>
          </w:tcPr>
          <w:p>
            <w:pPr>
              <w:spacing w:after="30"/>
            </w:pPr>
            <w:r>
              <w:rPr>
                <w:rFonts w:ascii="Arial" w:cs="Arial" w:eastAsia="Arial" w:hAnsi="Arial"/>
                <w:sz w:val="17"/>
                <w:szCs w:val="17"/>
              </w:rPr>
              <w:t xml:space="preserve">At least annually</w:t>
            </w:r>
          </w:p>
        </w:tc>
      </w:tr>
      <w:tr>
        <w:trPr>
          <w:tblHeader w:val="false"/>
        </w:trPr>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Follow-up / market samples</w:t>
            </w:r>
          </w:p>
        </w:tc>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Product re-tests at the GS body’s discretion</w:t>
            </w:r>
          </w:p>
        </w:tc>
        <w:tc>
          <w:tcPr>
            <w:tcW w:type="dxa" w:w="1929"/>
            <w:tcMar>
              <w:top w:type="dxa" w:w="50"/>
              <w:left w:type="dxa" w:w="80"/>
              <w:bottom w:type="dxa" w:w="50"/>
              <w:right w:type="dxa" w:w="80"/>
            </w:tcMar>
            <w:vAlign w:val="top"/>
          </w:tcPr>
          <w:p>
            <w:pPr>
              <w:spacing w:after="30"/>
            </w:pPr>
            <w:r>
              <w:rPr>
                <w:rFonts w:ascii="Arial" w:cs="Arial" w:eastAsia="Arial" w:hAnsi="Arial"/>
                <w:sz w:val="17"/>
                <w:szCs w:val="17"/>
              </w:rPr>
              <w:t xml:space="preserve">As decided by GS body</w:t>
            </w:r>
          </w:p>
        </w:tc>
      </w:tr>
      <w:tr>
        <w:trPr>
          <w:tblHeader w:val="false"/>
        </w:trPr>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Annual fee / licence</w:t>
            </w:r>
          </w:p>
        </w:tc>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Maintains certificate validity</w:t>
            </w:r>
          </w:p>
        </w:tc>
        <w:tc>
          <w:tcPr>
            <w:tcW w:type="dxa" w:w="1929"/>
            <w:tcMar>
              <w:top w:type="dxa" w:w="50"/>
              <w:left w:type="dxa" w:w="80"/>
              <w:bottom w:type="dxa" w:w="50"/>
              <w:right w:type="dxa" w:w="80"/>
            </w:tcMar>
            <w:vAlign w:val="top"/>
          </w:tcPr>
          <w:p>
            <w:pPr>
              <w:spacing w:after="30"/>
            </w:pPr>
            <w:r>
              <w:rPr>
                <w:rFonts w:ascii="Arial" w:cs="Arial" w:eastAsia="Arial" w:hAnsi="Arial"/>
                <w:sz w:val="17"/>
                <w:szCs w:val="17"/>
              </w:rPr>
              <w:t xml:space="preserve">Annual</w:t>
            </w:r>
          </w:p>
        </w:tc>
      </w:tr>
      <w:tr>
        <w:trPr>
          <w:tblHeader w:val="false"/>
        </w:trPr>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Renewal</w:t>
            </w:r>
          </w:p>
        </w:tc>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Re-assessment against current specifications before expiry</w:t>
            </w:r>
          </w:p>
        </w:tc>
        <w:tc>
          <w:tcPr>
            <w:tcW w:type="dxa" w:w="1929"/>
            <w:tcMar>
              <w:top w:type="dxa" w:w="50"/>
              <w:left w:type="dxa" w:w="80"/>
              <w:bottom w:type="dxa" w:w="50"/>
              <w:right w:type="dxa" w:w="80"/>
            </w:tcMar>
            <w:vAlign w:val="top"/>
          </w:tcPr>
          <w:p>
            <w:pPr>
              <w:spacing w:after="30"/>
            </w:pPr>
            <w:r>
              <w:rPr>
                <w:rFonts w:ascii="Arial" w:cs="Arial" w:eastAsia="Arial" w:hAnsi="Arial"/>
                <w:sz w:val="17"/>
                <w:szCs w:val="17"/>
              </w:rPr>
              <w:t xml:space="preserve">≤ 5 years — start ≥ 3 months before expiry</w:t>
            </w:r>
          </w:p>
        </w:tc>
      </w:tr>
      <w:tr>
        <w:trPr>
          <w:tblHeader w:val="false"/>
        </w:trPr>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Complaint / incident notification</w:t>
            </w:r>
          </w:p>
        </w:tc>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Inform GS body of safety-relevant complaints or recalls</w:t>
            </w:r>
          </w:p>
        </w:tc>
        <w:tc>
          <w:tcPr>
            <w:tcW w:type="dxa" w:w="1929"/>
            <w:tcMar>
              <w:top w:type="dxa" w:w="50"/>
              <w:left w:type="dxa" w:w="80"/>
              <w:bottom w:type="dxa" w:w="50"/>
              <w:right w:type="dxa" w:w="80"/>
            </w:tcMar>
            <w:vAlign w:val="top"/>
          </w:tcPr>
          <w:p>
            <w:pPr>
              <w:spacing w:after="30"/>
            </w:pPr>
            <w:r>
              <w:rPr>
                <w:rFonts w:ascii="Arial" w:cs="Arial" w:eastAsia="Arial" w:hAnsi="Arial"/>
                <w:sz w:val="17"/>
                <w:szCs w:val="17"/>
              </w:rPr>
              <w:t xml:space="preserve">Without delay</w:t>
            </w:r>
          </w:p>
        </w:tc>
      </w:tr>
    </w:tbl>
    <w:p>
      <w:pPr>
        <w:spacing w:after="80"/>
      </w:pPr>
    </w:p>
    <w:p>
      <w:pPr>
        <w:pStyle w:val="Heading2"/>
        <w:spacing w:after="120" w:before="200"/>
      </w:pPr>
      <w:r>
        <w:rPr>
          <w:rFonts w:ascii="Arial" w:cs="Arial" w:eastAsia="Arial" w:hAnsi="Arial"/>
          <w:b/>
          <w:bCs/>
          <w:color w:val="1F3864"/>
          <w:sz w:val="24"/>
          <w:szCs w:val="24"/>
        </w:rPr>
        <w:t xml:space="preserve">10.6 Change management</w:t>
      </w:r>
    </w:p>
    <w:p>
      <w:pPr>
        <w:pStyle w:val="ListParagraph"/>
        <w:numPr>
          <w:ilvl w:val="0"/>
          <w:numId w:val="2"/>
        </w:numPr>
        <w:spacing w:after="60"/>
      </w:pPr>
      <w:r>
        <w:rPr>
          <w:rFonts w:ascii="Arial" w:cs="Arial" w:eastAsia="Arial" w:hAnsi="Arial"/>
          <w:sz w:val="20"/>
          <w:szCs w:val="20"/>
        </w:rPr>
        <w:t xml:space="preserve">Any change of design, critical component or sub-supplier, material, coating system, production site or added model/brand → written notification to the GS body </w:t>
      </w:r>
      <w:r>
        <w:rPr>
          <w:rFonts w:ascii="Arial" w:cs="Arial" w:eastAsia="Arial" w:hAnsi="Arial"/>
          <w:b/>
          <w:bCs/>
          <w:sz w:val="20"/>
          <w:szCs w:val="20"/>
        </w:rPr>
        <w:t xml:space="preserve">before</w:t>
      </w:r>
      <w:r>
        <w:rPr>
          <w:rFonts w:ascii="Arial" w:cs="Arial" w:eastAsia="Arial" w:hAnsi="Arial"/>
          <w:sz w:val="20"/>
          <w:szCs w:val="20"/>
        </w:rPr>
        <w:t xml:space="preserve"> shipment; GS body decides on re-test and certificate amendment.</w:t>
      </w:r>
    </w:p>
    <w:p>
      <w:pPr>
        <w:pStyle w:val="ListParagraph"/>
        <w:numPr>
          <w:ilvl w:val="0"/>
          <w:numId w:val="2"/>
        </w:numPr>
        <w:spacing w:after="60"/>
      </w:pPr>
      <w:r>
        <w:rPr>
          <w:rFonts w:ascii="Arial" w:cs="Arial" w:eastAsia="Arial" w:hAnsi="Arial"/>
          <w:sz w:val="20"/>
          <w:szCs w:val="20"/>
        </w:rPr>
        <w:t xml:space="preserve">New production site → new factory inspection before GS-marked goods are shipped from that site.</w:t>
      </w:r>
    </w:p>
    <w:p>
      <w:pPr>
        <w:pStyle w:val="ListParagraph"/>
        <w:numPr>
          <w:ilvl w:val="0"/>
          <w:numId w:val="2"/>
        </w:numPr>
        <w:spacing w:after="60"/>
      </w:pPr>
      <w:r>
        <w:rPr>
          <w:rFonts w:ascii="Arial" w:cs="Arial" w:eastAsia="Arial" w:hAnsi="Arial"/>
          <w:sz w:val="20"/>
          <w:szCs w:val="20"/>
        </w:rPr>
        <w:t xml:space="preserve">Superseded standard or AfPS specification → GS body re-assessment; certificate may be restricted or withdrawn.</w:t>
      </w:r>
    </w:p>
    <w:p>
      <w:pPr>
        <w:pStyle w:val="ListParagraph"/>
        <w:numPr>
          <w:ilvl w:val="0"/>
          <w:numId w:val="2"/>
        </w:numPr>
        <w:spacing w:after="60"/>
      </w:pPr>
      <w:r>
        <w:rPr>
          <w:rFonts w:ascii="Arial" w:cs="Arial" w:eastAsia="Arial" w:hAnsi="Arial"/>
          <w:sz w:val="20"/>
          <w:szCs w:val="20"/>
        </w:rPr>
        <w:t xml:space="preserve">Certificate suspended/withdrawn → stop GS marking immediately; HOLD on GS lots; notify Ally.</w:t>
      </w:r>
    </w:p>
    <w:p>
      <w:pPr>
        <w:pStyle w:val="Heading2"/>
        <w:spacing w:after="120" w:before="200"/>
      </w:pPr>
      <w:r>
        <w:rPr>
          <w:rFonts w:ascii="Arial" w:cs="Arial" w:eastAsia="Arial" w:hAnsi="Arial"/>
          <w:b/>
          <w:bCs/>
          <w:color w:val="1F3864"/>
          <w:sz w:val="24"/>
          <w:szCs w:val="24"/>
        </w:rPr>
        <w:t xml:space="preserve">10.7 GS mark use</w:t>
      </w:r>
    </w:p>
    <w:p>
      <w:pPr>
        <w:pStyle w:val="ListParagraph"/>
        <w:numPr>
          <w:ilvl w:val="0"/>
          <w:numId w:val="2"/>
        </w:numPr>
        <w:spacing w:after="60"/>
      </w:pPr>
      <w:r>
        <w:rPr>
          <w:rFonts w:ascii="Arial" w:cs="Arial" w:eastAsia="Arial" w:hAnsi="Arial"/>
          <w:sz w:val="20"/>
          <w:szCs w:val="20"/>
        </w:rPr>
        <w:t xml:space="preserve">GS symbol designed per ProdSG Annex (§ 24) combined with the GS body logo and ID / certificate number as specified by the GS body (some bodies add a QR/ID link to their certificate database). Marks liable to be confused with the GS mark are prohibited.</w:t>
      </w:r>
    </w:p>
    <w:p>
      <w:pPr>
        <w:pStyle w:val="ListParagraph"/>
        <w:numPr>
          <w:ilvl w:val="0"/>
          <w:numId w:val="2"/>
        </w:numPr>
        <w:spacing w:after="60"/>
      </w:pPr>
      <w:r>
        <w:rPr>
          <w:rFonts w:ascii="Arial" w:cs="Arial" w:eastAsia="Arial" w:hAnsi="Arial"/>
          <w:sz w:val="20"/>
          <w:szCs w:val="20"/>
        </w:rPr>
        <w:t xml:space="preserve">Applied only to models, brands and factories listed on a valid certificate; on the product (rating plate or label) and optionally packaging.</w:t>
      </w:r>
    </w:p>
    <w:p>
      <w:pPr>
        <w:pStyle w:val="ListParagraph"/>
        <w:numPr>
          <w:ilvl w:val="0"/>
          <w:numId w:val="2"/>
        </w:numPr>
        <w:spacing w:after="60"/>
      </w:pPr>
      <w:r>
        <w:rPr>
          <w:rFonts w:ascii="Arial" w:cs="Arial" w:eastAsia="Arial" w:hAnsi="Arial"/>
          <w:sz w:val="20"/>
          <w:szCs w:val="20"/>
        </w:rPr>
        <w:t xml:space="preserve">Use only while the certificate is valid (§ 24); stop immediately on suspension or withdrawal. Not to be applied to non-GS orders or other Allies unless covered by the certificate. Unauthorised use is an administrative offence under ProdSG (verify § 39 fine provision).</w:t>
      </w:r>
    </w:p>
    <w:p>
      <w:pPr>
        <w:pStyle w:val="Heading2"/>
        <w:spacing w:after="120" w:before="200"/>
      </w:pPr>
      <w:r>
        <w:rPr>
          <w:rFonts w:ascii="Arial" w:cs="Arial" w:eastAsia="Arial" w:hAnsi="Arial"/>
          <w:b/>
          <w:bCs/>
          <w:color w:val="1F3864"/>
          <w:sz w:val="24"/>
          <w:szCs w:val="24"/>
        </w:rPr>
        <w:t xml:space="preserve">10.8 GS gate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Certificate valid; covers model, Ally brand and factory; surveillance inspection within 12 months; mark artwork approved; importer verification record (§ 24) on file.</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CONDITIONAL</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Certificate renewal or change notification in progress — written GS body confirmation needed before SRC.</w:t>
            </w:r>
          </w:p>
        </w:tc>
      </w:tr>
      <w:tr>
        <w:trPr>
          <w:tblHeader w:val="false"/>
        </w:trPr>
        <w:tc>
          <w:tcPr>
            <w:tcW w:type="dxa" w:w="1927"/>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 NO-GO</w:t>
            </w:r>
          </w:p>
        </w:tc>
        <w:tc>
          <w:tcPr>
            <w:tcW w:type="dxa" w:w="7711"/>
            <w:tcMar>
              <w:top w:type="dxa" w:w="50"/>
              <w:left w:type="dxa" w:w="80"/>
              <w:bottom w:type="dxa" w:w="50"/>
              <w:right w:type="dxa" w:w="80"/>
            </w:tcMar>
            <w:vAlign w:val="top"/>
          </w:tcPr>
          <w:p>
            <w:pPr>
              <w:spacing w:after="30"/>
            </w:pPr>
            <w:r>
              <w:rPr>
                <w:rFonts w:ascii="Arial" w:cs="Arial" w:eastAsia="Arial" w:hAnsi="Arial"/>
                <w:sz w:val="17"/>
                <w:szCs w:val="17"/>
              </w:rPr>
              <w:t xml:space="preserve">No certificate; expired or withdrawn certificate; factory or model not covered; GS mark applied without approval.</w:t>
            </w:r>
          </w:p>
        </w:tc>
      </w:tr>
    </w:tbl>
    <w:p>
      <w:pPr>
        <w:spacing w:after="80"/>
      </w:pPr>
    </w:p>
    <w:p>
      <w:pPr>
        <w:pStyle w:val="Heading2"/>
        <w:spacing w:after="120" w:before="200"/>
      </w:pPr>
      <w:r>
        <w:rPr>
          <w:rFonts w:ascii="Arial" w:cs="Arial" w:eastAsia="Arial" w:hAnsi="Arial"/>
          <w:b/>
          <w:bCs/>
          <w:color w:val="1F3864"/>
          <w:sz w:val="24"/>
          <w:szCs w:val="24"/>
        </w:rPr>
        <w:t xml:space="preserve">10.9 RACI — GS process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1638"/>
        <w:gridCol w:w="1638"/>
        <w:gridCol w:w="1638"/>
        <w:gridCol w:w="1640"/>
      </w:tblGrid>
      <w:tr>
        <w:trPr>
          <w:tblHeader/>
        </w:trPr>
        <w:tc>
          <w:tcPr>
            <w:tcW w:type="dxa" w:w="308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Activity</w:t>
            </w:r>
          </w:p>
        </w:tc>
        <w:tc>
          <w:tcPr>
            <w:tcW w:type="dxa" w:w="163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Responsible</w:t>
            </w:r>
          </w:p>
        </w:tc>
        <w:tc>
          <w:tcPr>
            <w:tcW w:type="dxa" w:w="163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Accountable</w:t>
            </w:r>
          </w:p>
        </w:tc>
        <w:tc>
          <w:tcPr>
            <w:tcW w:type="dxa" w:w="163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Consulted</w:t>
            </w:r>
          </w:p>
        </w:tc>
        <w:tc>
          <w:tcPr>
            <w:tcW w:type="dxa" w:w="1640"/>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Informed</w:t>
            </w:r>
          </w:p>
        </w:tc>
      </w:tr>
      <w:tr>
        <w:trPr>
          <w:tblHeader w:val="false"/>
        </w:trPr>
        <w:tc>
          <w:tcPr>
            <w:tcW w:type="dxa" w:w="3084"/>
            <w:tcMar>
              <w:top w:type="dxa" w:w="50"/>
              <w:left w:type="dxa" w:w="80"/>
              <w:bottom w:type="dxa" w:w="50"/>
              <w:right w:type="dxa" w:w="80"/>
            </w:tcMar>
            <w:vAlign w:val="top"/>
          </w:tcPr>
          <w:p>
            <w:pPr>
              <w:spacing w:after="30"/>
            </w:pPr>
            <w:r>
              <w:rPr>
                <w:rFonts w:ascii="Arial" w:cs="Arial" w:eastAsia="Arial" w:hAnsi="Arial"/>
                <w:sz w:val="17"/>
                <w:szCs w:val="17"/>
              </w:rPr>
              <w:t xml:space="preserve">GS requirement and scope</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Merchandiser</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QS Manager</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Ally, QS</w:t>
            </w:r>
          </w:p>
        </w:tc>
        <w:tc>
          <w:tcPr>
            <w:tcW w:type="dxa" w:w="1640"/>
            <w:tcMar>
              <w:top w:type="dxa" w:w="50"/>
              <w:left w:type="dxa" w:w="80"/>
              <w:bottom w:type="dxa" w:w="50"/>
              <w:right w:type="dxa" w:w="80"/>
            </w:tcMar>
            <w:vAlign w:val="top"/>
          </w:tcPr>
          <w:p>
            <w:pPr>
              <w:spacing w:after="30"/>
            </w:pPr>
            <w:r>
              <w:rPr>
                <w:rFonts w:ascii="Arial" w:cs="Arial" w:eastAsia="Arial" w:hAnsi="Arial"/>
                <w:sz w:val="17"/>
                <w:szCs w:val="17"/>
              </w:rPr>
              <w:t xml:space="preserve">Supplier</w:t>
            </w:r>
          </w:p>
        </w:tc>
      </w:tr>
      <w:tr>
        <w:trPr>
          <w:tblHeader w:val="false"/>
        </w:trPr>
        <w:tc>
          <w:tcPr>
            <w:tcW w:type="dxa" w:w="3084"/>
            <w:tcMar>
              <w:top w:type="dxa" w:w="50"/>
              <w:left w:type="dxa" w:w="80"/>
              <w:bottom w:type="dxa" w:w="50"/>
              <w:right w:type="dxa" w:w="80"/>
            </w:tcMar>
            <w:vAlign w:val="top"/>
          </w:tcPr>
          <w:p>
            <w:pPr>
              <w:spacing w:after="30"/>
            </w:pPr>
            <w:r>
              <w:rPr>
                <w:rFonts w:ascii="Arial" w:cs="Arial" w:eastAsia="Arial" w:hAnsi="Arial"/>
                <w:sz w:val="17"/>
                <w:szCs w:val="17"/>
              </w:rPr>
              <w:t xml:space="preserve">GS body selection and quotation</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QS Manager</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Merchandiser</w:t>
            </w:r>
          </w:p>
        </w:tc>
        <w:tc>
          <w:tcPr>
            <w:tcW w:type="dxa" w:w="1640"/>
            <w:tcMar>
              <w:top w:type="dxa" w:w="50"/>
              <w:left w:type="dxa" w:w="80"/>
              <w:bottom w:type="dxa" w:w="50"/>
              <w:right w:type="dxa" w:w="80"/>
            </w:tcMar>
            <w:vAlign w:val="top"/>
          </w:tcPr>
          <w:p>
            <w:pPr>
              <w:spacing w:after="30"/>
            </w:pPr>
            <w:r>
              <w:rPr>
                <w:rFonts w:ascii="Arial" w:cs="Arial" w:eastAsia="Arial" w:hAnsi="Arial"/>
                <w:sz w:val="17"/>
                <w:szCs w:val="17"/>
              </w:rPr>
              <w:t xml:space="preserve">Ally</w:t>
            </w:r>
          </w:p>
        </w:tc>
      </w:tr>
      <w:tr>
        <w:trPr>
          <w:tblHeader w:val="false"/>
        </w:trPr>
        <w:tc>
          <w:tcPr>
            <w:tcW w:type="dxa" w:w="3084"/>
            <w:tcMar>
              <w:top w:type="dxa" w:w="50"/>
              <w:left w:type="dxa" w:w="80"/>
              <w:bottom w:type="dxa" w:w="50"/>
              <w:right w:type="dxa" w:w="80"/>
            </w:tcMar>
            <w:vAlign w:val="top"/>
          </w:tcPr>
          <w:p>
            <w:pPr>
              <w:spacing w:after="30"/>
            </w:pPr>
            <w:r>
              <w:rPr>
                <w:rFonts w:ascii="Arial" w:cs="Arial" w:eastAsia="Arial" w:hAnsi="Arial"/>
                <w:sz w:val="17"/>
                <w:szCs w:val="17"/>
              </w:rPr>
              <w:t xml:space="preserve">Application, documents, samples</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Supplier</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GS body</w:t>
            </w:r>
          </w:p>
        </w:tc>
        <w:tc>
          <w:tcPr>
            <w:tcW w:type="dxa" w:w="1640"/>
            <w:tcMar>
              <w:top w:type="dxa" w:w="50"/>
              <w:left w:type="dxa" w:w="80"/>
              <w:bottom w:type="dxa" w:w="50"/>
              <w:right w:type="dxa" w:w="80"/>
            </w:tcMar>
            <w:vAlign w:val="top"/>
          </w:tcPr>
          <w:p>
            <w:pPr>
              <w:spacing w:after="30"/>
            </w:pPr>
            <w:r>
              <w:rPr>
                <w:rFonts w:ascii="Arial" w:cs="Arial" w:eastAsia="Arial" w:hAnsi="Arial"/>
                <w:sz w:val="17"/>
                <w:szCs w:val="17"/>
              </w:rPr>
              <w:t xml:space="preserve">Merchandiser</w:t>
            </w:r>
          </w:p>
        </w:tc>
      </w:tr>
      <w:tr>
        <w:trPr>
          <w:tblHeader w:val="false"/>
        </w:trPr>
        <w:tc>
          <w:tcPr>
            <w:tcW w:type="dxa" w:w="3084"/>
            <w:tcMar>
              <w:top w:type="dxa" w:w="50"/>
              <w:left w:type="dxa" w:w="80"/>
              <w:bottom w:type="dxa" w:w="50"/>
              <w:right w:type="dxa" w:w="80"/>
            </w:tcMar>
            <w:vAlign w:val="top"/>
          </w:tcPr>
          <w:p>
            <w:pPr>
              <w:spacing w:after="30"/>
            </w:pPr>
            <w:r>
              <w:rPr>
                <w:rFonts w:ascii="Arial" w:cs="Arial" w:eastAsia="Arial" w:hAnsi="Arial"/>
                <w:sz w:val="17"/>
                <w:szCs w:val="17"/>
              </w:rPr>
              <w:t xml:space="preserve">Testing and factory inspection</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GS body</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Supplier</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640"/>
            <w:tcMar>
              <w:top w:type="dxa" w:w="50"/>
              <w:left w:type="dxa" w:w="80"/>
              <w:bottom w:type="dxa" w:w="50"/>
              <w:right w:type="dxa" w:w="80"/>
            </w:tcMar>
            <w:vAlign w:val="top"/>
          </w:tcPr>
          <w:p>
            <w:pPr>
              <w:spacing w:after="30"/>
            </w:pPr>
            <w:r>
              <w:rPr>
                <w:rFonts w:ascii="Arial" w:cs="Arial" w:eastAsia="Arial" w:hAnsi="Arial"/>
                <w:sz w:val="17"/>
                <w:szCs w:val="17"/>
              </w:rPr>
              <w:t xml:space="preserve">Ally</w:t>
            </w:r>
          </w:p>
        </w:tc>
      </w:tr>
      <w:tr>
        <w:trPr>
          <w:tblHeader w:val="false"/>
        </w:trPr>
        <w:tc>
          <w:tcPr>
            <w:tcW w:type="dxa" w:w="3084"/>
            <w:tcMar>
              <w:top w:type="dxa" w:w="50"/>
              <w:left w:type="dxa" w:w="80"/>
              <w:bottom w:type="dxa" w:w="50"/>
              <w:right w:type="dxa" w:w="80"/>
            </w:tcMar>
            <w:vAlign w:val="top"/>
          </w:tcPr>
          <w:p>
            <w:pPr>
              <w:spacing w:after="30"/>
            </w:pPr>
            <w:r>
              <w:rPr>
                <w:rFonts w:ascii="Arial" w:cs="Arial" w:eastAsia="Arial" w:hAnsi="Arial"/>
                <w:sz w:val="17"/>
                <w:szCs w:val="17"/>
              </w:rPr>
              <w:t xml:space="preserve">Artwork with GS mark</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Supplier</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GS body</w:t>
            </w:r>
          </w:p>
        </w:tc>
        <w:tc>
          <w:tcPr>
            <w:tcW w:type="dxa" w:w="1640"/>
            <w:tcMar>
              <w:top w:type="dxa" w:w="50"/>
              <w:left w:type="dxa" w:w="80"/>
              <w:bottom w:type="dxa" w:w="50"/>
              <w:right w:type="dxa" w:w="80"/>
            </w:tcMar>
            <w:vAlign w:val="top"/>
          </w:tcPr>
          <w:p>
            <w:pPr>
              <w:spacing w:after="30"/>
            </w:pPr>
            <w:r>
              <w:rPr>
                <w:rFonts w:ascii="Arial" w:cs="Arial" w:eastAsia="Arial" w:hAnsi="Arial"/>
                <w:sz w:val="17"/>
                <w:szCs w:val="17"/>
              </w:rPr>
              <w:t xml:space="preserve">Ally</w:t>
            </w:r>
          </w:p>
        </w:tc>
      </w:tr>
      <w:tr>
        <w:trPr>
          <w:tblHeader w:val="false"/>
        </w:trPr>
        <w:tc>
          <w:tcPr>
            <w:tcW w:type="dxa" w:w="3084"/>
            <w:tcMar>
              <w:top w:type="dxa" w:w="50"/>
              <w:left w:type="dxa" w:w="80"/>
              <w:bottom w:type="dxa" w:w="50"/>
              <w:right w:type="dxa" w:w="80"/>
            </w:tcMar>
            <w:vAlign w:val="top"/>
          </w:tcPr>
          <w:p>
            <w:pPr>
              <w:spacing w:after="30"/>
            </w:pPr>
            <w:r>
              <w:rPr>
                <w:rFonts w:ascii="Arial" w:cs="Arial" w:eastAsia="Arial" w:hAnsi="Arial"/>
                <w:sz w:val="17"/>
                <w:szCs w:val="17"/>
              </w:rPr>
              <w:t xml:space="preserve">Surveillance, renewal, change notification</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Supplier</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GS body</w:t>
            </w:r>
          </w:p>
        </w:tc>
        <w:tc>
          <w:tcPr>
            <w:tcW w:type="dxa" w:w="1640"/>
            <w:tcMar>
              <w:top w:type="dxa" w:w="50"/>
              <w:left w:type="dxa" w:w="80"/>
              <w:bottom w:type="dxa" w:w="50"/>
              <w:right w:type="dxa" w:w="80"/>
            </w:tcMar>
            <w:vAlign w:val="top"/>
          </w:tcPr>
          <w:p>
            <w:pPr>
              <w:spacing w:after="30"/>
            </w:pPr>
            <w:r>
              <w:rPr>
                <w:rFonts w:ascii="Arial" w:cs="Arial" w:eastAsia="Arial" w:hAnsi="Arial"/>
                <w:sz w:val="17"/>
                <w:szCs w:val="17"/>
              </w:rPr>
              <w:t xml:space="preserve">Ally, PPS-P</w:t>
            </w:r>
          </w:p>
        </w:tc>
      </w:tr>
      <w:tr>
        <w:trPr>
          <w:tblHeader w:val="false"/>
        </w:trPr>
        <w:tc>
          <w:tcPr>
            <w:tcW w:type="dxa" w:w="3084"/>
            <w:tcMar>
              <w:top w:type="dxa" w:w="50"/>
              <w:left w:type="dxa" w:w="80"/>
              <w:bottom w:type="dxa" w:w="50"/>
              <w:right w:type="dxa" w:w="80"/>
            </w:tcMar>
            <w:vAlign w:val="top"/>
          </w:tcPr>
          <w:p>
            <w:pPr>
              <w:spacing w:after="30"/>
            </w:pPr>
            <w:r>
              <w:rPr>
                <w:rFonts w:ascii="Arial" w:cs="Arial" w:eastAsia="Arial" w:hAnsi="Arial"/>
                <w:sz w:val="17"/>
                <w:szCs w:val="17"/>
              </w:rPr>
              <w:t xml:space="preserve">GS verification at FRI / SRC</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QC</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1640"/>
            <w:tcMar>
              <w:top w:type="dxa" w:w="50"/>
              <w:left w:type="dxa" w:w="80"/>
              <w:bottom w:type="dxa" w:w="50"/>
              <w:right w:type="dxa" w:w="80"/>
            </w:tcMar>
            <w:vAlign w:val="top"/>
          </w:tcPr>
          <w:p>
            <w:pPr>
              <w:spacing w:after="30"/>
            </w:pPr>
            <w:r>
              <w:rPr>
                <w:rFonts w:ascii="Arial" w:cs="Arial" w:eastAsia="Arial" w:hAnsi="Arial"/>
                <w:sz w:val="17"/>
                <w:szCs w:val="17"/>
              </w:rPr>
              <w:t xml:space="preserve">Ally, PPS-L</w:t>
            </w:r>
          </w:p>
        </w:tc>
      </w:tr>
    </w:tbl>
    <w:p>
      <w:pPr>
        <w:spacing w:after="80"/>
      </w:pPr>
    </w:p>
    <w:p>
      <w:pPr>
        <w:pStyle w:val="Heading1"/>
        <w:spacing w:after="160" w:before="240"/>
      </w:pPr>
      <w:r>
        <w:rPr>
          <w:rFonts w:ascii="Arial" w:cs="Arial" w:eastAsia="Arial" w:hAnsi="Arial"/>
          <w:b/>
          <w:bCs/>
          <w:color w:val="1F3864"/>
          <w:sz w:val="28"/>
          <w:szCs w:val="28"/>
        </w:rPr>
        <w:t xml:space="preserve">11. Document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4144"/>
        <w:gridCol w:w="771"/>
        <w:gridCol w:w="1734"/>
        <w:gridCol w:w="1349"/>
        <w:gridCol w:w="1159"/>
      </w:tblGrid>
      <w:tr>
        <w:trPr>
          <w:tblHeader/>
        </w:trPr>
        <w:tc>
          <w:tcPr>
            <w:tcW w:type="dxa" w:w="48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w:t>
            </w:r>
          </w:p>
        </w:tc>
        <w:tc>
          <w:tcPr>
            <w:tcW w:type="dxa" w:w="414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Document</w:t>
            </w:r>
          </w:p>
        </w:tc>
        <w:tc>
          <w:tcPr>
            <w:tcW w:type="dxa" w:w="77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Link</w:t>
            </w:r>
          </w:p>
        </w:tc>
        <w:tc>
          <w:tcPr>
            <w:tcW w:type="dxa" w:w="173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Issued by</w:t>
            </w:r>
          </w:p>
        </w:tc>
        <w:tc>
          <w:tcPr>
            <w:tcW w:type="dxa" w:w="134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Validity</w:t>
            </w:r>
          </w:p>
        </w:tc>
        <w:tc>
          <w:tcPr>
            <w:tcW w:type="dxa" w:w="115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Retention</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Quality Compliance Pathway (QCP) — Storage/Moving</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1–2</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 change</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Quality Single Document (QSD) — Hand Tools</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1–6</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 change</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Harmonised standard lookup record (MD + MR)</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1–3</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 OJEU change</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Risk assessment EN ISO 12100 / DFMEA</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Manufacturer / QS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 change</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Type test report EN ISO 3691-5 / EN 16307-5 (accredited lab)</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Accredited lab</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 change</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Chemical test report (PAH, phthalates, SCCP, SVHC)</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Accredited lab</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2 yr</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Technical file (MD Annex VII A / MR Annex IV)</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4–6</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Manufacturer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Ongoing</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FPC plan and end-of-line load-test records</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Supplier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 change / per lot</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9</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QMS / CSR audit reports (ISO 9001, BSCI)</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 / 3rd party</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Per certificate</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5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10</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Sample validation, DPI, FRI reports (Annex A)</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5, 8</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QC / 3rd party</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Per order</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5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11</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Golden sample record</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Per order</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5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12</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EC / EU Declaration of Conformity</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Manufacturer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 change / legal act</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13</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EU economic operator designation (2019/1020 Art. 4)</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6–7</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Importer / AR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 change</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14</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Artwork, data plate and label approval</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Per revision</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5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15</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Instruction manual assessment (EN IEC/IEEE 82079-1)</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Per revision</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5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16</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Export packaging compliance + PPWR data record</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7–8</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 / Merch.</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Per shipment</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5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17</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SVHC declaration</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All</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Supplier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Per shipment</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18</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Shipment Release Certificate (SRC)</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Per shipment</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5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19</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GS test report + GS certificate (GS orders)</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4, 10</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GS body</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Max. 5 yr</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20</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GS factory inspection reports (initial + annual)</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5, 10</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GS body</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12 months</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21</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GS critical components list + change notifications</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5, 10</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Manufacturer / GS body</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On change</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r>
        <w:trPr>
          <w:tblHeader w:val="false"/>
        </w:trPr>
        <w:tc>
          <w:tcPr>
            <w:tcW w:type="dxa" w:w="481"/>
            <w:tcMar>
              <w:top w:type="dxa" w:w="50"/>
              <w:left w:type="dxa" w:w="80"/>
              <w:bottom w:type="dxa" w:w="50"/>
              <w:right w:type="dxa" w:w="80"/>
            </w:tcMar>
            <w:vAlign w:val="top"/>
          </w:tcPr>
          <w:p>
            <w:pPr>
              <w:spacing w:after="30"/>
            </w:pPr>
            <w:r>
              <w:rPr>
                <w:rFonts w:ascii="Arial" w:cs="Arial" w:eastAsia="Arial" w:hAnsi="Arial"/>
                <w:sz w:val="17"/>
                <w:szCs w:val="17"/>
              </w:rPr>
              <w:t xml:space="preserve">22</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GS mark artwork approval</w:t>
            </w:r>
          </w:p>
        </w:tc>
        <w:tc>
          <w:tcPr>
            <w:tcW w:type="dxa" w:w="771"/>
            <w:tcMar>
              <w:top w:type="dxa" w:w="50"/>
              <w:left w:type="dxa" w:w="80"/>
              <w:bottom w:type="dxa" w:w="50"/>
              <w:right w:type="dxa" w:w="80"/>
            </w:tcMar>
            <w:vAlign w:val="top"/>
          </w:tcPr>
          <w:p>
            <w:pPr>
              <w:spacing w:after="30"/>
            </w:pPr>
            <w:r>
              <w:rPr>
                <w:rFonts w:ascii="Arial" w:cs="Arial" w:eastAsia="Arial" w:hAnsi="Arial"/>
                <w:sz w:val="17"/>
                <w:szCs w:val="17"/>
              </w:rPr>
              <w:t xml:space="preserve">7, 10</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GS body / QS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Per revision</w:t>
            </w:r>
          </w:p>
        </w:tc>
        <w:tc>
          <w:tcPr>
            <w:tcW w:type="dxa" w:w="1159"/>
            <w:tcMar>
              <w:top w:type="dxa" w:w="50"/>
              <w:left w:type="dxa" w:w="80"/>
              <w:bottom w:type="dxa" w:w="50"/>
              <w:right w:type="dxa" w:w="80"/>
            </w:tcMar>
            <w:vAlign w:val="top"/>
          </w:tcPr>
          <w:p>
            <w:pPr>
              <w:spacing w:after="30"/>
            </w:pPr>
            <w:r>
              <w:rPr>
                <w:rFonts w:ascii="Arial" w:cs="Arial" w:eastAsia="Arial" w:hAnsi="Arial"/>
                <w:sz w:val="17"/>
                <w:szCs w:val="17"/>
              </w:rPr>
              <w:t xml:space="preserve">10 yr</w:t>
            </w:r>
          </w:p>
        </w:tc>
      </w:tr>
    </w:tbl>
    <w:p>
      <w:pPr>
        <w:spacing w:after="80"/>
      </w:pPr>
    </w:p>
    <w:p>
      <w:pPr>
        <w:pStyle w:val="Heading1"/>
        <w:spacing w:after="160" w:before="240"/>
      </w:pPr>
      <w:r>
        <w:rPr>
          <w:rFonts w:ascii="Arial" w:cs="Arial" w:eastAsia="Arial" w:hAnsi="Arial"/>
          <w:b/>
          <w:bCs/>
          <w:color w:val="1F3864"/>
          <w:sz w:val="28"/>
          <w:szCs w:val="28"/>
        </w:rPr>
        <w:t xml:space="preserve">12. RACI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1927"/>
        <w:gridCol w:w="1734"/>
        <w:gridCol w:w="1734"/>
        <w:gridCol w:w="1738"/>
      </w:tblGrid>
      <w:tr>
        <w:trPr>
          <w:tblHeader/>
        </w:trPr>
        <w:tc>
          <w:tcPr>
            <w:tcW w:type="dxa" w:w="250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Link</w:t>
            </w:r>
          </w:p>
        </w:tc>
        <w:tc>
          <w:tcPr>
            <w:tcW w:type="dxa" w:w="192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Responsible</w:t>
            </w:r>
          </w:p>
        </w:tc>
        <w:tc>
          <w:tcPr>
            <w:tcW w:type="dxa" w:w="173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Accountable</w:t>
            </w:r>
          </w:p>
        </w:tc>
        <w:tc>
          <w:tcPr>
            <w:tcW w:type="dxa" w:w="173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Consulted</w:t>
            </w:r>
          </w:p>
        </w:tc>
        <w:tc>
          <w:tcPr>
            <w:tcW w:type="dxa" w:w="173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Informed</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1 — 4-Step determination</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 Manager</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Merchandiser, Ally</w:t>
            </w:r>
          </w:p>
        </w:tc>
        <w:tc>
          <w:tcPr>
            <w:tcW w:type="dxa" w:w="1738"/>
            <w:tcMar>
              <w:top w:type="dxa" w:w="50"/>
              <w:left w:type="dxa" w:w="80"/>
              <w:bottom w:type="dxa" w:w="50"/>
              <w:right w:type="dxa" w:w="80"/>
            </w:tcMar>
            <w:vAlign w:val="top"/>
          </w:tcPr>
          <w:p>
            <w:pPr>
              <w:spacing w:after="30"/>
            </w:pPr>
            <w:r>
              <w:rPr>
                <w:rFonts w:ascii="Arial" w:cs="Arial" w:eastAsia="Arial" w:hAnsi="Arial"/>
                <w:sz w:val="17"/>
                <w:szCs w:val="17"/>
              </w:rPr>
              <w:t xml:space="preserve">IQA, PPS-P</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2 — Pathway assignment</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 Manager</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Ally</w:t>
            </w:r>
          </w:p>
        </w:tc>
        <w:tc>
          <w:tcPr>
            <w:tcW w:type="dxa" w:w="1738"/>
            <w:tcMar>
              <w:top w:type="dxa" w:w="50"/>
              <w:left w:type="dxa" w:w="80"/>
              <w:bottom w:type="dxa" w:w="50"/>
              <w:right w:type="dxa" w:w="80"/>
            </w:tcMar>
            <w:vAlign w:val="top"/>
          </w:tcPr>
          <w:p>
            <w:pPr>
              <w:spacing w:after="30"/>
            </w:pPr>
            <w:r>
              <w:rPr>
                <w:rFonts w:ascii="Arial" w:cs="Arial" w:eastAsia="Arial" w:hAnsi="Arial"/>
                <w:sz w:val="17"/>
                <w:szCs w:val="17"/>
              </w:rPr>
              <w:t xml:space="preserve">PPS-P, Supplier</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3 — Module</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 Manager</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Accredited lab</w:t>
            </w:r>
          </w:p>
        </w:tc>
        <w:tc>
          <w:tcPr>
            <w:tcW w:type="dxa" w:w="1738"/>
            <w:tcMar>
              <w:top w:type="dxa" w:w="50"/>
              <w:left w:type="dxa" w:w="80"/>
              <w:bottom w:type="dxa" w:w="50"/>
              <w:right w:type="dxa" w:w="80"/>
            </w:tcMar>
            <w:vAlign w:val="top"/>
          </w:tcPr>
          <w:p>
            <w:pPr>
              <w:spacing w:after="30"/>
            </w:pPr>
            <w:r>
              <w:rPr>
                <w:rFonts w:ascii="Arial" w:cs="Arial" w:eastAsia="Arial" w:hAnsi="Arial"/>
                <w:sz w:val="17"/>
                <w:szCs w:val="17"/>
              </w:rPr>
              <w:t xml:space="preserve">Supplier, Ally</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4 — Type test / technical file</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Supplier + lab</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738"/>
            <w:tcMar>
              <w:top w:type="dxa" w:w="50"/>
              <w:left w:type="dxa" w:w="80"/>
              <w:bottom w:type="dxa" w:w="50"/>
              <w:right w:type="dxa" w:w="80"/>
            </w:tcMar>
            <w:vAlign w:val="top"/>
          </w:tcPr>
          <w:p>
            <w:pPr>
              <w:spacing w:after="30"/>
            </w:pPr>
            <w:r>
              <w:rPr>
                <w:rFonts w:ascii="Arial" w:cs="Arial" w:eastAsia="Arial" w:hAnsi="Arial"/>
                <w:sz w:val="17"/>
                <w:szCs w:val="17"/>
              </w:rPr>
              <w:t xml:space="preserve">Ally, PPS-P</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5 — FPC / inspection</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Supplier (FPC) + QC</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IQA, 3rd party</w:t>
            </w:r>
          </w:p>
        </w:tc>
        <w:tc>
          <w:tcPr>
            <w:tcW w:type="dxa" w:w="1738"/>
            <w:tcMar>
              <w:top w:type="dxa" w:w="50"/>
              <w:left w:type="dxa" w:w="80"/>
              <w:bottom w:type="dxa" w:w="50"/>
              <w:right w:type="dxa" w:w="80"/>
            </w:tcMar>
            <w:vAlign w:val="top"/>
          </w:tcPr>
          <w:p>
            <w:pPr>
              <w:spacing w:after="30"/>
            </w:pPr>
            <w:r>
              <w:rPr>
                <w:rFonts w:ascii="Arial" w:cs="Arial" w:eastAsia="Arial" w:hAnsi="Arial"/>
                <w:sz w:val="17"/>
                <w:szCs w:val="17"/>
              </w:rPr>
              <w:t xml:space="preserve">PPS-P, Ally</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6 — DoC</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Manufacturer</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 (review)</w:t>
            </w:r>
          </w:p>
        </w:tc>
        <w:tc>
          <w:tcPr>
            <w:tcW w:type="dxa" w:w="1738"/>
            <w:tcMar>
              <w:top w:type="dxa" w:w="50"/>
              <w:left w:type="dxa" w:w="80"/>
              <w:bottom w:type="dxa" w:w="50"/>
              <w:right w:type="dxa" w:w="80"/>
            </w:tcMar>
            <w:vAlign w:val="top"/>
          </w:tcPr>
          <w:p>
            <w:pPr>
              <w:spacing w:after="30"/>
            </w:pPr>
            <w:r>
              <w:rPr>
                <w:rFonts w:ascii="Arial" w:cs="Arial" w:eastAsia="Arial" w:hAnsi="Arial"/>
                <w:sz w:val="17"/>
                <w:szCs w:val="17"/>
              </w:rPr>
              <w:t xml:space="preserve">Ally, PPS-L</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7 — CE / marking / instructions</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Supplier</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QC (verify at FRI)</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738"/>
            <w:tcMar>
              <w:top w:type="dxa" w:w="50"/>
              <w:left w:type="dxa" w:w="80"/>
              <w:bottom w:type="dxa" w:w="50"/>
              <w:right w:type="dxa" w:w="80"/>
            </w:tcMar>
            <w:vAlign w:val="top"/>
          </w:tcPr>
          <w:p>
            <w:pPr>
              <w:spacing w:after="30"/>
            </w:pPr>
            <w:r>
              <w:rPr>
                <w:rFonts w:ascii="Arial" w:cs="Arial" w:eastAsia="Arial" w:hAnsi="Arial"/>
                <w:sz w:val="17"/>
                <w:szCs w:val="17"/>
              </w:rPr>
              <w:t xml:space="preserve">Ally</w:t>
            </w:r>
          </w:p>
        </w:tc>
      </w:tr>
      <w:tr>
        <w:trPr>
          <w:tblHeader w:val="false"/>
        </w:trPr>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8 — SRC release</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QS</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QS Manager</w:t>
            </w:r>
          </w:p>
        </w:tc>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QC</w:t>
            </w:r>
          </w:p>
        </w:tc>
        <w:tc>
          <w:tcPr>
            <w:tcW w:type="dxa" w:w="1738"/>
            <w:tcMar>
              <w:top w:type="dxa" w:w="50"/>
              <w:left w:type="dxa" w:w="80"/>
              <w:bottom w:type="dxa" w:w="50"/>
              <w:right w:type="dxa" w:w="80"/>
            </w:tcMar>
            <w:vAlign w:val="top"/>
          </w:tcPr>
          <w:p>
            <w:pPr>
              <w:spacing w:after="30"/>
            </w:pPr>
            <w:r>
              <w:rPr>
                <w:rFonts w:ascii="Arial" w:cs="Arial" w:eastAsia="Arial" w:hAnsi="Arial"/>
                <w:sz w:val="17"/>
                <w:szCs w:val="17"/>
              </w:rPr>
              <w:t xml:space="preserve">PPS-L, Ally, Merchandiser</w:t>
            </w:r>
          </w:p>
        </w:tc>
      </w:tr>
    </w:tbl>
    <w:p>
      <w:pPr>
        <w:spacing w:after="80"/>
      </w:pPr>
    </w:p>
    <w:p>
      <w:pPr>
        <w:pStyle w:val="Heading1"/>
        <w:spacing w:after="160" w:before="240"/>
      </w:pPr>
      <w:r>
        <w:rPr>
          <w:rFonts w:ascii="Arial" w:cs="Arial" w:eastAsia="Arial" w:hAnsi="Arial"/>
          <w:b/>
          <w:bCs/>
          <w:color w:val="1F3864"/>
          <w:sz w:val="28"/>
          <w:szCs w:val="28"/>
        </w:rPr>
        <w:t xml:space="preserve">13. Regulatory Watch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469"/>
        <w:gridCol w:w="4627"/>
      </w:tblGrid>
      <w:tr>
        <w:trPr>
          <w:tblHeader/>
        </w:trPr>
        <w:tc>
          <w:tcPr>
            <w:tcW w:type="dxa" w:w="154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Date</w:t>
            </w:r>
          </w:p>
        </w:tc>
        <w:tc>
          <w:tcPr>
            <w:tcW w:type="dxa" w:w="346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Change</w:t>
            </w:r>
          </w:p>
        </w:tc>
        <w:tc>
          <w:tcPr>
            <w:tcW w:type="dxa" w:w="462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Impact on this category</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20/01/2027</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Machinery Regulation (EU) 2023/1230 applies; MD 2006/42/EC repealed</w:t>
            </w:r>
          </w:p>
        </w:tc>
        <w:tc>
          <w:tcPr>
            <w:tcW w:type="dxa" w:w="4627"/>
            <w:tcMar>
              <w:top w:type="dxa" w:w="50"/>
              <w:left w:type="dxa" w:w="80"/>
              <w:bottom w:type="dxa" w:w="50"/>
              <w:right w:type="dxa" w:w="80"/>
            </w:tcMar>
            <w:vAlign w:val="top"/>
          </w:tcPr>
          <w:p>
            <w:pPr>
              <w:spacing w:after="30"/>
            </w:pPr>
            <w:r>
              <w:rPr>
                <w:rFonts w:ascii="Arial" w:cs="Arial" w:eastAsia="Arial" w:hAnsi="Arial"/>
                <w:sz w:val="17"/>
                <w:szCs w:val="17"/>
              </w:rPr>
              <w:t xml:space="preserve">New DoC (Annex V), importer marking, Annex III EHSR, instructions rules; re-issue DoC and technical file; update Annex A references.</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End-2026 (expected)</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First Commission Implementing Decision citing harmonised standards under MR</w:t>
            </w:r>
          </w:p>
        </w:tc>
        <w:tc>
          <w:tcPr>
            <w:tcW w:type="dxa" w:w="4627"/>
            <w:tcMar>
              <w:top w:type="dxa" w:w="50"/>
              <w:left w:type="dxa" w:w="80"/>
              <w:bottom w:type="dxa" w:w="50"/>
              <w:right w:type="dxa" w:w="80"/>
            </w:tcMar>
            <w:vAlign w:val="top"/>
          </w:tcPr>
          <w:p>
            <w:pPr>
              <w:spacing w:after="30"/>
            </w:pPr>
            <w:r>
              <w:rPr>
                <w:rFonts w:ascii="Arial" w:cs="Arial" w:eastAsia="Arial" w:hAnsi="Arial"/>
                <w:sz w:val="17"/>
                <w:szCs w:val="17"/>
              </w:rPr>
              <w:t xml:space="preserve">Check citation of EN ISO 3691-5 and EN 16307-5:2023; until then no Art. 20 presumption under MR.</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Pending OJ</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Omnibus IV (digitalisation) — provisional agreement 09/06/2026 amending MR and ~20 product acts</w:t>
            </w:r>
          </w:p>
        </w:tc>
        <w:tc>
          <w:tcPr>
            <w:tcW w:type="dxa" w:w="4627"/>
            <w:tcMar>
              <w:top w:type="dxa" w:w="50"/>
              <w:left w:type="dxa" w:w="80"/>
              <w:bottom w:type="dxa" w:w="50"/>
              <w:right w:type="dxa" w:w="80"/>
            </w:tcMar>
            <w:vAlign w:val="top"/>
          </w:tcPr>
          <w:p>
            <w:pPr>
              <w:spacing w:after="30"/>
            </w:pPr>
            <w:r>
              <w:rPr>
                <w:rFonts w:ascii="Arial" w:cs="Arial" w:eastAsia="Arial" w:hAnsi="Arial"/>
                <w:sz w:val="17"/>
                <w:szCs w:val="17"/>
              </w:rPr>
              <w:t xml:space="preserve">Electronic DoC, digital instructions, digital contact point — update Link 6/7 when published.</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27/07/2026</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Digital Omnibus on AI, Reg. (EU) 2026/1744 — amends MR Arts. 8, 20, 47</w:t>
            </w:r>
          </w:p>
        </w:tc>
        <w:tc>
          <w:tcPr>
            <w:tcW w:type="dxa" w:w="4627"/>
            <w:tcMar>
              <w:top w:type="dxa" w:w="50"/>
              <w:left w:type="dxa" w:w="80"/>
              <w:bottom w:type="dxa" w:w="50"/>
              <w:right w:type="dxa" w:w="80"/>
            </w:tcMar>
            <w:vAlign w:val="top"/>
          </w:tcPr>
          <w:p>
            <w:pPr>
              <w:spacing w:after="30"/>
            </w:pPr>
            <w:r>
              <w:rPr>
                <w:rFonts w:ascii="Arial" w:cs="Arial" w:eastAsia="Arial" w:hAnsi="Arial"/>
                <w:sz w:val="17"/>
                <w:szCs w:val="17"/>
              </w:rPr>
              <w:t xml:space="preserve">No impact (no AI/safety software in manual truck).</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01/01/2028 (proposed)</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CBAM downstream extension COM(2025) 989</w:t>
            </w:r>
          </w:p>
        </w:tc>
        <w:tc>
          <w:tcPr>
            <w:tcW w:type="dxa" w:w="4627"/>
            <w:tcMar>
              <w:top w:type="dxa" w:w="50"/>
              <w:left w:type="dxa" w:w="80"/>
              <w:bottom w:type="dxa" w:w="50"/>
              <w:right w:type="dxa" w:w="80"/>
            </w:tcMar>
            <w:vAlign w:val="top"/>
          </w:tcPr>
          <w:p>
            <w:pPr>
              <w:spacing w:after="30"/>
            </w:pPr>
            <w:r>
              <w:rPr>
                <w:rFonts w:ascii="Arial" w:cs="Arial" w:eastAsia="Arial" w:hAnsi="Arial"/>
                <w:sz w:val="17"/>
                <w:szCs w:val="17"/>
              </w:rPr>
              <w:t xml:space="preserve">Check whether CN 8427 is included; if yes, embedded-emissions data from supplier.</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12/08/2026 →</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PPWR (EU) 2025/40 staged obligations</w:t>
            </w:r>
          </w:p>
        </w:tc>
        <w:tc>
          <w:tcPr>
            <w:tcW w:type="dxa" w:w="4627"/>
            <w:tcMar>
              <w:top w:type="dxa" w:w="50"/>
              <w:left w:type="dxa" w:w="80"/>
              <w:bottom w:type="dxa" w:w="50"/>
              <w:right w:type="dxa" w:w="80"/>
            </w:tcMar>
            <w:vAlign w:val="top"/>
          </w:tcPr>
          <w:p>
            <w:pPr>
              <w:spacing w:after="30"/>
            </w:pPr>
            <w:r>
              <w:rPr>
                <w:rFonts w:ascii="Arial" w:cs="Arial" w:eastAsia="Arial" w:hAnsi="Arial"/>
                <w:sz w:val="17"/>
                <w:szCs w:val="17"/>
              </w:rPr>
              <w:t xml:space="preserve">Since 12/08/2026: Art. 5(4) + packaging DoC. Art. 12 labelling: later of 12/08/2028 or 24 months after implementing acts (harmonised-label act planned Q4 2026). Art. 44 harmonised producer registers pending — register under existing national EPR schemes (e.g. LUCID in DE). Recyclability grades via delegated acts.</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Jan / Jun yearly</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REACH Candidate List updates</w:t>
            </w:r>
          </w:p>
        </w:tc>
        <w:tc>
          <w:tcPr>
            <w:tcW w:type="dxa" w:w="4627"/>
            <w:tcMar>
              <w:top w:type="dxa" w:w="50"/>
              <w:left w:type="dxa" w:w="80"/>
              <w:bottom w:type="dxa" w:w="50"/>
              <w:right w:type="dxa" w:w="80"/>
            </w:tcMar>
            <w:vAlign w:val="top"/>
          </w:tcPr>
          <w:p>
            <w:pPr>
              <w:spacing w:after="30"/>
            </w:pPr>
            <w:r>
              <w:rPr>
                <w:rFonts w:ascii="Arial" w:cs="Arial" w:eastAsia="Arial" w:hAnsi="Arial"/>
                <w:sz w:val="17"/>
                <w:szCs w:val="17"/>
              </w:rPr>
              <w:t xml:space="preserve">Refresh SVHC declarations per shipment.</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2027/2028</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Swiss MaschV revision (aligned with MR) and EU-CH MRA update</w:t>
            </w:r>
          </w:p>
        </w:tc>
        <w:tc>
          <w:tcPr>
            <w:tcW w:type="dxa" w:w="4627"/>
            <w:tcMar>
              <w:top w:type="dxa" w:w="50"/>
              <w:left w:type="dxa" w:w="80"/>
              <w:bottom w:type="dxa" w:w="50"/>
              <w:right w:type="dxa" w:w="80"/>
            </w:tcMar>
            <w:vAlign w:val="top"/>
          </w:tcPr>
          <w:p>
            <w:pPr>
              <w:spacing w:after="30"/>
            </w:pPr>
            <w:r>
              <w:rPr>
                <w:rFonts w:ascii="Arial" w:cs="Arial" w:eastAsia="Arial" w:hAnsi="Arial"/>
                <w:sz w:val="17"/>
                <w:szCs w:val="17"/>
              </w:rPr>
              <w:t xml:space="preserve">MRA update conditional on EU-CH package ratification; confirm CH documentation for lots after 20/01/2027.</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Ongoing</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AfPS GS specifications (PAH) and GS body test-programme updates</w:t>
            </w:r>
          </w:p>
        </w:tc>
        <w:tc>
          <w:tcPr>
            <w:tcW w:type="dxa" w:w="4627"/>
            <w:tcMar>
              <w:top w:type="dxa" w:w="50"/>
              <w:left w:type="dxa" w:w="80"/>
              <w:bottom w:type="dxa" w:w="50"/>
              <w:right w:type="dxa" w:w="80"/>
            </w:tcMar>
            <w:vAlign w:val="top"/>
          </w:tcPr>
          <w:p>
            <w:pPr>
              <w:spacing w:after="30"/>
            </w:pPr>
            <w:r>
              <w:rPr>
                <w:rFonts w:ascii="Arial" w:cs="Arial" w:eastAsia="Arial" w:hAnsi="Arial"/>
                <w:sz w:val="17"/>
                <w:szCs w:val="17"/>
              </w:rPr>
              <w:t xml:space="preserve">GS certificates re-assessed against current specifications at renewal or change; monitor AfPS publications.</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In force</w:t>
            </w:r>
          </w:p>
        </w:tc>
        <w:tc>
          <w:tcPr>
            <w:tcW w:type="dxa" w:w="3469"/>
            <w:tcMar>
              <w:top w:type="dxa" w:w="50"/>
              <w:left w:type="dxa" w:w="80"/>
              <w:bottom w:type="dxa" w:w="50"/>
              <w:right w:type="dxa" w:w="80"/>
            </w:tcMar>
            <w:vAlign w:val="top"/>
          </w:tcPr>
          <w:p>
            <w:pPr>
              <w:spacing w:after="30"/>
            </w:pPr>
            <w:r>
              <w:rPr>
                <w:rFonts w:ascii="Arial" w:cs="Arial" w:eastAsia="Arial" w:hAnsi="Arial"/>
                <w:sz w:val="17"/>
                <w:szCs w:val="17"/>
              </w:rPr>
              <w:t xml:space="preserve">GPSR (EU) 2023/988 (since 13/12/2024)</w:t>
            </w:r>
          </w:p>
        </w:tc>
        <w:tc>
          <w:tcPr>
            <w:tcW w:type="dxa" w:w="4627"/>
            <w:tcMar>
              <w:top w:type="dxa" w:w="50"/>
              <w:left w:type="dxa" w:w="80"/>
              <w:bottom w:type="dxa" w:w="50"/>
              <w:right w:type="dxa" w:w="80"/>
            </w:tcMar>
            <w:vAlign w:val="top"/>
          </w:tcPr>
          <w:p>
            <w:pPr>
              <w:spacing w:after="30"/>
            </w:pPr>
            <w:r>
              <w:rPr>
                <w:rFonts w:ascii="Arial" w:cs="Arial" w:eastAsia="Arial" w:hAnsi="Arial"/>
                <w:sz w:val="17"/>
                <w:szCs w:val="17"/>
              </w:rPr>
              <w:t xml:space="preserve">Accident notification via Safety Business Gateway; online listing information.</w:t>
            </w:r>
          </w:p>
        </w:tc>
      </w:tr>
    </w:tbl>
    <w:p>
      <w:pPr>
        <w:spacing w:after="80"/>
      </w:pPr>
    </w:p>
    <w:p>
      <w:pPr>
        <w:pStyle w:val="Heading1"/>
        <w:spacing w:after="160" w:before="240"/>
      </w:pPr>
      <w:r>
        <w:rPr>
          <w:rFonts w:ascii="Arial" w:cs="Arial" w:eastAsia="Arial" w:hAnsi="Arial"/>
          <w:b/>
          <w:bCs/>
          <w:color w:val="1F3864"/>
          <w:sz w:val="28"/>
          <w:szCs w:val="28"/>
        </w:rPr>
        <w:t xml:space="preserve">14. Companion Skills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855"/>
        <w:gridCol w:w="4820"/>
      </w:tblGrid>
      <w:tr>
        <w:trPr>
          <w:tblHeader/>
        </w:trPr>
        <w:tc>
          <w:tcPr>
            <w:tcW w:type="dxa" w:w="96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Link</w:t>
            </w:r>
          </w:p>
        </w:tc>
        <w:tc>
          <w:tcPr>
            <w:tcW w:type="dxa" w:w="385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Deliverable</w:t>
            </w:r>
          </w:p>
        </w:tc>
        <w:tc>
          <w:tcPr>
            <w:tcW w:type="dxa" w:w="4820"/>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Companion skill</w:t>
            </w:r>
          </w:p>
        </w:tc>
      </w:tr>
      <w:tr>
        <w:trPr>
          <w:tblHeader w:val="false"/>
        </w:trPr>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1–2</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QCP Storage/Moving; hEN confirmation</w:t>
            </w:r>
          </w:p>
        </w:tc>
        <w:tc>
          <w:tcPr>
            <w:tcW w:type="dxa" w:w="4820"/>
            <w:tcMar>
              <w:top w:type="dxa" w:w="50"/>
              <w:left w:type="dxa" w:w="80"/>
              <w:bottom w:type="dxa" w:w="50"/>
              <w:right w:type="dxa" w:w="80"/>
            </w:tcMar>
            <w:vAlign w:val="top"/>
          </w:tcPr>
          <w:p>
            <w:pPr>
              <w:spacing w:after="30"/>
            </w:pPr>
            <w:r>
              <w:rPr>
                <w:rFonts w:ascii="Arial" w:cs="Arial" w:eastAsia="Arial" w:hAnsi="Arial"/>
                <w:sz w:val="17"/>
                <w:szCs w:val="17"/>
              </w:rPr>
              <w:t xml:space="preserve">quality-compliance-pathway · harmonised-standard-lookup</w:t>
            </w:r>
          </w:p>
        </w:tc>
      </w:tr>
      <w:tr>
        <w:trPr>
          <w:tblHeader w:val="false"/>
        </w:trPr>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Machinery risk assessment / DFMEA; test matrix</w:t>
            </w:r>
          </w:p>
        </w:tc>
        <w:tc>
          <w:tcPr>
            <w:tcW w:type="dxa" w:w="4820"/>
            <w:tcMar>
              <w:top w:type="dxa" w:w="50"/>
              <w:left w:type="dxa" w:w="80"/>
              <w:bottom w:type="dxa" w:w="50"/>
              <w:right w:type="dxa" w:w="80"/>
            </w:tcMar>
            <w:vAlign w:val="top"/>
          </w:tcPr>
          <w:p>
            <w:pPr>
              <w:spacing w:after="30"/>
            </w:pPr>
            <w:r>
              <w:rPr>
                <w:rFonts w:ascii="Arial" w:cs="Arial" w:eastAsia="Arial" w:hAnsi="Arial"/>
                <w:sz w:val="17"/>
                <w:szCs w:val="17"/>
              </w:rPr>
              <w:t xml:space="preserve">machinery-risk-assessment · fmea-generator · essential-characteristics-testing</w:t>
            </w:r>
          </w:p>
        </w:tc>
      </w:tr>
      <w:tr>
        <w:trPr>
          <w:tblHeader w:val="false"/>
        </w:trPr>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4–6</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Technical file</w:t>
            </w:r>
          </w:p>
        </w:tc>
        <w:tc>
          <w:tcPr>
            <w:tcW w:type="dxa" w:w="4820"/>
            <w:tcMar>
              <w:top w:type="dxa" w:w="50"/>
              <w:left w:type="dxa" w:w="80"/>
              <w:bottom w:type="dxa" w:w="50"/>
              <w:right w:type="dxa" w:w="80"/>
            </w:tcMar>
            <w:vAlign w:val="top"/>
          </w:tcPr>
          <w:p>
            <w:pPr>
              <w:spacing w:after="30"/>
            </w:pPr>
            <w:r>
              <w:rPr>
                <w:rFonts w:ascii="Arial" w:cs="Arial" w:eastAsia="Arial" w:hAnsi="Arial"/>
                <w:sz w:val="17"/>
                <w:szCs w:val="17"/>
              </w:rPr>
              <w:t xml:space="preserve">technical-construction-file</w:t>
            </w:r>
          </w:p>
        </w:tc>
      </w:tr>
      <w:tr>
        <w:trPr>
          <w:tblHeader w:val="false"/>
        </w:trPr>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FPC; supplier audit; QC pack</w:t>
            </w:r>
          </w:p>
        </w:tc>
        <w:tc>
          <w:tcPr>
            <w:tcW w:type="dxa" w:w="4820"/>
            <w:tcMar>
              <w:top w:type="dxa" w:w="50"/>
              <w:left w:type="dxa" w:w="80"/>
              <w:bottom w:type="dxa" w:w="50"/>
              <w:right w:type="dxa" w:w="80"/>
            </w:tcMar>
            <w:vAlign w:val="top"/>
          </w:tcPr>
          <w:p>
            <w:pPr>
              <w:spacing w:after="30"/>
            </w:pPr>
            <w:r>
              <w:rPr>
                <w:rFonts w:ascii="Arial" w:cs="Arial" w:eastAsia="Arial" w:hAnsi="Arial"/>
                <w:sz w:val="17"/>
                <w:szCs w:val="17"/>
              </w:rPr>
              <w:t xml:space="preserve">factory-production-control · supplier-production-line-audit · qc-pack-excel-generator</w:t>
            </w:r>
          </w:p>
        </w:tc>
      </w:tr>
      <w:tr>
        <w:trPr>
          <w:tblHeader w:val="false"/>
        </w:trPr>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QSD; DoC</w:t>
            </w:r>
          </w:p>
        </w:tc>
        <w:tc>
          <w:tcPr>
            <w:tcW w:type="dxa" w:w="4820"/>
            <w:tcMar>
              <w:top w:type="dxa" w:w="50"/>
              <w:left w:type="dxa" w:w="80"/>
              <w:bottom w:type="dxa" w:w="50"/>
              <w:right w:type="dxa" w:w="80"/>
            </w:tcMar>
            <w:vAlign w:val="top"/>
          </w:tcPr>
          <w:p>
            <w:pPr>
              <w:spacing w:after="30"/>
            </w:pPr>
            <w:r>
              <w:rPr>
                <w:rFonts w:ascii="Arial" w:cs="Arial" w:eastAsia="Arial" w:hAnsi="Arial"/>
                <w:sz w:val="17"/>
                <w:szCs w:val="17"/>
              </w:rPr>
              <w:t xml:space="preserve">qsd-generator · ce-marking-doc-dop</w:t>
            </w:r>
          </w:p>
        </w:tc>
      </w:tr>
      <w:tr>
        <w:trPr>
          <w:tblHeader w:val="false"/>
        </w:trPr>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Artwork/data plate; instructions; packaging</w:t>
            </w:r>
          </w:p>
        </w:tc>
        <w:tc>
          <w:tcPr>
            <w:tcW w:type="dxa" w:w="4820"/>
            <w:tcMar>
              <w:top w:type="dxa" w:w="50"/>
              <w:left w:type="dxa" w:w="80"/>
              <w:bottom w:type="dxa" w:w="50"/>
              <w:right w:type="dxa" w:w="80"/>
            </w:tcMar>
            <w:vAlign w:val="top"/>
          </w:tcPr>
          <w:p>
            <w:pPr>
              <w:spacing w:after="30"/>
            </w:pPr>
            <w:r>
              <w:rPr>
                <w:rFonts w:ascii="Arial" w:cs="Arial" w:eastAsia="Arial" w:hAnsi="Arial"/>
                <w:sz w:val="17"/>
                <w:szCs w:val="17"/>
              </w:rPr>
              <w:t xml:space="preserve">artwork-packaging-compliance-master · assembly-instruction-assessment · export-packaging-compliance · ppwr-doc-generator</w:t>
            </w:r>
          </w:p>
        </w:tc>
      </w:tr>
      <w:tr>
        <w:trPr>
          <w:tblHeader w:val="false"/>
        </w:trPr>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FRI validation; SRC</w:t>
            </w:r>
          </w:p>
        </w:tc>
        <w:tc>
          <w:tcPr>
            <w:tcW w:type="dxa" w:w="4820"/>
            <w:tcMar>
              <w:top w:type="dxa" w:w="50"/>
              <w:left w:type="dxa" w:w="80"/>
              <w:bottom w:type="dxa" w:w="50"/>
              <w:right w:type="dxa" w:w="80"/>
            </w:tcMar>
            <w:vAlign w:val="top"/>
          </w:tcPr>
          <w:p>
            <w:pPr>
              <w:spacing w:after="30"/>
            </w:pPr>
            <w:r>
              <w:rPr>
                <w:rFonts w:ascii="Arial" w:cs="Arial" w:eastAsia="Arial" w:hAnsi="Arial"/>
                <w:sz w:val="17"/>
                <w:szCs w:val="17"/>
              </w:rPr>
              <w:t xml:space="preserve">fri-validation · qc-pack-excel-generator</w:t>
            </w:r>
          </w:p>
        </w:tc>
      </w:tr>
      <w:tr>
        <w:trPr>
          <w:tblHeader w:val="false"/>
        </w:trPr>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10</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GS document request to factory; GS test scope</w:t>
            </w:r>
          </w:p>
        </w:tc>
        <w:tc>
          <w:tcPr>
            <w:tcW w:type="dxa" w:w="4820"/>
            <w:tcMar>
              <w:top w:type="dxa" w:w="50"/>
              <w:left w:type="dxa" w:w="80"/>
              <w:bottom w:type="dxa" w:w="50"/>
              <w:right w:type="dxa" w:w="80"/>
            </w:tcMar>
            <w:vAlign w:val="top"/>
          </w:tcPr>
          <w:p>
            <w:pPr>
              <w:spacing w:after="30"/>
            </w:pPr>
            <w:r>
              <w:rPr>
                <w:rFonts w:ascii="Arial" w:cs="Arial" w:eastAsia="Arial" w:hAnsi="Arial"/>
                <w:sz w:val="17"/>
                <w:szCs w:val="17"/>
              </w:rPr>
              <w:t xml:space="preserve">factory-doc-request · third-party-compliance-assessment · essential-characteristics-testing</w:t>
            </w:r>
          </w:p>
        </w:tc>
      </w:tr>
    </w:tbl>
    <w:p>
      <w:pPr>
        <w:spacing w:after="80"/>
      </w:pPr>
    </w:p>
    <w:p>
      <w:pPr>
        <w:pStyle w:val="Heading1"/>
        <w:spacing w:after="160" w:before="240"/>
      </w:pPr>
      <w:r>
        <w:rPr>
          <w:rFonts w:ascii="Arial" w:cs="Arial" w:eastAsia="Arial" w:hAnsi="Arial"/>
          <w:b/>
          <w:bCs/>
          <w:color w:val="1F3864"/>
          <w:sz w:val="28"/>
          <w:szCs w:val="28"/>
        </w:rPr>
        <w:t xml:space="preserve">15. Change Log versus Source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
        <w:gridCol w:w="2891"/>
        <w:gridCol w:w="2698"/>
        <w:gridCol w:w="3664"/>
      </w:tblGrid>
      <w:tr>
        <w:trPr>
          <w:tblHeader/>
        </w:trPr>
        <w:tc>
          <w:tcPr>
            <w:tcW w:type="dxa" w:w="38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w:t>
            </w:r>
          </w:p>
        </w:tc>
        <w:tc>
          <w:tcPr>
            <w:tcW w:type="dxa" w:w="289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Source item</w:t>
            </w:r>
          </w:p>
        </w:tc>
        <w:tc>
          <w:tcPr>
            <w:tcW w:type="dxa" w:w="269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Finding</w:t>
            </w:r>
          </w:p>
        </w:tc>
        <w:tc>
          <w:tcPr>
            <w:tcW w:type="dxa" w:w="366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Correction applied</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General Product Safety Directive 2001/95/EC</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Repealed 13/12/2024</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Replaced by GPSR (EU) 2023/988 (complementary to MD/MR).</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Packaging Directive 94/62/EC, heavy metals ≤ 100 mg/kg</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Replaced by PPWR (EU) 2025/40 from 12/08/2026</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PPWR Art. 5(4) limit retained; EPR and packaging data added.</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Machinery Directive 2006/42/EC only</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MR applies 20/01/2027</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Dual MD/MR references; switch-over rule by EU placing-on-market date.</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EN ISO 3691-5 / EN 16307-5 without edition</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Edition and amendment missing; EN 16307-5:2013 withdrawn 29/12/2023</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EN ISO 3691-5:2015+AC:2016+A1:2020 and EN 16307-5:2023 cited (v1.2).</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Static test 1.5 × Q only</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Dynamic test missing (MD 4.1.2.3)</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Dynamic test 1.1 × Q added.</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Pressure relief valve — text only</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No test method</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Overload attempt at 1.15–1.20 × Q added; sealing check.</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No load holding / lowering control test</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Gap</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Drift and controlled-lowering test added.</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No crushing / shearing point check</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MD 1.3.7 gap</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EN ISO 13854 gap check added.</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9</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Artwork check generic</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Data plate / rated load / importer not listed</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Mandatory marking elements with Critical classification added.</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10</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No sampling plan</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Gap</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ISO 2859-1 GI-II, Cr 0 / Ma 2.5 / Mi 4.0; S-3 for functional tests.</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11</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Defect table lacks functional defects</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Gap</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Oil leak, drift, lifting failure, missing CE/data plate, wrong-language manual added (Annex B).</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12</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Measurement letters (D/d, H, h, e, s, l, c, W, L, HH) undefined</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Ambiguous</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Parameter legend aligned with VDI 2198 type sheet (Annex C).</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13</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Coating adhesion method</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No standard cited</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ISO 2409 cross-cut reference; 15 % = class 2.</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14</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“CE certification” wording</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Misleading — no NB certificate under Module A</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Replaced by “DoC + accredited test report”.</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15</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GS mark referenced only as Ally option</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No obtaining process defined</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Section 10 added: GS eligibility, step-by-step process, documents, surveillance, change management, marking, RACI.</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16</w:t>
            </w:r>
          </w:p>
        </w:tc>
        <w:tc>
          <w:tcPr>
            <w:tcW w:type="dxa" w:w="2891"/>
            <w:tcMar>
              <w:top w:type="dxa" w:w="50"/>
              <w:left w:type="dxa" w:w="80"/>
              <w:bottom w:type="dxa" w:w="50"/>
              <w:right w:type="dxa" w:w="80"/>
            </w:tcMar>
            <w:vAlign w:val="top"/>
          </w:tcPr>
          <w:p>
            <w:pPr>
              <w:spacing w:after="30"/>
            </w:pPr>
            <w:r>
              <w:rPr>
                <w:rFonts w:ascii="Arial" w:cs="Arial" w:eastAsia="Arial" w:hAnsi="Arial"/>
                <w:sz w:val="17"/>
                <w:szCs w:val="17"/>
              </w:rPr>
              <w:t xml:space="preserve">No visual process overview</w:t>
            </w:r>
          </w:p>
        </w:tc>
        <w:tc>
          <w:tcPr>
            <w:tcW w:type="dxa" w:w="2698"/>
            <w:tcMar>
              <w:top w:type="dxa" w:w="50"/>
              <w:left w:type="dxa" w:w="80"/>
              <w:bottom w:type="dxa" w:w="50"/>
              <w:right w:type="dxa" w:w="80"/>
            </w:tcMar>
            <w:vAlign w:val="top"/>
          </w:tcPr>
          <w:p>
            <w:pPr>
              <w:spacing w:after="30"/>
            </w:pPr>
            <w:r>
              <w:rPr>
                <w:rFonts w:ascii="Arial" w:cs="Arial" w:eastAsia="Arial" w:hAnsi="Arial"/>
                <w:sz w:val="17"/>
                <w:szCs w:val="17"/>
              </w:rPr>
              <w:t xml:space="preserve">Gap</w:t>
            </w:r>
          </w:p>
        </w:tc>
        <w:tc>
          <w:tcPr>
            <w:tcW w:type="dxa" w:w="3664"/>
            <w:tcMar>
              <w:top w:type="dxa" w:w="50"/>
              <w:left w:type="dxa" w:w="80"/>
              <w:bottom w:type="dxa" w:w="50"/>
              <w:right w:type="dxa" w:w="80"/>
            </w:tcMar>
            <w:vAlign w:val="top"/>
          </w:tcPr>
          <w:p>
            <w:pPr>
              <w:spacing w:after="30"/>
            </w:pPr>
            <w:r>
              <w:rPr>
                <w:rFonts w:ascii="Arial" w:cs="Arial" w:eastAsia="Arial" w:hAnsi="Arial"/>
                <w:sz w:val="17"/>
                <w:szCs w:val="17"/>
              </w:rPr>
              <w:t xml:space="preserve">Flowcharts added: Fig. 1 compliance chain (1.1), Fig. 2 inspection &amp; release (6.4), Fig. 3 GS process (10.3.1) — v1.3.</w:t>
            </w:r>
          </w:p>
        </w:tc>
      </w:tr>
    </w:tbl>
    <w:p>
      <w:pPr>
        <w:spacing w:after="80"/>
      </w:pPr>
    </w:p>
    <w:p>
      <w:r>
        <w:br w:type="page"/>
      </w:r>
    </w:p>
    <w:p>
      <w:pPr>
        <w:pStyle w:val="Heading1"/>
        <w:spacing w:after="160" w:before="240"/>
      </w:pPr>
      <w:r>
        <w:rPr>
          <w:rFonts w:ascii="Arial" w:cs="Arial" w:eastAsia="Arial" w:hAnsi="Arial"/>
          <w:b/>
          <w:bCs/>
          <w:color w:val="1F3864"/>
          <w:sz w:val="28"/>
          <w:szCs w:val="28"/>
        </w:rPr>
        <w:t xml:space="preserve">Annex A — Sample Validation / Inspection Checklist (updated)</w:t>
      </w:r>
    </w:p>
    <w:p>
      <w:pPr>
        <w:pStyle w:val="Heading2"/>
        <w:spacing w:after="120" w:before="200"/>
      </w:pPr>
      <w:r>
        <w:rPr>
          <w:rFonts w:ascii="Arial" w:cs="Arial" w:eastAsia="Arial" w:hAnsi="Arial"/>
          <w:b/>
          <w:bCs/>
          <w:color w:val="1F3864"/>
          <w:sz w:val="24"/>
          <w:szCs w:val="24"/>
        </w:rPr>
        <w:t xml:space="preserve">A.1 General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Inspection type</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 Sample validation  ☐ DPI  ☐ FRI     Re-inspection: ☐ No ☐ Yes</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Reference</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Packaging guideline for hardline; Offer; MCG-DIY-HT-PT-001</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Ally / Supplier / Factory</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[___] / [___] / [___]</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Inspection location / date</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[___] / dd/mm/yyyy</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Legal act applied</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 MD 2006/42/EC (EU arrival ≤ 19/01/2027)  ☐ MR (EU) 2023/1230 (≥ 20/01/2027)</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Documents / QC pack</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Inspection checklist · PO/PI · Offer sheet · Shipping mark · Artwork (data plate, labels, warnings) · Instructions (all languages) · DoC · Test report · SVHC declaration · Golden sample record</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Product</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Ally ref [___] · Supplier ref [___] · Capacity Q [___] kg · Load centre c [___] mm · Fork length [___] mm · Qty [___]</w:t>
            </w:r>
          </w:p>
        </w:tc>
      </w:tr>
      <w:tr>
        <w:trPr>
          <w:tblHeader w:val="false"/>
        </w:trPr>
        <w:tc>
          <w:tcPr>
            <w:tcW w:type="dxa" w:w="2891"/>
            <w:shd w:fill="F2F2F2"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Inspector / Reviewer</w:t>
            </w:r>
          </w:p>
        </w:tc>
        <w:tc>
          <w:tcPr>
            <w:tcW w:type="dxa" w:w="6747"/>
            <w:tcMar>
              <w:top w:type="dxa" w:w="50"/>
              <w:left w:type="dxa" w:w="80"/>
              <w:bottom w:type="dxa" w:w="50"/>
              <w:right w:type="dxa" w:w="80"/>
            </w:tcMar>
            <w:vAlign w:val="top"/>
          </w:tcPr>
          <w:p>
            <w:pPr>
              <w:spacing w:after="30"/>
            </w:pPr>
            <w:r>
              <w:rPr>
                <w:rFonts w:ascii="Arial" w:cs="Arial" w:eastAsia="Arial" w:hAnsi="Arial"/>
                <w:sz w:val="17"/>
                <w:szCs w:val="17"/>
              </w:rPr>
              <w:t xml:space="preserve">[___] / [___]</w:t>
            </w:r>
          </w:p>
        </w:tc>
      </w:tr>
    </w:tbl>
    <w:p>
      <w:pPr>
        <w:spacing w:after="80"/>
      </w:pPr>
    </w:p>
    <w:p>
      <w:pPr>
        <w:pStyle w:val="Heading2"/>
        <w:spacing w:after="120" w:before="200"/>
      </w:pPr>
      <w:r>
        <w:rPr>
          <w:rFonts w:ascii="Arial" w:cs="Arial" w:eastAsia="Arial" w:hAnsi="Arial"/>
          <w:b/>
          <w:bCs/>
          <w:color w:val="1F3864"/>
          <w:sz w:val="24"/>
          <w:szCs w:val="24"/>
        </w:rPr>
        <w:t xml:space="preserve">A.2 Assessment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855"/>
        <w:gridCol w:w="2505"/>
        <w:gridCol w:w="1736"/>
      </w:tblGrid>
      <w:tr>
        <w:trPr>
          <w:tblHeader/>
        </w:trPr>
        <w:tc>
          <w:tcPr>
            <w:tcW w:type="dxa" w:w="154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Criteria</w:t>
            </w:r>
          </w:p>
        </w:tc>
        <w:tc>
          <w:tcPr>
            <w:tcW w:type="dxa" w:w="385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Requirement</w:t>
            </w:r>
          </w:p>
        </w:tc>
        <w:tc>
          <w:tcPr>
            <w:tcW w:type="dxa" w:w="250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Evidence</w:t>
            </w:r>
          </w:p>
        </w:tc>
        <w:tc>
          <w:tcPr>
            <w:tcW w:type="dxa" w:w="1736"/>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Assessment</w:t>
            </w: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Factory QMS</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QMS audit A/B (or ISO 9001); FPC audit</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Audit report / certificate</w:t>
            </w:r>
          </w:p>
        </w:tc>
        <w:tc>
          <w:tcPr>
            <w:tcW w:type="dxa" w:w="1736"/>
            <w:tcMar>
              <w:top w:type="dxa" w:w="50"/>
              <w:left w:type="dxa" w:w="80"/>
              <w:bottom w:type="dxa" w:w="50"/>
              <w:right w:type="dxa" w:w="80"/>
            </w:tcMar>
            <w:vAlign w:val="top"/>
          </w:tcPr>
          <w:p>
            <w:pPr>
              <w:spacing w:after="30"/>
            </w:pP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Factory CSR</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BSCI A/B/C (or SA8000); ISO 14001 if applicable</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Audit report / certificate</w:t>
            </w:r>
          </w:p>
        </w:tc>
        <w:tc>
          <w:tcPr>
            <w:tcW w:type="dxa" w:w="1736"/>
            <w:tcMar>
              <w:top w:type="dxa" w:w="50"/>
              <w:left w:type="dxa" w:w="80"/>
              <w:bottom w:type="dxa" w:w="50"/>
              <w:right w:type="dxa" w:w="80"/>
            </w:tcMar>
            <w:vAlign w:val="top"/>
          </w:tcPr>
          <w:p>
            <w:pPr>
              <w:spacing w:after="30"/>
            </w:pP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EU Regulation</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REACH (EC) 1907/2006 Art. 33, Annex XVII 50/51; POPs (EU) 2019/1021</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SVHC declaration + chemical test report</w:t>
            </w:r>
          </w:p>
        </w:tc>
        <w:tc>
          <w:tcPr>
            <w:tcW w:type="dxa" w:w="1736"/>
            <w:tcMar>
              <w:top w:type="dxa" w:w="50"/>
              <w:left w:type="dxa" w:w="80"/>
              <w:bottom w:type="dxa" w:w="50"/>
              <w:right w:type="dxa" w:w="80"/>
            </w:tcMar>
            <w:vAlign w:val="top"/>
          </w:tcPr>
          <w:p>
            <w:pPr>
              <w:spacing w:after="30"/>
            </w:pP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Machinery</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MD 2006/42/EC → MR (EU) 2023/1230</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Signed DoC; technical file index</w:t>
            </w:r>
          </w:p>
        </w:tc>
        <w:tc>
          <w:tcPr>
            <w:tcW w:type="dxa" w:w="1736"/>
            <w:tcMar>
              <w:top w:type="dxa" w:w="50"/>
              <w:left w:type="dxa" w:w="80"/>
              <w:bottom w:type="dxa" w:w="50"/>
              <w:right w:type="dxa" w:w="80"/>
            </w:tcMar>
            <w:vAlign w:val="top"/>
          </w:tcPr>
          <w:p>
            <w:pPr>
              <w:spacing w:after="30"/>
            </w:pP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Product safety</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GPSR (EU) 2023/988 (complementary); Reg. (EU) 2019/1020 Art. 4</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EU operator identification</w:t>
            </w:r>
          </w:p>
        </w:tc>
        <w:tc>
          <w:tcPr>
            <w:tcW w:type="dxa" w:w="1736"/>
            <w:tcMar>
              <w:top w:type="dxa" w:w="50"/>
              <w:left w:type="dxa" w:w="80"/>
              <w:bottom w:type="dxa" w:w="50"/>
              <w:right w:type="dxa" w:w="80"/>
            </w:tcMar>
            <w:vAlign w:val="top"/>
          </w:tcPr>
          <w:p>
            <w:pPr>
              <w:spacing w:after="30"/>
            </w:pP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Packaging</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PPWR (EU) 2025/40 (Pb+Cd+Hg+Cr(VI) ≤ 100 mg/kg); FR Law 2020-105 Art. 112 (mineral oils)</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Packaging test / declaration</w:t>
            </w:r>
          </w:p>
        </w:tc>
        <w:tc>
          <w:tcPr>
            <w:tcW w:type="dxa" w:w="1736"/>
            <w:tcMar>
              <w:top w:type="dxa" w:w="50"/>
              <w:left w:type="dxa" w:w="80"/>
              <w:bottom w:type="dxa" w:w="50"/>
              <w:right w:type="dxa" w:w="80"/>
            </w:tcMar>
            <w:vAlign w:val="top"/>
          </w:tcPr>
          <w:p>
            <w:pPr>
              <w:spacing w:after="30"/>
            </w:pPr>
          </w:p>
        </w:tc>
      </w:tr>
      <w:tr>
        <w:trPr>
          <w:tblHeader w:val="false"/>
        </w:trPr>
        <w:tc>
          <w:tcPr>
            <w:tcW w:type="dxa" w:w="1542"/>
            <w:tcMar>
              <w:top w:type="dxa" w:w="50"/>
              <w:left w:type="dxa" w:w="80"/>
              <w:bottom w:type="dxa" w:w="50"/>
              <w:right w:type="dxa" w:w="80"/>
            </w:tcMar>
            <w:vAlign w:val="top"/>
          </w:tcPr>
          <w:p>
            <w:pPr>
              <w:spacing w:after="30"/>
            </w:pPr>
            <w:r>
              <w:rPr>
                <w:rFonts w:ascii="Arial" w:cs="Arial" w:eastAsia="Arial" w:hAnsi="Arial"/>
                <w:sz w:val="17"/>
                <w:szCs w:val="17"/>
              </w:rPr>
              <w:t xml:space="preserve">Harmonised standards</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EN ISO 3691-5:2015+AC:2016+A1:2020; EN 16307-5:2023; EN ISO 12100:2010</w:t>
            </w:r>
          </w:p>
        </w:tc>
        <w:tc>
          <w:tcPr>
            <w:tcW w:type="dxa" w:w="2505"/>
            <w:tcMar>
              <w:top w:type="dxa" w:w="50"/>
              <w:left w:type="dxa" w:w="80"/>
              <w:bottom w:type="dxa" w:w="50"/>
              <w:right w:type="dxa" w:w="80"/>
            </w:tcMar>
            <w:vAlign w:val="top"/>
          </w:tcPr>
          <w:p>
            <w:pPr>
              <w:spacing w:after="30"/>
            </w:pPr>
            <w:r>
              <w:rPr>
                <w:rFonts w:ascii="Arial" w:cs="Arial" w:eastAsia="Arial" w:hAnsi="Arial"/>
                <w:sz w:val="17"/>
                <w:szCs w:val="17"/>
              </w:rPr>
              <w:t xml:space="preserve">Accredited test report</w:t>
            </w:r>
          </w:p>
        </w:tc>
        <w:tc>
          <w:tcPr>
            <w:tcW w:type="dxa" w:w="1736"/>
            <w:tcMar>
              <w:top w:type="dxa" w:w="50"/>
              <w:left w:type="dxa" w:w="80"/>
              <w:bottom w:type="dxa" w:w="50"/>
              <w:right w:type="dxa" w:w="80"/>
            </w:tcMar>
            <w:vAlign w:val="top"/>
          </w:tcPr>
          <w:p>
            <w:pPr>
              <w:spacing w:after="30"/>
            </w:pPr>
          </w:p>
        </w:tc>
      </w:tr>
    </w:tbl>
    <w:p>
      <w:pPr>
        <w:spacing w:after="80"/>
      </w:pPr>
    </w:p>
    <w:p>
      <w:pPr>
        <w:pStyle w:val="Heading2"/>
        <w:spacing w:after="120" w:before="200"/>
      </w:pPr>
      <w:r>
        <w:rPr>
          <w:rFonts w:ascii="Arial" w:cs="Arial" w:eastAsia="Arial" w:hAnsi="Arial"/>
          <w:b/>
          <w:bCs/>
          <w:color w:val="1F3864"/>
          <w:sz w:val="24"/>
          <w:szCs w:val="24"/>
        </w:rPr>
        <w:t xml:space="preserve">A.3 Defect definitions and sampling</w:t>
      </w:r>
    </w:p>
    <w:p>
      <w:pPr>
        <w:pStyle w:val="ListParagraph"/>
        <w:numPr>
          <w:ilvl w:val="0"/>
          <w:numId w:val="2"/>
        </w:numPr>
        <w:spacing w:after="60"/>
      </w:pPr>
      <w:r>
        <w:rPr>
          <w:rFonts w:ascii="Arial" w:cs="Arial" w:eastAsia="Arial" w:hAnsi="Arial"/>
          <w:b/>
          <w:bCs/>
          <w:sz w:val="20"/>
          <w:szCs w:val="20"/>
        </w:rPr>
        <w:t xml:space="preserve">Critical (Cr):</w:t>
      </w:r>
      <w:r>
        <w:rPr>
          <w:rFonts w:ascii="Arial" w:cs="Arial" w:eastAsia="Arial" w:hAnsi="Arial"/>
          <w:sz w:val="20"/>
          <w:szCs w:val="20"/>
        </w:rPr>
        <w:t xml:space="preserve"> likely to result in a hazardous or unsafe condition, or non-compliance with a mandatory regulation.</w:t>
      </w:r>
    </w:p>
    <w:p>
      <w:pPr>
        <w:pStyle w:val="ListParagraph"/>
        <w:numPr>
          <w:ilvl w:val="0"/>
          <w:numId w:val="2"/>
        </w:numPr>
        <w:spacing w:after="60"/>
      </w:pPr>
      <w:r>
        <w:rPr>
          <w:rFonts w:ascii="Arial" w:cs="Arial" w:eastAsia="Arial" w:hAnsi="Arial"/>
          <w:b/>
          <w:bCs/>
          <w:sz w:val="20"/>
          <w:szCs w:val="20"/>
        </w:rPr>
        <w:t xml:space="preserve">Major (Ma):</w:t>
      </w:r>
      <w:r>
        <w:rPr>
          <w:rFonts w:ascii="Arial" w:cs="Arial" w:eastAsia="Arial" w:hAnsi="Arial"/>
          <w:sz w:val="20"/>
          <w:szCs w:val="20"/>
        </w:rPr>
        <w:t xml:space="preserve"> likely to result in product failure or customer return; reduces usability or saleability.</w:t>
      </w:r>
    </w:p>
    <w:p>
      <w:pPr>
        <w:pStyle w:val="ListParagraph"/>
        <w:numPr>
          <w:ilvl w:val="0"/>
          <w:numId w:val="2"/>
        </w:numPr>
        <w:spacing w:after="60"/>
      </w:pPr>
      <w:r>
        <w:rPr>
          <w:rFonts w:ascii="Arial" w:cs="Arial" w:eastAsia="Arial" w:hAnsi="Arial"/>
          <w:b/>
          <w:bCs/>
          <w:sz w:val="20"/>
          <w:szCs w:val="20"/>
        </w:rPr>
        <w:t xml:space="preserve">Minor (Mi):</w:t>
      </w:r>
      <w:r>
        <w:rPr>
          <w:rFonts w:ascii="Arial" w:cs="Arial" w:eastAsia="Arial" w:hAnsi="Arial"/>
          <w:sz w:val="20"/>
          <w:szCs w:val="20"/>
        </w:rPr>
        <w:t xml:space="preserve"> does not reduce usability; noticed on careful examination; may reduce saleability.</w:t>
      </w:r>
    </w:p>
    <w:p>
      <w:pPr>
        <w:pStyle w:val="ListParagraph"/>
        <w:numPr>
          <w:ilvl w:val="0"/>
          <w:numId w:val="2"/>
        </w:numPr>
        <w:spacing w:after="60"/>
      </w:pPr>
      <w:r>
        <w:rPr>
          <w:rFonts w:ascii="Arial" w:cs="Arial" w:eastAsia="Arial" w:hAnsi="Arial"/>
          <w:sz w:val="20"/>
          <w:szCs w:val="20"/>
        </w:rPr>
        <w:t xml:space="preserve">Zone A = high visibility/touch in normal use; Zone B = partial; Zone C = none. Visual defect: Minor if visible at 30 cm, Major if visible at 100 cm.</w:t>
      </w:r>
    </w:p>
    <w:p>
      <w:pPr>
        <w:pStyle w:val="ListParagraph"/>
        <w:numPr>
          <w:ilvl w:val="0"/>
          <w:numId w:val="2"/>
        </w:numPr>
        <w:spacing w:after="60"/>
      </w:pPr>
      <w:r>
        <w:rPr>
          <w:rFonts w:ascii="Arial" w:cs="Arial" w:eastAsia="Arial" w:hAnsi="Arial"/>
          <w:sz w:val="20"/>
          <w:szCs w:val="20"/>
        </w:rPr>
        <w:t xml:space="preserve">FRI sampling: ISO 2859-1 / ANSI Z1.4, General Inspection Level II; AQL Cr 0 · Ma 2.5 · Mi 4.0. On-site functional tests (A.4 item 7): Special Level S-3, Ac 0. Static test: sample validation and DPI only (1 pc).</w:t>
      </w:r>
    </w:p>
    <w:p>
      <w:pPr>
        <w:pStyle w:val="Heading2"/>
        <w:spacing w:after="120" w:before="200"/>
      </w:pPr>
      <w:r>
        <w:rPr>
          <w:rFonts w:ascii="Arial" w:cs="Arial" w:eastAsia="Arial" w:hAnsi="Arial"/>
          <w:b/>
          <w:bCs/>
          <w:color w:val="1F3864"/>
          <w:sz w:val="24"/>
          <w:szCs w:val="24"/>
        </w:rPr>
        <w:t xml:space="preserve">A.4 Inspection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
        <w:gridCol w:w="1349"/>
        <w:gridCol w:w="4144"/>
        <w:gridCol w:w="1349"/>
        <w:gridCol w:w="963"/>
        <w:gridCol w:w="1159"/>
      </w:tblGrid>
      <w:tr>
        <w:trPr>
          <w:tblHeader/>
        </w:trPr>
        <w:tc>
          <w:tcPr>
            <w:tcW w:type="dxa" w:w="67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w:t>
            </w:r>
          </w:p>
        </w:tc>
        <w:tc>
          <w:tcPr>
            <w:tcW w:type="dxa" w:w="134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Criteria</w:t>
            </w:r>
          </w:p>
        </w:tc>
        <w:tc>
          <w:tcPr>
            <w:tcW w:type="dxa" w:w="414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Method / requirement</w:t>
            </w:r>
          </w:p>
        </w:tc>
        <w:tc>
          <w:tcPr>
            <w:tcW w:type="dxa" w:w="134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Ref.</w:t>
            </w:r>
          </w:p>
        </w:tc>
        <w:tc>
          <w:tcPr>
            <w:tcW w:type="dxa" w:w="96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Fail class</w:t>
            </w:r>
          </w:p>
        </w:tc>
        <w:tc>
          <w:tcPr>
            <w:tcW w:type="dxa" w:w="115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Result</w:t>
            </w: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Quantity</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DPI: ≥ 20 % produced. FRI: 100 % produced and ≥ 80 % packed.</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A.R.E.N.A.</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Packing</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Method and condition; no damage, mould, infestation or odour; parts, tools, accessories per packing list; materials (poly bag, carton layers/thickness). Wooden pallet HT + IPPC mark (MB not accepted).</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Packaging guideline; ISPM 15; PPWR</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Mi–Ma</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Artwork and marking</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Compare with approved artwork: shipping mark; data plate (Section 8.1 elements); CE; rated capacity; importer/EU operator; warnings; instructions in all languages; DoC; Triman (FR); GS mark (GS lots only) matches certificate — GS body logo, ID/certificate number, model; barcode clean, positioned and scanning correctly.</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MD/MR 1.7.3, 1.7.4, 4.3.3</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 / Ma</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Sample comparison</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Conforms to golden sample and test report: model, capacity, fork dimensions, materials, pump type, wheel material, colour.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Test report; QSD</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Ma</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Measurement</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Per PO/spec, package claims and Annex C; product tolerance table A.5; weight ± 5 %; packing dimensions and weight ± 5 %.</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Spec</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Pending / Ma</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Workmanship</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No scratch, flash, dent, crack, stain on visible surfaces; parts properly assembled; screws/nuts/rivets/pins/circlips secure; no missing or wrong accessories; no colour deviation; no sharp points/edges, rust; welds free of cracks, porosity, spatter; no hydraulic oil leakage.</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MD/MR 1.3.4</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Per Annex B</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7.1</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Assembly</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Assemble tiller step by step per instructions (pin, chain/rod adjustment). Difficult = Major; impossible or malfunction = Critical.</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MD/MR 1.7.4</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Ma / 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7.2</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Control system</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Lift by pumping tiller; neutral position holds; lower by hand lever (and foot pedal if fitted); controls identifiable and return correctly; parking brake locks (if fitted).</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MD/MR 1.2.1, 1.2.2</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7.3</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Edges and surfaces</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Tactile check of all accessible parts: no sharp edges, angles, rough surfaces.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MD/MR 1.3.4</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7.4</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Tiller</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Closed-loop handle or lateral hand protection; grip Ø within 25–35 mm (caliper); span ≥ 120 mm per hand.</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EN ISO 3691-5 Cl. 4.2.2</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7.5</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Functional verification (Q)</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With rated load at c: lift to max height h3; travel ≥ 10 m on level floor; steer full lock both sides; lower controlled, no jerk/free fall.</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EN ISO 3691-5 Cl. 5.2</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7.6</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Load holding</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Rated load raised to h3, hold 10 min [verify duration/limit per standard]; record drift; drift within limit.</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EN ISO 3691-5</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7.7</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Overload device</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Attempt lift at 1.15–1.20 × Q: lifting prevented (where fitted); valve sealed / tool required.</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EN ISO 3691-5 Cl. 4.4.3.3</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7.8</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Static test (SV/DPI only)</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1.5 × Q centred at c, forks raised, 10 min [verify]; measure fork-tip height before/after: no permanent deformation, crack or leak.</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MD/MR 4.1.2.3, 4.1.3</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7.9</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Dynamic test</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1.1 × Q: 3 full lift/lower cycles + travel and steering; all functions operate correctly.</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MD/MR 4.1.2.3, 4.1.3</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7.10</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Crushing / shearing points</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Gaps at tiller pivot, pump linkage, fork rollers, steer wheels: finger gap ≥ 25 mm or guarded; feet protection at steer wheels.</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MD/MR 1.3.7; EN ISO 13854</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Cr</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7.11</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Leak check</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After 7.5–7.9: no oil on pump, ram or floor.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FPC</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Ma (Cr if lowering affected)</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7.12</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Smell check</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At ≈ 10 cm: no abnormal odour.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A.R.E.N.A.</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Ma</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7.13</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Marking rub test</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15 s water-soaked cloth, then 15 s with alcohol or hexane: marking remains legible, not easily removable, no curling.</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IEC 60335-1 Cl. 7.14 method</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Ma</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7.14</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Coating adhesion</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Metal: 6 cuts, 2 mm spacing, cross-hatch, 3M 610/810 tape pressed 1 min, removed quickly: ≤ 15 % detached (ISO 2409 class ≤ 2). Non-metal: tape only, 0 % detached.</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ISO 2409</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Ma</w:t>
            </w:r>
          </w:p>
        </w:tc>
        <w:tc>
          <w:tcPr>
            <w:tcW w:type="dxa" w:w="1159"/>
            <w:tcMar>
              <w:top w:type="dxa" w:w="50"/>
              <w:left w:type="dxa" w:w="80"/>
              <w:bottom w:type="dxa" w:w="50"/>
              <w:right w:type="dxa" w:w="80"/>
            </w:tcMar>
            <w:vAlign w:val="top"/>
          </w:tcPr>
          <w:p>
            <w:pPr>
              <w:spacing w:after="30"/>
            </w:pPr>
          </w:p>
        </w:tc>
      </w:tr>
      <w:tr>
        <w:trPr>
          <w:tblHeader w:val="false"/>
        </w:trPr>
        <w:tc>
          <w:tcPr>
            <w:tcW w:type="dxa" w:w="674"/>
            <w:tcMar>
              <w:top w:type="dxa" w:w="50"/>
              <w:left w:type="dxa" w:w="80"/>
              <w:bottom w:type="dxa" w:w="50"/>
              <w:right w:type="dxa" w:w="80"/>
            </w:tcMar>
            <w:vAlign w:val="top"/>
          </w:tcPr>
          <w:p>
            <w:pPr>
              <w:spacing w:after="30"/>
            </w:pPr>
            <w:r>
              <w:rPr>
                <w:rFonts w:ascii="Arial" w:cs="Arial" w:eastAsia="Arial" w:hAnsi="Arial"/>
                <w:sz w:val="17"/>
                <w:szCs w:val="17"/>
              </w:rPr>
              <w:t xml:space="preserve">7.15</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Coating thickness</w:t>
            </w:r>
          </w:p>
        </w:tc>
        <w:tc>
          <w:tcPr>
            <w:tcW w:type="dxa" w:w="4144"/>
            <w:tcMar>
              <w:top w:type="dxa" w:w="50"/>
              <w:left w:type="dxa" w:w="80"/>
              <w:bottom w:type="dxa" w:w="50"/>
              <w:right w:type="dxa" w:w="80"/>
            </w:tcMar>
            <w:vAlign w:val="top"/>
          </w:tcPr>
          <w:p>
            <w:pPr>
              <w:spacing w:after="30"/>
            </w:pPr>
            <w:r>
              <w:rPr>
                <w:rFonts w:ascii="Arial" w:cs="Arial" w:eastAsia="Arial" w:hAnsi="Arial"/>
                <w:sz w:val="17"/>
                <w:szCs w:val="17"/>
              </w:rPr>
              <w:t xml:space="preserve">Magnetic gauge, 5 points on frame and forks: DFT ≥ [___] µm per QSD.</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ISO 2808</w:t>
            </w:r>
          </w:p>
        </w:tc>
        <w:tc>
          <w:tcPr>
            <w:tcW w:type="dxa" w:w="963"/>
            <w:tcMar>
              <w:top w:type="dxa" w:w="50"/>
              <w:left w:type="dxa" w:w="80"/>
              <w:bottom w:type="dxa" w:w="50"/>
              <w:right w:type="dxa" w:w="80"/>
            </w:tcMar>
            <w:vAlign w:val="top"/>
          </w:tcPr>
          <w:p>
            <w:pPr>
              <w:spacing w:after="30"/>
            </w:pPr>
            <w:r>
              <w:rPr>
                <w:rFonts w:ascii="Arial" w:cs="Arial" w:eastAsia="Arial" w:hAnsi="Arial"/>
                <w:sz w:val="17"/>
                <w:szCs w:val="17"/>
              </w:rPr>
              <w:t xml:space="preserve">Ma</w:t>
            </w:r>
          </w:p>
        </w:tc>
        <w:tc>
          <w:tcPr>
            <w:tcW w:type="dxa" w:w="1159"/>
            <w:tcMar>
              <w:top w:type="dxa" w:w="50"/>
              <w:left w:type="dxa" w:w="80"/>
              <w:bottom w:type="dxa" w:w="50"/>
              <w:right w:type="dxa" w:w="80"/>
            </w:tcMar>
            <w:vAlign w:val="top"/>
          </w:tcPr>
          <w:p>
            <w:pPr>
              <w:spacing w:after="30"/>
            </w:pPr>
          </w:p>
        </w:tc>
      </w:tr>
    </w:tbl>
    <w:p>
      <w:pPr>
        <w:spacing w:after="80"/>
      </w:pPr>
    </w:p>
    <w:p>
      <w:pPr>
        <w:pStyle w:val="Heading2"/>
        <w:spacing w:after="120" w:before="200"/>
      </w:pPr>
      <w:r>
        <w:rPr>
          <w:rFonts w:ascii="Arial" w:cs="Arial" w:eastAsia="Arial" w:hAnsi="Arial"/>
          <w:b/>
          <w:bCs/>
          <w:color w:val="1F3864"/>
          <w:sz w:val="24"/>
          <w:szCs w:val="24"/>
        </w:rPr>
        <w:t xml:space="preserve">A.5 Dimensional tolerances (from source)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1"/>
        <w:gridCol w:w="867"/>
        <w:gridCol w:w="867"/>
        <w:gridCol w:w="867"/>
        <w:gridCol w:w="867"/>
        <w:gridCol w:w="867"/>
        <w:gridCol w:w="867"/>
        <w:gridCol w:w="867"/>
        <w:gridCol w:w="867"/>
        <w:gridCol w:w="871"/>
      </w:tblGrid>
      <w:tr>
        <w:trPr>
          <w:tblHeader/>
        </w:trPr>
        <w:tc>
          <w:tcPr>
            <w:tcW w:type="dxa" w:w="183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Product size (mm)</w:t>
            </w:r>
          </w:p>
        </w:tc>
        <w:tc>
          <w:tcPr>
            <w:tcW w:type="dxa" w:w="86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0.5–3</w:t>
            </w:r>
          </w:p>
        </w:tc>
        <w:tc>
          <w:tcPr>
            <w:tcW w:type="dxa" w:w="86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&gt;3–6</w:t>
            </w:r>
          </w:p>
        </w:tc>
        <w:tc>
          <w:tcPr>
            <w:tcW w:type="dxa" w:w="86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&gt;6–30</w:t>
            </w:r>
          </w:p>
        </w:tc>
        <w:tc>
          <w:tcPr>
            <w:tcW w:type="dxa" w:w="86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&gt;30–120</w:t>
            </w:r>
          </w:p>
        </w:tc>
        <w:tc>
          <w:tcPr>
            <w:tcW w:type="dxa" w:w="86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&gt;120–400</w:t>
            </w:r>
          </w:p>
        </w:tc>
        <w:tc>
          <w:tcPr>
            <w:tcW w:type="dxa" w:w="86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&gt;400–1000</w:t>
            </w:r>
          </w:p>
        </w:tc>
        <w:tc>
          <w:tcPr>
            <w:tcW w:type="dxa" w:w="86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&gt;1000–2000</w:t>
            </w:r>
          </w:p>
        </w:tc>
        <w:tc>
          <w:tcPr>
            <w:tcW w:type="dxa" w:w="86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&gt;2000–3000</w:t>
            </w:r>
          </w:p>
        </w:tc>
        <w:tc>
          <w:tcPr>
            <w:tcW w:type="dxa" w:w="87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&gt;3000–5000</w:t>
            </w:r>
          </w:p>
        </w:tc>
      </w:tr>
      <w:tr>
        <w:trPr>
          <w:tblHeader w:val="false"/>
        </w:trPr>
        <w:tc>
          <w:tcPr>
            <w:tcW w:type="dxa" w:w="1831"/>
            <w:tcMar>
              <w:top w:type="dxa" w:w="50"/>
              <w:left w:type="dxa" w:w="80"/>
              <w:bottom w:type="dxa" w:w="50"/>
              <w:right w:type="dxa" w:w="80"/>
            </w:tcMar>
            <w:vAlign w:val="top"/>
          </w:tcPr>
          <w:p>
            <w:pPr>
              <w:spacing w:after="30"/>
            </w:pPr>
            <w:r>
              <w:rPr>
                <w:rFonts w:ascii="Arial" w:cs="Arial" w:eastAsia="Arial" w:hAnsi="Arial"/>
                <w:sz w:val="17"/>
                <w:szCs w:val="17"/>
              </w:rPr>
              <w:t xml:space="preserve">Tolerance (mm)</w:t>
            </w:r>
          </w:p>
        </w:tc>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±0.1</w:t>
            </w:r>
          </w:p>
        </w:tc>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±0.3</w:t>
            </w:r>
          </w:p>
        </w:tc>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±10</w:t>
            </w:r>
          </w:p>
        </w:tc>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±20</w:t>
            </w:r>
          </w:p>
        </w:tc>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±30</w:t>
            </w:r>
          </w:p>
        </w:tc>
        <w:tc>
          <w:tcPr>
            <w:tcW w:type="dxa" w:w="871"/>
            <w:tcMar>
              <w:top w:type="dxa" w:w="50"/>
              <w:left w:type="dxa" w:w="80"/>
              <w:bottom w:type="dxa" w:w="50"/>
              <w:right w:type="dxa" w:w="80"/>
            </w:tcMar>
            <w:vAlign w:val="top"/>
          </w:tcPr>
          <w:p>
            <w:pPr>
              <w:spacing w:after="30"/>
            </w:pPr>
            <w:r>
              <w:rPr>
                <w:rFonts w:ascii="Arial" w:cs="Arial" w:eastAsia="Arial" w:hAnsi="Arial"/>
                <w:sz w:val="17"/>
                <w:szCs w:val="17"/>
              </w:rPr>
              <w:t xml:space="preserve">±50</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252"/>
        <w:gridCol w:w="1252"/>
        <w:gridCol w:w="1252"/>
        <w:gridCol w:w="1252"/>
        <w:gridCol w:w="1252"/>
        <w:gridCol w:w="1258"/>
      </w:tblGrid>
      <w:tr>
        <w:trPr>
          <w:tblHeader/>
        </w:trPr>
        <w:tc>
          <w:tcPr>
            <w:tcW w:type="dxa" w:w="2120"/>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Packing size (mm)</w:t>
            </w:r>
          </w:p>
        </w:tc>
        <w:tc>
          <w:tcPr>
            <w:tcW w:type="dxa" w:w="125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≤120</w:t>
            </w:r>
          </w:p>
        </w:tc>
        <w:tc>
          <w:tcPr>
            <w:tcW w:type="dxa" w:w="125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&gt;120–400</w:t>
            </w:r>
          </w:p>
        </w:tc>
        <w:tc>
          <w:tcPr>
            <w:tcW w:type="dxa" w:w="125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&gt;400–1000</w:t>
            </w:r>
          </w:p>
        </w:tc>
        <w:tc>
          <w:tcPr>
            <w:tcW w:type="dxa" w:w="125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&gt;1000–2000</w:t>
            </w:r>
          </w:p>
        </w:tc>
        <w:tc>
          <w:tcPr>
            <w:tcW w:type="dxa" w:w="125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&gt;2000–3000</w:t>
            </w:r>
          </w:p>
        </w:tc>
        <w:tc>
          <w:tcPr>
            <w:tcW w:type="dxa" w:w="125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&gt;3000–5000</w:t>
            </w:r>
          </w:p>
        </w:tc>
      </w:tr>
      <w:tr>
        <w:trPr>
          <w:tblHeader w:val="false"/>
        </w:trPr>
        <w:tc>
          <w:tcPr>
            <w:tcW w:type="dxa" w:w="2120"/>
            <w:tcMar>
              <w:top w:type="dxa" w:w="50"/>
              <w:left w:type="dxa" w:w="80"/>
              <w:bottom w:type="dxa" w:w="50"/>
              <w:right w:type="dxa" w:w="80"/>
            </w:tcMar>
            <w:vAlign w:val="top"/>
          </w:tcPr>
          <w:p>
            <w:pPr>
              <w:spacing w:after="30"/>
            </w:pPr>
            <w:r>
              <w:rPr>
                <w:rFonts w:ascii="Arial" w:cs="Arial" w:eastAsia="Arial" w:hAnsi="Arial"/>
                <w:sz w:val="17"/>
                <w:szCs w:val="17"/>
              </w:rPr>
              <w:t xml:space="preserve">Tolerance (mm)</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±10</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±20</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±30</w:t>
            </w:r>
          </w:p>
        </w:tc>
        <w:tc>
          <w:tcPr>
            <w:tcW w:type="dxa" w:w="1252"/>
            <w:tcMar>
              <w:top w:type="dxa" w:w="50"/>
              <w:left w:type="dxa" w:w="80"/>
              <w:bottom w:type="dxa" w:w="50"/>
              <w:right w:type="dxa" w:w="80"/>
            </w:tcMar>
            <w:vAlign w:val="top"/>
          </w:tcPr>
          <w:p>
            <w:pPr>
              <w:spacing w:after="30"/>
            </w:pPr>
            <w:r>
              <w:rPr>
                <w:rFonts w:ascii="Arial" w:cs="Arial" w:eastAsia="Arial" w:hAnsi="Arial"/>
                <w:sz w:val="17"/>
                <w:szCs w:val="17"/>
              </w:rPr>
              <w:t xml:space="preserve">±50</w:t>
            </w:r>
          </w:p>
        </w:tc>
        <w:tc>
          <w:tcPr>
            <w:tcW w:type="dxa" w:w="1258"/>
            <w:tcMar>
              <w:top w:type="dxa" w:w="50"/>
              <w:left w:type="dxa" w:w="80"/>
              <w:bottom w:type="dxa" w:w="50"/>
              <w:right w:type="dxa" w:w="80"/>
            </w:tcMar>
            <w:vAlign w:val="top"/>
          </w:tcPr>
          <w:p>
            <w:pPr>
              <w:spacing w:after="30"/>
            </w:pPr>
            <w:r>
              <w:rPr>
                <w:rFonts w:ascii="Arial" w:cs="Arial" w:eastAsia="Arial" w:hAnsi="Arial"/>
                <w:sz w:val="17"/>
                <w:szCs w:val="17"/>
              </w:rPr>
              <w:t xml:space="preserve">±80</w:t>
            </w:r>
          </w:p>
        </w:tc>
      </w:tr>
    </w:tbl>
    <w:p>
      <w:pPr>
        <w:spacing w:after="80"/>
      </w:pPr>
    </w:p>
    <w:p>
      <w:pPr>
        <w:spacing w:after="120"/>
      </w:pPr>
      <w:r>
        <w:rPr>
          <w:rFonts w:ascii="Arial" w:cs="Arial" w:eastAsia="Arial" w:hAnsi="Arial"/>
          <w:sz w:val="20"/>
          <w:szCs w:val="20"/>
        </w:rPr>
        <w:t xml:space="preserve">Remarks #1: [___]</w:t>
      </w:r>
    </w:p>
    <w:p>
      <w:pPr>
        <w:pStyle w:val="Heading1"/>
        <w:spacing w:after="160" w:before="240"/>
      </w:pPr>
      <w:r>
        <w:rPr>
          <w:rFonts w:ascii="Arial" w:cs="Arial" w:eastAsia="Arial" w:hAnsi="Arial"/>
          <w:b/>
          <w:bCs/>
          <w:color w:val="1F3864"/>
          <w:sz w:val="28"/>
          <w:szCs w:val="28"/>
        </w:rPr>
        <w:t xml:space="preserve">Annex B — Defect Classification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1"/>
        <w:gridCol w:w="1927"/>
        <w:gridCol w:w="1349"/>
        <w:gridCol w:w="1351"/>
      </w:tblGrid>
      <w:tr>
        <w:trPr>
          <w:tblHeader/>
        </w:trPr>
        <w:tc>
          <w:tcPr>
            <w:tcW w:type="dxa" w:w="501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Defect name</w:t>
            </w:r>
          </w:p>
        </w:tc>
        <w:tc>
          <w:tcPr>
            <w:tcW w:type="dxa" w:w="192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Zone A</w:t>
            </w:r>
          </w:p>
        </w:tc>
        <w:tc>
          <w:tcPr>
            <w:tcW w:type="dxa" w:w="134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Zone B</w:t>
            </w:r>
          </w:p>
        </w:tc>
        <w:tc>
          <w:tcPr>
            <w:tcW w:type="dxa" w:w="135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Zone C</w:t>
            </w: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Poor packing / Đóng gói kém</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Incorrect quantity / Sai số lượng đóng gói</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Incorrect packaging artworks / Sai thông tin in ấn đóng gói</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Missing packaging artworks / Thiếu thông tin in ấn đóng gói</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Poor label / sticker</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Rubbing product marking</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Sharp point / Điểm bén nhọn</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Sharp edge / Cạnh bén nhọn</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Shear and squeeze point / Điểm cắt và chèn ép</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Rust / Rỉ sét</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Poor finishing / Hoàn thiện xấu</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Stain / Bị dính sơn, vết ố</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Over painting / Sơn chảy</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Coating peel off / Bong tróc sơn</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Blister / Bị phồng rộp</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Spots / Vết đốm</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Discoloration / Phai màu</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Dirty mark / Dấu vết bẩn</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Poor welding / Mối hàn tệ</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Burr / Gờ chưa mài giũa</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Rough surface / Bề mặt thô ráp</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Uneven surface / Bề mặt cao thấp không đều</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Deformed / Bị biến dạng</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Damaged / Bị hư hỏng</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Scratched / Bị trầy xước</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Accept</w:t>
            </w:r>
          </w:p>
        </w:tc>
        <w:tc>
          <w:tcPr>
            <w:tcW w:type="dxa" w:w="1351"/>
            <w:tcMar>
              <w:top w:type="dxa" w:w="50"/>
              <w:left w:type="dxa" w:w="80"/>
              <w:bottom w:type="dxa" w:w="50"/>
              <w:right w:type="dxa" w:w="80"/>
            </w:tcMar>
            <w:vAlign w:val="top"/>
          </w:tcPr>
          <w:p>
            <w:pPr>
              <w:spacing w:after="30"/>
            </w:pPr>
            <w:r>
              <w:rPr>
                <w:rFonts w:ascii="Arial" w:cs="Arial" w:eastAsia="Arial" w:hAnsi="Arial"/>
                <w:sz w:val="17"/>
                <w:szCs w:val="17"/>
              </w:rPr>
              <w:t xml:space="preserve">Accept</w:t>
            </w: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Broken / Bị gãy</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Chipped / Bị sứt mẻ</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Cracked / Bị nứt</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Dent mark / Dấu bị cấn móp</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Warpage / Cong vênh</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r>
              <w:rPr>
                <w:rFonts w:ascii="Arial" w:cs="Arial" w:eastAsia="Arial" w:hAnsi="Arial"/>
                <w:sz w:val="17"/>
                <w:szCs w:val="17"/>
              </w:rPr>
              <w:t xml:space="preserve">Minor</w:t>
            </w: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Wobble / Lung lay, gập gềnh</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Unfitting / Không vừa vặn</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Loose / Lỏng lẻo</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Minor – 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Over tolerance</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Pending</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Incorrect material / Sai nguyên vật liệu</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Incorrect colour / Sai màu sắc</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Incorrect specification / Sai thông số kỹ thuật</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Difficult assembly / Lắp ráp khó</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Impossible assembly / Không lắp ráp được</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Difficult folding / Gấp xếp khó</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Difficult function / Chức năng sử dụng khó</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sz w:val="17"/>
                <w:szCs w:val="17"/>
              </w:rPr>
              <w:t xml:space="preserve">Fail coating rubbing / adhesion test</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Cracked or poor weld on load-bearing frame / fork / Mối hàn chịu lực nứt</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Cannot lift rated load / Không nâng được tải định mức</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Uncontrolled lowering or drift beyond limit / Hạ tải không kiểm soát</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Permanent deformation after static test / Biến dạng vĩnh viễn</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Overload device missing / not sealed (where required) / Thiếu van quá tải</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Hydraulic oil leakage / Rò rỉ dầu thủy lực</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 (Critical if lowering affected)</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Parking brake ineffective (if fitted) / Phanh không hiệu quả</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Missing / incorrect CE marking or data plate / Thiếu nhãn CE, nhãn thông số</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Rated capacity missing or wrong / Thiếu hoặc sai tải định mức</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Instructions missing or not in required language / Thiếu HDSD hoặc sai ngôn ngữ</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Importer / EU operator identification missing / Thiếu thông tin nhà nhập khẩu</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Missing / loose circlip, pin or axle fastener / Thiếu, lỏng khóa chốt</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GS mark applied without valid certificate, wrong model/factory, or on non-GS order / Dấu GS không hợp lệ</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Critical</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Wheel not rotating freely / Bánh xe quay không trơn</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r>
        <w:trPr>
          <w:tblHeader w:val="false"/>
        </w:trPr>
        <w:tc>
          <w:tcPr>
            <w:tcW w:type="dxa" w:w="5011"/>
            <w:tcMar>
              <w:top w:type="dxa" w:w="50"/>
              <w:left w:type="dxa" w:w="80"/>
              <w:bottom w:type="dxa" w:w="50"/>
              <w:right w:type="dxa" w:w="80"/>
            </w:tcMar>
            <w:vAlign w:val="top"/>
          </w:tcPr>
          <w:p>
            <w:pPr>
              <w:spacing w:after="30"/>
            </w:pPr>
            <w:r>
              <w:rPr>
                <w:rFonts w:ascii="Arial" w:cs="Arial" w:eastAsia="Arial" w:hAnsi="Arial"/>
                <w:b/>
                <w:bCs/>
                <w:sz w:val="17"/>
                <w:szCs w:val="17"/>
              </w:rPr>
              <w:t xml:space="preserve">NEW</w:t>
            </w:r>
            <w:r>
              <w:rPr>
                <w:rFonts w:ascii="Arial" w:cs="Arial" w:eastAsia="Arial" w:hAnsi="Arial"/>
                <w:sz w:val="17"/>
                <w:szCs w:val="17"/>
              </w:rPr>
              <w:t xml:space="preserve"> Wooden pallet without ISPM 15 mark / Pallet gỗ không có dấu IPPC</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Major</w:t>
            </w:r>
          </w:p>
        </w:tc>
        <w:tc>
          <w:tcPr>
            <w:tcW w:type="dxa" w:w="1349"/>
            <w:tcMar>
              <w:top w:type="dxa" w:w="50"/>
              <w:left w:type="dxa" w:w="80"/>
              <w:bottom w:type="dxa" w:w="50"/>
              <w:right w:type="dxa" w:w="80"/>
            </w:tcMar>
            <w:vAlign w:val="top"/>
          </w:tcPr>
          <w:p>
            <w:pPr>
              <w:spacing w:after="30"/>
            </w:pPr>
          </w:p>
        </w:tc>
        <w:tc>
          <w:tcPr>
            <w:tcW w:type="dxa" w:w="1351"/>
            <w:tcMar>
              <w:top w:type="dxa" w:w="50"/>
              <w:left w:type="dxa" w:w="80"/>
              <w:bottom w:type="dxa" w:w="50"/>
              <w:right w:type="dxa" w:w="80"/>
            </w:tcMar>
            <w:vAlign w:val="top"/>
          </w:tcPr>
          <w:p>
            <w:pPr>
              <w:spacing w:after="30"/>
            </w:pPr>
          </w:p>
        </w:tc>
      </w:tr>
    </w:tbl>
    <w:p>
      <w:pPr>
        <w:spacing w:after="80"/>
      </w:pPr>
    </w:p>
    <w:p>
      <w:pPr>
        <w:spacing w:after="120"/>
      </w:pPr>
      <w:r>
        <w:rPr>
          <w:rFonts w:ascii="Arial" w:cs="Arial" w:eastAsia="Arial" w:hAnsi="Arial"/>
          <w:i/>
          <w:iCs/>
          <w:sz w:val="18"/>
          <w:szCs w:val="18"/>
        </w:rPr>
        <w:t xml:space="preserve">Reference defect photos: retain the source photo set (poor finishing, poor welding, scratched, coating peel off, rough surface, broken, dent mark) in the QC pack.</w:t>
      </w:r>
    </w:p>
    <w:p>
      <w:pPr>
        <w:pStyle w:val="Heading1"/>
        <w:spacing w:after="160" w:before="240"/>
      </w:pPr>
      <w:r>
        <w:rPr>
          <w:rFonts w:ascii="Arial" w:cs="Arial" w:eastAsia="Arial" w:hAnsi="Arial"/>
          <w:b/>
          <w:bCs/>
          <w:color w:val="1F3864"/>
          <w:sz w:val="28"/>
          <w:szCs w:val="28"/>
        </w:rPr>
        <w:t xml:space="preserve">Annex C — Measurement Data Sheet</w:t>
      </w:r>
    </w:p>
    <w:p>
      <w:pPr>
        <w:spacing w:after="120"/>
      </w:pPr>
      <w:r>
        <w:rPr>
          <w:rFonts w:ascii="Arial" w:cs="Arial" w:eastAsia="Arial" w:hAnsi="Arial"/>
          <w:sz w:val="20"/>
          <w:szCs w:val="20"/>
        </w:rPr>
        <w:t xml:space="preserve">Parameter symbols aligned with the VDI 2198 type sheet for industrial trucks (replaces undefined source letters D/d, H, h, e, s, l, c, W, L, HH).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409"/>
        <w:gridCol w:w="1252"/>
        <w:gridCol w:w="1252"/>
        <w:gridCol w:w="1060"/>
        <w:gridCol w:w="1638"/>
        <w:gridCol w:w="1160"/>
      </w:tblGrid>
      <w:tr>
        <w:trPr>
          <w:tblHeader/>
        </w:trPr>
        <w:tc>
          <w:tcPr>
            <w:tcW w:type="dxa" w:w="86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Symbol</w:t>
            </w:r>
          </w:p>
        </w:tc>
        <w:tc>
          <w:tcPr>
            <w:tcW w:type="dxa" w:w="240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Parameter</w:t>
            </w:r>
          </w:p>
        </w:tc>
        <w:tc>
          <w:tcPr>
            <w:tcW w:type="dxa" w:w="125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Specification</w:t>
            </w:r>
          </w:p>
        </w:tc>
        <w:tc>
          <w:tcPr>
            <w:tcW w:type="dxa" w:w="1252"/>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Claimed on package</w:t>
            </w:r>
          </w:p>
        </w:tc>
        <w:tc>
          <w:tcPr>
            <w:tcW w:type="dxa" w:w="1060"/>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Finding</w:t>
            </w:r>
          </w:p>
        </w:tc>
        <w:tc>
          <w:tcPr>
            <w:tcW w:type="dxa" w:w="1638"/>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Requirement</w:t>
            </w:r>
          </w:p>
        </w:tc>
        <w:tc>
          <w:tcPr>
            <w:tcW w:type="dxa" w:w="1160"/>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Result</w:t>
            </w: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Q</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Rated capacity (kg)</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Matches data plate &amp; test report</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c</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Load centre distance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Matches data plate</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h3</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Lift height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Within tolerance</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h13</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Fork height, lowered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Within tolerance</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h14</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Tiller height in operating position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Within tolerance</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l1 / l2</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Overall length / length to fork face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Within tolerance</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b1 / b5</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Overall width / width across forks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Within tolerance</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s / e / l</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Fork thickness / width / length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Within tolerance</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D1 / D2</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Steer wheel / load roller diameter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Within tolerance</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Grip Ø / span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25–35 / ≥ 120</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Unladen mass (kg)</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 5 %; matches data plate</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Packing dimensions (mm)</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Conform to package claim</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Packing gross weight (kg)</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 5 %</w:t>
            </w:r>
          </w:p>
        </w:tc>
        <w:tc>
          <w:tcPr>
            <w:tcW w:type="dxa" w:w="1160"/>
            <w:tcMar>
              <w:top w:type="dxa" w:w="50"/>
              <w:left w:type="dxa" w:w="80"/>
              <w:bottom w:type="dxa" w:w="50"/>
              <w:right w:type="dxa" w:w="80"/>
            </w:tcMar>
            <w:vAlign w:val="top"/>
          </w:tcPr>
          <w:p>
            <w:pPr>
              <w:spacing w:after="30"/>
            </w:pPr>
          </w:p>
        </w:tc>
      </w:tr>
      <w:tr>
        <w:trPr>
          <w:tblHeader w:val="false"/>
        </w:trPr>
        <w:tc>
          <w:tcPr>
            <w:tcW w:type="dxa" w:w="867"/>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409"/>
            <w:tcMar>
              <w:top w:type="dxa" w:w="50"/>
              <w:left w:type="dxa" w:w="80"/>
              <w:bottom w:type="dxa" w:w="50"/>
              <w:right w:type="dxa" w:w="80"/>
            </w:tcMar>
            <w:vAlign w:val="top"/>
          </w:tcPr>
          <w:p>
            <w:pPr>
              <w:spacing w:after="30"/>
            </w:pPr>
            <w:r>
              <w:rPr>
                <w:rFonts w:ascii="Arial" w:cs="Arial" w:eastAsia="Arial" w:hAnsi="Arial"/>
                <w:sz w:val="17"/>
                <w:szCs w:val="17"/>
              </w:rPr>
              <w:t xml:space="preserve">Barcode</w:t>
            </w:r>
          </w:p>
        </w:tc>
        <w:tc>
          <w:tcPr>
            <w:tcW w:type="dxa" w:w="1252"/>
            <w:tcMar>
              <w:top w:type="dxa" w:w="50"/>
              <w:left w:type="dxa" w:w="80"/>
              <w:bottom w:type="dxa" w:w="50"/>
              <w:right w:type="dxa" w:w="80"/>
            </w:tcMar>
            <w:vAlign w:val="top"/>
          </w:tcPr>
          <w:p>
            <w:pPr>
              <w:spacing w:after="30"/>
            </w:pPr>
          </w:p>
        </w:tc>
        <w:tc>
          <w:tcPr>
            <w:tcW w:type="dxa" w:w="1252"/>
            <w:tcMar>
              <w:top w:type="dxa" w:w="50"/>
              <w:left w:type="dxa" w:w="80"/>
              <w:bottom w:type="dxa" w:w="50"/>
              <w:right w:type="dxa" w:w="80"/>
            </w:tcMar>
            <w:vAlign w:val="top"/>
          </w:tcPr>
          <w:p>
            <w:pPr>
              <w:spacing w:after="30"/>
            </w:pPr>
          </w:p>
        </w:tc>
        <w:tc>
          <w:tcPr>
            <w:tcW w:type="dxa" w:w="1060"/>
            <w:tcMar>
              <w:top w:type="dxa" w:w="50"/>
              <w:left w:type="dxa" w:w="80"/>
              <w:bottom w:type="dxa" w:w="50"/>
              <w:right w:type="dxa" w:w="80"/>
            </w:tcMar>
            <w:vAlign w:val="top"/>
          </w:tcPr>
          <w:p>
            <w:pPr>
              <w:spacing w:after="30"/>
            </w:pPr>
          </w:p>
        </w:tc>
        <w:tc>
          <w:tcPr>
            <w:tcW w:type="dxa" w:w="1638"/>
            <w:tcMar>
              <w:top w:type="dxa" w:w="50"/>
              <w:left w:type="dxa" w:w="80"/>
              <w:bottom w:type="dxa" w:w="50"/>
              <w:right w:type="dxa" w:w="80"/>
            </w:tcMar>
            <w:vAlign w:val="top"/>
          </w:tcPr>
          <w:p>
            <w:pPr>
              <w:spacing w:after="30"/>
            </w:pPr>
            <w:r>
              <w:rPr>
                <w:rFonts w:ascii="Arial" w:cs="Arial" w:eastAsia="Arial" w:hAnsi="Arial"/>
                <w:sz w:val="17"/>
                <w:szCs w:val="17"/>
              </w:rPr>
              <w:t xml:space="preserve">Correct with spec &amp; print</w:t>
            </w:r>
          </w:p>
        </w:tc>
        <w:tc>
          <w:tcPr>
            <w:tcW w:type="dxa" w:w="1160"/>
            <w:tcMar>
              <w:top w:type="dxa" w:w="50"/>
              <w:left w:type="dxa" w:w="80"/>
              <w:bottom w:type="dxa" w:w="50"/>
              <w:right w:type="dxa" w:w="80"/>
            </w:tcMar>
            <w:vAlign w:val="top"/>
          </w:tcPr>
          <w:p>
            <w:pPr>
              <w:spacing w:after="30"/>
            </w:pPr>
          </w:p>
        </w:tc>
      </w:tr>
    </w:tbl>
    <w:p>
      <w:pPr>
        <w:spacing w:after="80"/>
      </w:pPr>
    </w:p>
    <w:p>
      <w:pPr>
        <w:pStyle w:val="Heading1"/>
        <w:spacing w:after="160" w:before="240"/>
      </w:pPr>
      <w:r>
        <w:rPr>
          <w:rFonts w:ascii="Arial" w:cs="Arial" w:eastAsia="Arial" w:hAnsi="Arial"/>
          <w:b/>
          <w:bCs/>
          <w:color w:val="1F3864"/>
          <w:sz w:val="28"/>
          <w:szCs w:val="28"/>
        </w:rPr>
        <w:t xml:space="preserve">Annex D — Packaging Disposal Data (PPWR)</w:t>
      </w:r>
    </w:p>
    <w:p>
      <w:pPr>
        <w:spacing w:after="120"/>
      </w:pPr>
      <w:r>
        <w:rPr>
          <w:rFonts w:ascii="Arial" w:cs="Arial" w:eastAsia="Arial" w:hAnsi="Arial"/>
          <w:sz w:val="20"/>
          <w:szCs w:val="20"/>
        </w:rPr>
        <w:t xml:space="preserve">Required for every SKU: ☐ N/A ☐ Pending ☐ Yes. Weight in grams per material.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156"/>
        <w:gridCol w:w="1156"/>
        <w:gridCol w:w="1349"/>
        <w:gridCol w:w="1156"/>
        <w:gridCol w:w="963"/>
        <w:gridCol w:w="963"/>
        <w:gridCol w:w="1161"/>
      </w:tblGrid>
      <w:tr>
        <w:trPr>
          <w:tblHeader/>
        </w:trPr>
        <w:tc>
          <w:tcPr>
            <w:tcW w:type="dxa" w:w="1734"/>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Level</w:t>
            </w:r>
          </w:p>
        </w:tc>
        <w:tc>
          <w:tcPr>
            <w:tcW w:type="dxa" w:w="1156"/>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Units / pack</w:t>
            </w:r>
          </w:p>
        </w:tc>
        <w:tc>
          <w:tcPr>
            <w:tcW w:type="dxa" w:w="1156"/>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Paper, cardboard</w:t>
            </w:r>
          </w:p>
        </w:tc>
        <w:tc>
          <w:tcPr>
            <w:tcW w:type="dxa" w:w="1349"/>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Plastic foil / bags</w:t>
            </w:r>
          </w:p>
        </w:tc>
        <w:tc>
          <w:tcPr>
            <w:tcW w:type="dxa" w:w="1156"/>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Plastic straps</w:t>
            </w:r>
          </w:p>
        </w:tc>
        <w:tc>
          <w:tcPr>
            <w:tcW w:type="dxa" w:w="96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Metal</w:t>
            </w:r>
          </w:p>
        </w:tc>
        <w:tc>
          <w:tcPr>
            <w:tcW w:type="dxa" w:w="963"/>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EPS</w:t>
            </w:r>
          </w:p>
        </w:tc>
        <w:tc>
          <w:tcPr>
            <w:tcW w:type="dxa" w:w="1161"/>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Wood</w:t>
            </w:r>
          </w:p>
        </w:tc>
      </w:tr>
      <w:tr>
        <w:trPr>
          <w:tblHeader w:val="false"/>
        </w:trPr>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Primary (sales unit)</w:t>
            </w:r>
          </w:p>
        </w:tc>
        <w:tc>
          <w:tcPr>
            <w:tcW w:type="dxa" w:w="1156"/>
            <w:tcMar>
              <w:top w:type="dxa" w:w="50"/>
              <w:left w:type="dxa" w:w="80"/>
              <w:bottom w:type="dxa" w:w="50"/>
              <w:right w:type="dxa" w:w="80"/>
            </w:tcMar>
            <w:vAlign w:val="top"/>
          </w:tcPr>
          <w:p>
            <w:pPr>
              <w:spacing w:after="30"/>
            </w:pPr>
          </w:p>
        </w:tc>
        <w:tc>
          <w:tcPr>
            <w:tcW w:type="dxa" w:w="1156"/>
            <w:tcMar>
              <w:top w:type="dxa" w:w="50"/>
              <w:left w:type="dxa" w:w="80"/>
              <w:bottom w:type="dxa" w:w="50"/>
              <w:right w:type="dxa" w:w="80"/>
            </w:tcMar>
            <w:vAlign w:val="top"/>
          </w:tcPr>
          <w:p>
            <w:pPr>
              <w:spacing w:after="30"/>
            </w:pPr>
          </w:p>
        </w:tc>
        <w:tc>
          <w:tcPr>
            <w:tcW w:type="dxa" w:w="1349"/>
            <w:tcMar>
              <w:top w:type="dxa" w:w="50"/>
              <w:left w:type="dxa" w:w="80"/>
              <w:bottom w:type="dxa" w:w="50"/>
              <w:right w:type="dxa" w:w="80"/>
            </w:tcMar>
            <w:vAlign w:val="top"/>
          </w:tcPr>
          <w:p>
            <w:pPr>
              <w:spacing w:after="30"/>
            </w:pPr>
          </w:p>
        </w:tc>
        <w:tc>
          <w:tcPr>
            <w:tcW w:type="dxa" w:w="1156"/>
            <w:tcMar>
              <w:top w:type="dxa" w:w="50"/>
              <w:left w:type="dxa" w:w="80"/>
              <w:bottom w:type="dxa" w:w="50"/>
              <w:right w:type="dxa" w:w="80"/>
            </w:tcMar>
            <w:vAlign w:val="top"/>
          </w:tcPr>
          <w:p>
            <w:pPr>
              <w:spacing w:after="30"/>
            </w:pPr>
          </w:p>
        </w:tc>
        <w:tc>
          <w:tcPr>
            <w:tcW w:type="dxa" w:w="963"/>
            <w:tcMar>
              <w:top w:type="dxa" w:w="50"/>
              <w:left w:type="dxa" w:w="80"/>
              <w:bottom w:type="dxa" w:w="50"/>
              <w:right w:type="dxa" w:w="80"/>
            </w:tcMar>
            <w:vAlign w:val="top"/>
          </w:tcPr>
          <w:p>
            <w:pPr>
              <w:spacing w:after="30"/>
            </w:pPr>
          </w:p>
        </w:tc>
        <w:tc>
          <w:tcPr>
            <w:tcW w:type="dxa" w:w="963"/>
            <w:tcMar>
              <w:top w:type="dxa" w:w="50"/>
              <w:left w:type="dxa" w:w="80"/>
              <w:bottom w:type="dxa" w:w="50"/>
              <w:right w:type="dxa" w:w="80"/>
            </w:tcMar>
            <w:vAlign w:val="top"/>
          </w:tcPr>
          <w:p>
            <w:pPr>
              <w:spacing w:after="30"/>
            </w:pPr>
          </w:p>
        </w:tc>
        <w:tc>
          <w:tcPr>
            <w:tcW w:type="dxa" w:w="1161"/>
            <w:tcMar>
              <w:top w:type="dxa" w:w="50"/>
              <w:left w:type="dxa" w:w="80"/>
              <w:bottom w:type="dxa" w:w="50"/>
              <w:right w:type="dxa" w:w="80"/>
            </w:tcMar>
            <w:vAlign w:val="top"/>
          </w:tcPr>
          <w:p>
            <w:pPr>
              <w:spacing w:after="30"/>
            </w:pPr>
          </w:p>
        </w:tc>
      </w:tr>
      <w:tr>
        <w:trPr>
          <w:tblHeader w:val="false"/>
        </w:trPr>
        <w:tc>
          <w:tcPr>
            <w:tcW w:type="dxa" w:w="1734"/>
            <w:tcMar>
              <w:top w:type="dxa" w:w="50"/>
              <w:left w:type="dxa" w:w="80"/>
              <w:bottom w:type="dxa" w:w="50"/>
              <w:right w:type="dxa" w:w="80"/>
            </w:tcMar>
            <w:vAlign w:val="top"/>
          </w:tcPr>
          <w:p>
            <w:pPr>
              <w:spacing w:after="30"/>
            </w:pPr>
            <w:r>
              <w:rPr>
                <w:rFonts w:ascii="Arial" w:cs="Arial" w:eastAsia="Arial" w:hAnsi="Arial"/>
                <w:sz w:val="17"/>
                <w:szCs w:val="17"/>
              </w:rPr>
              <w:t xml:space="preserve">Transport unit</w:t>
            </w:r>
          </w:p>
        </w:tc>
        <w:tc>
          <w:tcPr>
            <w:tcW w:type="dxa" w:w="1156"/>
            <w:tcMar>
              <w:top w:type="dxa" w:w="50"/>
              <w:left w:type="dxa" w:w="80"/>
              <w:bottom w:type="dxa" w:w="50"/>
              <w:right w:type="dxa" w:w="80"/>
            </w:tcMar>
            <w:vAlign w:val="top"/>
          </w:tcPr>
          <w:p>
            <w:pPr>
              <w:spacing w:after="30"/>
            </w:pPr>
          </w:p>
        </w:tc>
        <w:tc>
          <w:tcPr>
            <w:tcW w:type="dxa" w:w="1156"/>
            <w:tcMar>
              <w:top w:type="dxa" w:w="50"/>
              <w:left w:type="dxa" w:w="80"/>
              <w:bottom w:type="dxa" w:w="50"/>
              <w:right w:type="dxa" w:w="80"/>
            </w:tcMar>
            <w:vAlign w:val="top"/>
          </w:tcPr>
          <w:p>
            <w:pPr>
              <w:spacing w:after="30"/>
            </w:pPr>
          </w:p>
        </w:tc>
        <w:tc>
          <w:tcPr>
            <w:tcW w:type="dxa" w:w="1349"/>
            <w:tcMar>
              <w:top w:type="dxa" w:w="50"/>
              <w:left w:type="dxa" w:w="80"/>
              <w:bottom w:type="dxa" w:w="50"/>
              <w:right w:type="dxa" w:w="80"/>
            </w:tcMar>
            <w:vAlign w:val="top"/>
          </w:tcPr>
          <w:p>
            <w:pPr>
              <w:spacing w:after="30"/>
            </w:pPr>
          </w:p>
        </w:tc>
        <w:tc>
          <w:tcPr>
            <w:tcW w:type="dxa" w:w="1156"/>
            <w:tcMar>
              <w:top w:type="dxa" w:w="50"/>
              <w:left w:type="dxa" w:w="80"/>
              <w:bottom w:type="dxa" w:w="50"/>
              <w:right w:type="dxa" w:w="80"/>
            </w:tcMar>
            <w:vAlign w:val="top"/>
          </w:tcPr>
          <w:p>
            <w:pPr>
              <w:spacing w:after="30"/>
            </w:pPr>
          </w:p>
        </w:tc>
        <w:tc>
          <w:tcPr>
            <w:tcW w:type="dxa" w:w="963"/>
            <w:tcMar>
              <w:top w:type="dxa" w:w="50"/>
              <w:left w:type="dxa" w:w="80"/>
              <w:bottom w:type="dxa" w:w="50"/>
              <w:right w:type="dxa" w:w="80"/>
            </w:tcMar>
            <w:vAlign w:val="top"/>
          </w:tcPr>
          <w:p>
            <w:pPr>
              <w:spacing w:after="30"/>
            </w:pPr>
          </w:p>
        </w:tc>
        <w:tc>
          <w:tcPr>
            <w:tcW w:type="dxa" w:w="963"/>
            <w:tcMar>
              <w:top w:type="dxa" w:w="50"/>
              <w:left w:type="dxa" w:w="80"/>
              <w:bottom w:type="dxa" w:w="50"/>
              <w:right w:type="dxa" w:w="80"/>
            </w:tcMar>
            <w:vAlign w:val="top"/>
          </w:tcPr>
          <w:p>
            <w:pPr>
              <w:spacing w:after="30"/>
            </w:pPr>
          </w:p>
        </w:tc>
        <w:tc>
          <w:tcPr>
            <w:tcW w:type="dxa" w:w="1161"/>
            <w:tcMar>
              <w:top w:type="dxa" w:w="50"/>
              <w:left w:type="dxa" w:w="80"/>
              <w:bottom w:type="dxa" w:w="50"/>
              <w:right w:type="dxa" w:w="80"/>
            </w:tcMar>
            <w:vAlign w:val="top"/>
          </w:tcPr>
          <w:p>
            <w:pPr>
              <w:spacing w:after="30"/>
            </w:pPr>
          </w:p>
        </w:tc>
      </w:tr>
    </w:tbl>
    <w:p>
      <w:pPr>
        <w:spacing w:after="80"/>
      </w:pPr>
    </w:p>
    <w:p>
      <w:pPr>
        <w:spacing w:after="120"/>
      </w:pPr>
      <w:r>
        <w:rPr>
          <w:rFonts w:ascii="Arial" w:cs="Arial" w:eastAsia="Arial" w:hAnsi="Arial"/>
          <w:sz w:val="20"/>
          <w:szCs w:val="20"/>
        </w:rPr>
        <w:t xml:space="preserve">Batteries / lamps / EEE table: </w:t>
      </w:r>
      <w:r>
        <w:rPr>
          <w:rFonts w:ascii="Arial" w:cs="Arial" w:eastAsia="Arial" w:hAnsi="Arial"/>
          <w:b/>
          <w:bCs/>
          <w:sz w:val="20"/>
          <w:szCs w:val="20"/>
        </w:rPr>
        <w:t xml:space="preserve">N/A</w:t>
      </w:r>
      <w:r>
        <w:rPr>
          <w:rFonts w:ascii="Arial" w:cs="Arial" w:eastAsia="Arial" w:hAnsi="Arial"/>
          <w:sz w:val="20"/>
          <w:szCs w:val="20"/>
        </w:rPr>
        <w:t xml:space="preserve"> (manual truck without electrical equipment). Re-assess if a scale or electric lift variant is added.</w:t>
      </w:r>
    </w:p>
    <w:p>
      <w:pPr>
        <w:pStyle w:val="Heading1"/>
        <w:spacing w:after="160" w:before="240"/>
      </w:pPr>
      <w:r>
        <w:rPr>
          <w:rFonts w:ascii="Arial" w:cs="Arial" w:eastAsia="Arial" w:hAnsi="Arial"/>
          <w:b/>
          <w:bCs/>
          <w:color w:val="1F3864"/>
          <w:sz w:val="28"/>
          <w:szCs w:val="28"/>
        </w:rPr>
        <w:t xml:space="preserve">Annex E — Regulatory Cross-Check Log (14/10/2026)</w:t>
      </w:r>
    </w:p>
    <w:p>
      <w:pPr>
        <w:spacing w:after="120"/>
      </w:pPr>
      <w:r>
        <w:rPr>
          <w:rFonts w:ascii="Arial" w:cs="Arial" w:eastAsia="Arial" w:hAnsi="Arial"/>
          <w:sz w:val="20"/>
          <w:szCs w:val="20"/>
        </w:rPr>
        <w:t xml:space="preserve">Status: ✅ Confirmed · 🔧 Corrected in v1.2 · ⚠️ Open (verify before controlled release).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
        <w:gridCol w:w="1927"/>
        <w:gridCol w:w="3855"/>
        <w:gridCol w:w="1156"/>
        <w:gridCol w:w="2315"/>
      </w:tblGrid>
      <w:tr>
        <w:trPr>
          <w:tblHeader/>
        </w:trPr>
        <w:tc>
          <w:tcPr>
            <w:tcW w:type="dxa" w:w="38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w:t>
            </w:r>
          </w:p>
        </w:tc>
        <w:tc>
          <w:tcPr>
            <w:tcW w:type="dxa" w:w="1927"/>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Item</w:t>
            </w:r>
          </w:p>
        </w:tc>
        <w:tc>
          <w:tcPr>
            <w:tcW w:type="dxa" w:w="385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Finding</w:t>
            </w:r>
          </w:p>
        </w:tc>
        <w:tc>
          <w:tcPr>
            <w:tcW w:type="dxa" w:w="1156"/>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Status</w:t>
            </w:r>
          </w:p>
        </w:tc>
        <w:tc>
          <w:tcPr>
            <w:tcW w:type="dxa" w:w="2315"/>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7"/>
                <w:szCs w:val="17"/>
              </w:rPr>
              <w:t xml:space="preserve">Source</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MR (EU) 2023/1230 application date</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Applies from 20/01/2027; MD 2006/42/EC repealed; machinery placed on market before stays under MD</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EUR-Lex 32023R1230; Commission machinery page</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MR harmonised standards</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No MR citation decision published as of Sept 2026; first list expected end-2026; MD citations ≠ MR Art. 20 presumption</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Commission harmonised standards page; IBF Solutions; Waves Eng.</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EN ISO 3691-5</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EN ISO 3691-5:2015 + AC:2016 + A1:2020 current; ISO 3691-5:2014 confirmed 2021</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ISO.org 62807; Austrian Standards; EVS</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EN 16307-5</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2023 edition supersedes 2013 (withdrawn 29/12/2023); OJEU citation of 2023 edition under MD not confirmed</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 / ⚠️</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EVS EN 16307-5:2023; SIS SS-EN 16307-5:2024</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MR Art. 21 DoC</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Accompanies machinery or internet address provided</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EUR-Lex 32023R1230</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MR Art. 10(7) instructions</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Digital allowed with conditions; paper free on request within 1 month; paper safety info for non-professional use</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 (secondary sources)</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tekom; ZVEI; IBF Solutions</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MR Art. 13 importer marking</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Importer name and contact on machinery</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 (secondary) / ⚠️ exact wording</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Taylor Wessing; operationsengineer.org.uk</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MR Art. 3 manual lifting definition</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Lifting assembly powered solely by directly applied human effort in scope; exact point letter not confirmed</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EUR-Lex; COM(2021)202 summary</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9</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MR amendments</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Reg. (EU) 2026/1744 (AI) in force — no impact; Omnibus IV provisionally agreed 09/06/2026, not yet in OJ</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 / ⚠️ watch</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EUR-Lex 2026/1744; Council 10980/26</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10</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MD Annex I 4.1.3</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Static and dynamic tests on all lifting machinery before putting into service</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MD Annex I text; BSI</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11</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ProdSG GS sections</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 20 award (≤ 5 yr / lot; § 20(2) CE-equivalence exclusion), § 21–22 GS body, § 24 manufacturer &amp; importer (importer documented check)</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buzer.de; JuraForum; BGN; maschinenrichtlinie.de synopsis</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12</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ProdSG fine for GS misuse</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 39 provision not confirmed</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gesetze-im-internet.de (not reachable from this environment)</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13</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AfPS GS 2019:01 PAK</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Still current; mandatory for new GS since 01/07/2020; category limits added</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BAuA AfPS-GS-2019-01-PAK; ZLS; TÜV Rheinland info</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14</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PPWR (EU) 2025/40</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Art. 5(4) + DoC since 12/08/2026; Art. 12 later of 12/08/2028 or +24 months after implementing acts; Art. 44 registers pending</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DAERA PPWR FAQ; FDF; ppwrconnect Sept 2026</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15</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POPs SCCP</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0.15 % (1 500 mg/kg) in articles confirmed; MCCP act in preparation</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Council ST-13064-2026; Reg. (EU) 2022/2400</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16</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CBAM</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CN 8427 outside Annex I today; downstream extension proposed for 2028</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 watch</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COM(2025) 989; PwC; European Aluminium annex</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17</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Switzerland</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MaschV revision aligned with MR consulted; MRA update tied to EU-CH package ratification (2027/28)</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 / ⚠️</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SECO / admin.ch; Canton Zurich RRB 2025/1296</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18</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GPSR (EU) 2023/988</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Applies since 13/12/2024, complementary to MD/MR</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EUR-Lex 32023R0988</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19</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REACH Annex XVII entries 50 / 51</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PAH 1 mg/kg (consumer articles, skin contact); phthalates 0.1 %</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REACH Annex XVII</w:t>
            </w:r>
          </w:p>
        </w:tc>
      </w:tr>
      <w:tr>
        <w:trPr>
          <w:tblHeader w:val="false"/>
        </w:trPr>
        <w:tc>
          <w:tcPr>
            <w:tcW w:type="dxa" w:w="385"/>
            <w:tcMar>
              <w:top w:type="dxa" w:w="50"/>
              <w:left w:type="dxa" w:w="80"/>
              <w:bottom w:type="dxa" w:w="50"/>
              <w:right w:type="dxa" w:w="80"/>
            </w:tcMar>
            <w:vAlign w:val="top"/>
          </w:tcPr>
          <w:p>
            <w:pPr>
              <w:spacing w:after="30"/>
            </w:pPr>
            <w:r>
              <w:rPr>
                <w:rFonts w:ascii="Arial" w:cs="Arial" w:eastAsia="Arial" w:hAnsi="Arial"/>
                <w:sz w:val="17"/>
                <w:szCs w:val="17"/>
              </w:rPr>
              <w:t xml:space="preserve">20</w:t>
            </w:r>
          </w:p>
        </w:tc>
        <w:tc>
          <w:tcPr>
            <w:tcW w:type="dxa" w:w="1927"/>
            <w:tcMar>
              <w:top w:type="dxa" w:w="50"/>
              <w:left w:type="dxa" w:w="80"/>
              <w:bottom w:type="dxa" w:w="50"/>
              <w:right w:type="dxa" w:w="80"/>
            </w:tcMar>
            <w:vAlign w:val="top"/>
          </w:tcPr>
          <w:p>
            <w:pPr>
              <w:spacing w:after="30"/>
            </w:pPr>
            <w:r>
              <w:rPr>
                <w:rFonts w:ascii="Arial" w:cs="Arial" w:eastAsia="Arial" w:hAnsi="Arial"/>
                <w:sz w:val="17"/>
                <w:szCs w:val="17"/>
              </w:rPr>
              <w:t xml:space="preserve">Ally inputs</w:t>
            </w:r>
          </w:p>
        </w:tc>
        <w:tc>
          <w:tcPr>
            <w:tcW w:type="dxa" w:w="3855"/>
            <w:tcMar>
              <w:top w:type="dxa" w:w="50"/>
              <w:left w:type="dxa" w:w="80"/>
              <w:bottom w:type="dxa" w:w="50"/>
              <w:right w:type="dxa" w:w="80"/>
            </w:tcMar>
            <w:vAlign w:val="top"/>
          </w:tcPr>
          <w:p>
            <w:pPr>
              <w:spacing w:after="30"/>
            </w:pPr>
            <w:r>
              <w:rPr>
                <w:rFonts w:ascii="Arial" w:cs="Arial" w:eastAsia="Arial" w:hAnsi="Arial"/>
                <w:sz w:val="17"/>
                <w:szCs w:val="17"/>
              </w:rPr>
              <w:t xml:space="preserve">Overload valve mandatory?, salt-spray hours, DFT, BCM languages, GS order scope</w:t>
            </w:r>
          </w:p>
        </w:tc>
        <w:tc>
          <w:tcPr>
            <w:tcW w:type="dxa" w:w="1156"/>
            <w:tcMar>
              <w:top w:type="dxa" w:w="50"/>
              <w:left w:type="dxa" w:w="80"/>
              <w:bottom w:type="dxa" w:w="50"/>
              <w:right w:type="dxa" w:w="80"/>
            </w:tcMar>
            <w:vAlign w:val="top"/>
          </w:tcPr>
          <w:p>
            <w:pPr>
              <w:spacing w:after="30"/>
            </w:pPr>
            <w:r>
              <w:rPr>
                <w:rFonts w:ascii="Arial" w:cs="Arial" w:eastAsia="Arial" w:hAnsi="Arial"/>
                <w:sz w:val="17"/>
                <w:szCs w:val="17"/>
              </w:rPr>
              <w:t xml:space="preserve">⚠️</w:t>
            </w:r>
          </w:p>
        </w:tc>
        <w:tc>
          <w:tcPr>
            <w:tcW w:type="dxa" w:w="2315"/>
            <w:tcMar>
              <w:top w:type="dxa" w:w="50"/>
              <w:left w:type="dxa" w:w="80"/>
              <w:bottom w:type="dxa" w:w="50"/>
              <w:right w:type="dxa" w:w="80"/>
            </w:tcMar>
            <w:vAlign w:val="top"/>
          </w:tcPr>
          <w:p>
            <w:pPr>
              <w:spacing w:after="30"/>
            </w:pPr>
            <w:r>
              <w:rPr>
                <w:rFonts w:ascii="Arial" w:cs="Arial" w:eastAsia="Arial" w:hAnsi="Arial"/>
                <w:sz w:val="17"/>
                <w:szCs w:val="17"/>
              </w:rPr>
              <w:t xml:space="preserve">Ally confirmation required</w:t>
            </w:r>
          </w:p>
        </w:tc>
      </w:tr>
    </w:tbl>
    <w:p>
      <w:pPr>
        <w:spacing w:after="8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A.R.E.N.A. Vietnam — Controlled when approved · 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MCG-DIY-HT-PT-001 v1.3 · Manual Hand Pallet Truck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28"/>
      <w:szCs w:val="28"/>
    </w:rPr>
  </w:style>
  <w:style w:type="paragraph" w:styleId="Heading2">
    <w:name w:val="Heading 2"/>
    <w:basedOn w:val="Normal"/>
    <w:next w:val="Normal"/>
    <w:qFormat/>
    <w:pPr>
      <w:outlineLvl w:val="1"/>
    </w:pPr>
    <w:rPr>
      <w:rFonts w:ascii="Arial" w:cs="Arial" w:eastAsia="Arial" w:hAnsi="Arial"/>
      <w:b/>
      <w:bCs/>
      <w:color w:val="1F3864"/>
      <w:sz w:val="24"/>
      <w:szCs w:val="24"/>
    </w:rPr>
  </w:style>
  <w:style w:type="paragraph" w:styleId="Heading3">
    <w:name w:val="Heading 3"/>
    <w:basedOn w:val="Normal"/>
    <w:next w:val="Normal"/>
    <w:qFormat/>
    <w:pPr>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3dcc23ce536a6996178eecd145967eb881034df.png"/><Relationship Id="rId10" Type="http://schemas.openxmlformats.org/officeDocument/2006/relationships/image" Target="media/4c80745fbff1966c8284c992773d171377054e69.png"/><Relationship Id="rId11" Type="http://schemas.openxmlformats.org/officeDocument/2006/relationships/image" Target="media/ac7989cb32401e3f67173481f7db3c239d4a7db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MCG Manual Hand Pallet Truck</dc:title>
  <dc:creator>A.R.E.N.A. Vietnam QA</dc:creator>
  <cp:lastModifiedBy>Un-named</cp:lastModifiedBy>
  <cp:revision>1</cp:revision>
  <dcterms:created xsi:type="dcterms:W3CDTF">2026-10-14T20:05:28.306Z</dcterms:created>
  <dcterms:modified xsi:type="dcterms:W3CDTF">2026-10-14T20:05:28.317Z</dcterms:modified>
</cp:coreProperties>
</file>

<file path=docProps/custom.xml><?xml version="1.0" encoding="utf-8"?>
<Properties xmlns="http://schemas.openxmlformats.org/officeDocument/2006/custom-properties" xmlns:vt="http://schemas.openxmlformats.org/officeDocument/2006/docPropsVTypes"/>
</file>