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pPr>
      <w:r>
        <w:rPr>
          <w:rFonts w:ascii="Arial" w:cs="Arial" w:eastAsia="Arial" w:hAnsi="Arial"/>
          <w:b/>
          <w:bCs/>
          <w:color w:val="1F3864"/>
          <w:sz w:val="20"/>
          <w:szCs w:val="20"/>
        </w:rPr>
        <w:t xml:space="preserve">A.R.E.N.A. VIETNAM — QUALITY &amp; COMPLIANCE</w:t>
      </w:r>
    </w:p>
    <w:p>
      <w:pPr>
        <w:spacing w:after="120"/>
      </w:pPr>
      <w:r>
        <w:rPr>
          <w:rFonts w:ascii="Arial" w:cs="Arial" w:eastAsia="Arial" w:hAnsi="Arial"/>
          <w:b/>
          <w:bCs/>
          <w:color w:val="1F3864"/>
          <w:sz w:val="44"/>
          <w:szCs w:val="44"/>
        </w:rPr>
        <w:t xml:space="preserve">Master Quality Compliance Guideline</w:t>
      </w:r>
    </w:p>
    <w:p>
      <w:pPr>
        <w:spacing w:after="400"/>
      </w:pPr>
      <w:r>
        <w:rPr>
          <w:rFonts w:ascii="Arial" w:cs="Arial" w:eastAsia="Arial" w:hAnsi="Arial"/>
          <w:b/>
          <w:bCs/>
          <w:sz w:val="30"/>
          <w:szCs w:val="30"/>
        </w:rPr>
        <w:t xml:space="preserve">Manual Hand Pallet Truck (pedestrian-propelled, hydraulic lift)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Document reference</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MCG-DIY-HT-PT-001</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Version / status</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v1.1 — Draft for CQAD approval (adds GS mark process, Section 10)</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Issue date</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14/10/2026</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Department</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DIY</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Product Family (QSD level)</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Hand Tools</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Product Sub-Family (QCP level)</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Storage / Moving</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Compliance pathway</w:t>
            </w:r>
          </w:p>
        </w:tc>
        <w:tc>
          <w:tcPr>
            <w:tcW w:type="dxa" w:w="6747"/>
            <w:tcMar>
              <w:top w:type="dxa" w:w="50"/>
              <w:left w:type="dxa" w:w="80"/>
              <w:bottom w:type="dxa" w:w="50"/>
              <w:right w:type="dxa" w:w="80"/>
            </w:tcMar>
            <w:vAlign w:val="top"/>
          </w:tcPr>
          <w:p>
            <w:pPr>
              <w:spacing w:after="30"/>
            </w:pPr>
            <w:r>
              <w:rPr>
                <w:rFonts w:ascii="Arial" w:cs="Arial" w:eastAsia="Arial" w:hAnsi="Arial"/>
                <w:b/>
                <w:bCs/>
                <w:sz w:val="17"/>
                <w:szCs w:val="17"/>
              </w:rPr>
              <w:t xml:space="preserve">PATHWAY A — CE marking</w:t>
            </w:r>
            <w:r>
              <w:rPr>
                <w:rFonts w:ascii="Arial" w:cs="Arial" w:eastAsia="Arial" w:hAnsi="Arial"/>
                <w:sz w:val="17"/>
                <w:szCs w:val="17"/>
              </w:rPr>
              <w:t xml:space="preserve"> · Machinery Directive 2006/42/EC → Machinery Regulation (EU) 2023/1230 from 20/01/2027 · Internal production control (Module A), no Notified Body</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Target markets</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EU-27 + Switzerland</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Allies</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HAGEBAU · ITM · BCM · DEDEMAN · JUMBO/Coop</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Mode</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Mode 1 — Category level (supplier / factory fields left as [___])</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Source document</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Product requirements – pallet truck (sample validation checklist, A.R.E.N.A. template)</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Prepared by / Approved by</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QS [___]  /  CQAD [___]</w:t>
            </w:r>
          </w:p>
        </w:tc>
      </w:tr>
    </w:tbl>
    <w:p>
      <w:pPr>
        <w:spacing w:after="80"/>
      </w:pPr>
    </w:p>
    <w:p>
      <w:pPr>
        <w:spacing w:after="120"/>
      </w:pPr>
      <w:r>
        <w:rPr>
          <w:rFonts w:ascii="Arial" w:cs="Arial" w:eastAsia="Arial" w:hAnsi="Arial"/>
          <w:i/>
          <w:iCs/>
          <w:sz w:val="16"/>
          <w:szCs w:val="16"/>
        </w:rPr>
        <w:t xml:space="preserve">Disclaimer: standard editions, clause numbers and OJEU citation status marked “verify” must be confirmed against the current official texts before this guideline is released as controlled document.</w:t>
      </w:r>
    </w:p>
    <w:p>
      <w:r>
        <w:br w:type="page"/>
      </w:r>
    </w:p>
    <w:p>
      <w:pPr>
        <w:spacing w:after="120"/>
      </w:pPr>
      <w:r>
        <w:rPr>
          <w:rFonts w:ascii="Arial" w:cs="Arial" w:eastAsia="Arial" w:hAnsi="Arial"/>
          <w:b/>
          <w:bCs/>
          <w:color w:val="1F3864"/>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pPr>
      <w:r>
        <w:rPr>
          <w:rFonts w:ascii="Arial" w:cs="Arial" w:eastAsia="Arial" w:hAnsi="Arial"/>
          <w:i/>
          <w:iCs/>
          <w:sz w:val="16"/>
          <w:szCs w:val="16"/>
        </w:rPr>
        <w:t xml:space="preserve">(Right-click → Update field in Word to refresh page numbers.)</w:t>
      </w:r>
    </w:p>
    <w:p>
      <w:r>
        <w:br w:type="page"/>
      </w:r>
    </w:p>
    <w:p>
      <w:pPr>
        <w:pStyle w:val="Heading1"/>
        <w:spacing w:after="160" w:before="240"/>
      </w:pPr>
      <w:r>
        <w:rPr>
          <w:rFonts w:ascii="Arial" w:cs="Arial" w:eastAsia="Arial" w:hAnsi="Arial"/>
          <w:b/>
          <w:bCs/>
          <w:color w:val="1F3864"/>
          <w:sz w:val="28"/>
          <w:szCs w:val="28"/>
        </w:rPr>
        <w:t xml:space="preserve">1. Executive Summary</w:t>
      </w:r>
    </w:p>
    <w:p>
      <w:pPr>
        <w:pStyle w:val="ListParagraph"/>
        <w:numPr>
          <w:ilvl w:val="0"/>
          <w:numId w:val="2"/>
        </w:numPr>
        <w:spacing w:after="60"/>
      </w:pPr>
      <w:r>
        <w:rPr>
          <w:rFonts w:ascii="Arial" w:cs="Arial" w:eastAsia="Arial" w:hAnsi="Arial"/>
          <w:b/>
          <w:bCs/>
          <w:sz w:val="20"/>
          <w:szCs w:val="20"/>
        </w:rPr>
        <w:t xml:space="preserve">Pathway A (CE).</w:t>
      </w:r>
      <w:r>
        <w:rPr>
          <w:rFonts w:ascii="Arial" w:cs="Arial" w:eastAsia="Arial" w:hAnsi="Arial"/>
          <w:sz w:val="20"/>
          <w:szCs w:val="20"/>
        </w:rPr>
        <w:t xml:space="preserve"> A manual pallet truck is lifting machinery whose only power source is directly applied human effort — within the scope of the Machinery Directive 2006/42/EC (Art. 2(a), 4th indent) and of the Machinery Regulation (EU) 2023/1230 from 20/01/2027.</w:t>
      </w:r>
    </w:p>
    <w:p>
      <w:pPr>
        <w:pStyle w:val="ListParagraph"/>
        <w:numPr>
          <w:ilvl w:val="0"/>
          <w:numId w:val="2"/>
        </w:numPr>
        <w:spacing w:after="60"/>
      </w:pPr>
      <w:r>
        <w:rPr>
          <w:rFonts w:ascii="Arial" w:cs="Arial" w:eastAsia="Arial" w:hAnsi="Arial"/>
          <w:b/>
          <w:bCs/>
          <w:sz w:val="20"/>
          <w:szCs w:val="20"/>
        </w:rPr>
        <w:t xml:space="preserve">Regulatory switch-over.</w:t>
      </w:r>
      <w:r>
        <w:rPr>
          <w:rFonts w:ascii="Arial" w:cs="Arial" w:eastAsia="Arial" w:hAnsi="Arial"/>
          <w:sz w:val="20"/>
          <w:szCs w:val="20"/>
        </w:rPr>
        <w:t xml:space="preserve"> Units placed on the EU market up to 19/01/2027 → MD 2006/42/EC. Units placed on the market from 20/01/2027 → MR (EU) 2023/1230 (new DoC wording, Annex III EHSR, importer marking, instructions rules). Any P.O. with EU arrival on or after 20/01/2027 shall be documented under the MR.</w:t>
      </w:r>
    </w:p>
    <w:p>
      <w:pPr>
        <w:pStyle w:val="ListParagraph"/>
        <w:numPr>
          <w:ilvl w:val="0"/>
          <w:numId w:val="2"/>
        </w:numPr>
        <w:spacing w:after="60"/>
      </w:pPr>
      <w:r>
        <w:rPr>
          <w:rFonts w:ascii="Arial" w:cs="Arial" w:eastAsia="Arial" w:hAnsi="Arial"/>
          <w:b/>
          <w:bCs/>
          <w:sz w:val="20"/>
          <w:szCs w:val="20"/>
        </w:rPr>
        <w:t xml:space="preserve">Conformity assessment.</w:t>
      </w:r>
      <w:r>
        <w:rPr>
          <w:rFonts w:ascii="Arial" w:cs="Arial" w:eastAsia="Arial" w:hAnsi="Arial"/>
          <w:sz w:val="20"/>
          <w:szCs w:val="20"/>
        </w:rPr>
        <w:t xml:space="preserve"> Not listed in MD Annex IV / MR Annex I → internal production control (MD Art. 12(2), Annex VIII; MR Module A, Annex VI). No Notified Body; A.R.E.N.A. requires an ISO/IEC 17025-accredited third-party test report.</w:t>
      </w:r>
    </w:p>
    <w:p>
      <w:pPr>
        <w:pStyle w:val="ListParagraph"/>
        <w:numPr>
          <w:ilvl w:val="0"/>
          <w:numId w:val="2"/>
        </w:numPr>
        <w:spacing w:after="60"/>
      </w:pPr>
      <w:r>
        <w:rPr>
          <w:rFonts w:ascii="Arial" w:cs="Arial" w:eastAsia="Arial" w:hAnsi="Arial"/>
          <w:b/>
          <w:bCs/>
          <w:sz w:val="20"/>
          <w:szCs w:val="20"/>
        </w:rPr>
        <w:t xml:space="preserve">Harmonised standards.</w:t>
      </w:r>
      <w:r>
        <w:rPr>
          <w:rFonts w:ascii="Arial" w:cs="Arial" w:eastAsia="Arial" w:hAnsi="Arial"/>
          <w:sz w:val="20"/>
          <w:szCs w:val="20"/>
        </w:rPr>
        <w:t xml:space="preserve"> EN ISO 3691-5:2015 + A1:2020 (pedestrian-propelled trucks), EN 16307-5:2013 (supplementary requirements), EN ISO 12100:2010 (risk assessment). Verify OJEU citation under the MR.</w:t>
      </w:r>
    </w:p>
    <w:p>
      <w:pPr>
        <w:pStyle w:val="ListParagraph"/>
        <w:numPr>
          <w:ilvl w:val="0"/>
          <w:numId w:val="2"/>
        </w:numPr>
        <w:spacing w:after="60"/>
      </w:pPr>
      <w:r>
        <w:rPr>
          <w:rFonts w:ascii="Arial" w:cs="Arial" w:eastAsia="Arial" w:hAnsi="Arial"/>
          <w:b/>
          <w:bCs/>
          <w:sz w:val="20"/>
          <w:szCs w:val="20"/>
        </w:rPr>
        <w:t xml:space="preserve">Horizontal overlays.</w:t>
      </w:r>
      <w:r>
        <w:rPr>
          <w:rFonts w:ascii="Arial" w:cs="Arial" w:eastAsia="Arial" w:hAnsi="Arial"/>
          <w:sz w:val="20"/>
          <w:szCs w:val="20"/>
        </w:rPr>
        <w:t xml:space="preserve"> REACH (Art. 33 SVHC, Annex XVII entries 50 PAH and 51 phthalates for grips/wheels), POPs (EU) 2019/1021 (SCCP), PPWR (EU) 2025/40 (applicable since 12/08/2026), GPSR (EU) 2023/988 (complementary), Reg. (EU) 2019/1020 Art. 4 (EU economic operator).</w:t>
      </w:r>
    </w:p>
    <w:p>
      <w:pPr>
        <w:pStyle w:val="ListParagraph"/>
        <w:numPr>
          <w:ilvl w:val="0"/>
          <w:numId w:val="2"/>
        </w:numPr>
        <w:spacing w:after="60"/>
      </w:pPr>
      <w:r>
        <w:rPr>
          <w:rFonts w:ascii="Arial" w:cs="Arial" w:eastAsia="Arial" w:hAnsi="Arial"/>
          <w:b/>
          <w:bCs/>
          <w:sz w:val="20"/>
          <w:szCs w:val="20"/>
        </w:rPr>
        <w:t xml:space="preserve">Key corrections to the source checklist:</w:t>
      </w:r>
      <w:r>
        <w:rPr>
          <w:rFonts w:ascii="Arial" w:cs="Arial" w:eastAsia="Arial" w:hAnsi="Arial"/>
          <w:sz w:val="20"/>
          <w:szCs w:val="20"/>
        </w:rPr>
        <w:t xml:space="preserve"> GPSD 2001/95/EC → GPSR; PPWD 94/62/EC → PPWR; dynamic test (1.1 × rated load), load holding, overload device, crushing points, data plate and instructions checks added; AQL sampling plan defined. Full log in Section 15.</w:t>
      </w:r>
    </w:p>
    <w:p>
      <w:pPr>
        <w:pStyle w:val="ListParagraph"/>
        <w:numPr>
          <w:ilvl w:val="0"/>
          <w:numId w:val="2"/>
        </w:numPr>
        <w:spacing w:after="60"/>
      </w:pPr>
      <w:r>
        <w:rPr>
          <w:rFonts w:ascii="Arial" w:cs="Arial" w:eastAsia="Arial" w:hAnsi="Arial"/>
          <w:b/>
          <w:bCs/>
          <w:sz w:val="20"/>
          <w:szCs w:val="20"/>
        </w:rPr>
        <w:t xml:space="preserve">GS mark (voluntary, Germany).</w:t>
      </w:r>
      <w:r>
        <w:rPr>
          <w:rFonts w:ascii="Arial" w:cs="Arial" w:eastAsia="Arial" w:hAnsi="Arial"/>
          <w:sz w:val="20"/>
          <w:szCs w:val="20"/>
        </w:rPr>
        <w:t xml:space="preserve"> Where an Ally (e.g. HAGEBAU) orders GS, a ZLS-recognised GS body (TÜV SÜD / TÜV Rheinland / TÜV NORD or equivalent) tests the type to EN ISO 3691-5 + AfPS GS 2019:01 PAK, inspects the factory before award and annually thereafter; certificate max. 5 years (ProdSG §§ 20–22). Process in Section 10.</w:t>
      </w:r>
    </w:p>
    <w:p>
      <w:pPr>
        <w:pStyle w:val="ListParagraph"/>
        <w:numPr>
          <w:ilvl w:val="0"/>
          <w:numId w:val="2"/>
        </w:numPr>
        <w:spacing w:after="60"/>
      </w:pPr>
      <w:r>
        <w:rPr>
          <w:rFonts w:ascii="Arial" w:cs="Arial" w:eastAsia="Arial" w:hAnsi="Arial"/>
          <w:b/>
          <w:bCs/>
          <w:sz w:val="20"/>
          <w:szCs w:val="20"/>
        </w:rPr>
        <w:t xml:space="preserve">Release (SRC) critical items:</w:t>
      </w:r>
      <w:r>
        <w:rPr>
          <w:rFonts w:ascii="Arial" w:cs="Arial" w:eastAsia="Arial" w:hAnsi="Arial"/>
          <w:sz w:val="20"/>
          <w:szCs w:val="20"/>
        </w:rPr>
        <w:t xml:space="preserve"> valid test report covering the variant, signed DoC in Ally language(s), CE + complete data plate incl. rated capacity, paper instructions in the destination language(s), FRI PASS (Cr 0 / Ma 2.5 / Mi 4.0), PPWR packaging data, SVHC declaration.</w:t>
      </w:r>
    </w:p>
    <w:p>
      <w:pPr>
        <w:pStyle w:val="Heading1"/>
        <w:spacing w:after="160" w:before="240"/>
      </w:pPr>
      <w:r>
        <w:rPr>
          <w:rFonts w:ascii="Arial" w:cs="Arial" w:eastAsia="Arial" w:hAnsi="Arial"/>
          <w:b/>
          <w:bCs/>
          <w:color w:val="1F3864"/>
          <w:sz w:val="28"/>
          <w:szCs w:val="28"/>
        </w:rPr>
        <w:t xml:space="preserve">2. Link 1 — 4-Step Compliance Determination</w:t>
      </w:r>
    </w:p>
    <w:p>
      <w:pPr>
        <w:pStyle w:val="Heading2"/>
        <w:spacing w:after="120" w:before="200"/>
      </w:pPr>
      <w:r>
        <w:rPr>
          <w:rFonts w:ascii="Arial" w:cs="Arial" w:eastAsia="Arial" w:hAnsi="Arial"/>
          <w:b/>
          <w:bCs/>
          <w:color w:val="1F3864"/>
          <w:sz w:val="24"/>
          <w:szCs w:val="24"/>
        </w:rPr>
        <w:t xml:space="preserve">2.1 Step I — Intended use and foreseeable misuse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Function</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Horizontal transport of palletised loads up to the rated capacity Q (typically 2 000–3 000 kg at load centre c = 600 mm — confirm per offer); fork lift by pumping the tiller; controlled lowering by hand lever (and/or foot pedal).</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Operating environment</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Smooth, level, hard floors; indoor warehouses, shops, workshops (EN ISO 3691-5 Cl. 3 definition — verify).</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User population</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Professional operators and non-professional DIY customers (DIY retail channel → consumer use assumed for instructions and safety information).</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Reasonably foreseeable misuse</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Overloading; eccentric / off-centre loads; use on slopes or uneven ground; riding on the truck; lifting persons; use as vehicle jack; parking on gradient without brake; children playing with parked truck; tiller released under load.</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Vehicle component?</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No → Pathway D excluded</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Biocidal claim?</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No → Pathway E excluded</w:t>
            </w:r>
          </w:p>
        </w:tc>
      </w:tr>
    </w:tbl>
    <w:p>
      <w:pPr>
        <w:spacing w:after="80"/>
      </w:pPr>
    </w:p>
    <w:p>
      <w:pPr>
        <w:pStyle w:val="Heading2"/>
        <w:spacing w:after="120" w:before="200"/>
      </w:pPr>
      <w:r>
        <w:rPr>
          <w:rFonts w:ascii="Arial" w:cs="Arial" w:eastAsia="Arial" w:hAnsi="Arial"/>
          <w:b/>
          <w:bCs/>
          <w:color w:val="1F3864"/>
          <w:sz w:val="24"/>
          <w:szCs w:val="24"/>
        </w:rPr>
        <w:t xml:space="preserve">2.2 Step II — Directive scope check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313"/>
        <w:gridCol w:w="1349"/>
        <w:gridCol w:w="3663"/>
      </w:tblGrid>
      <w:tr>
        <w:trPr>
          <w:tblHeader/>
        </w:trPr>
        <w:tc>
          <w:tcPr>
            <w:tcW w:type="dxa" w:w="2313"/>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Directive / Regulation</w:t>
            </w:r>
          </w:p>
        </w:tc>
        <w:tc>
          <w:tcPr>
            <w:tcW w:type="dxa" w:w="2313"/>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Scope clause</w:t>
            </w:r>
          </w:p>
        </w:tc>
        <w:tc>
          <w:tcPr>
            <w:tcW w:type="dxa" w:w="1349"/>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In scope?</w:t>
            </w:r>
          </w:p>
        </w:tc>
        <w:tc>
          <w:tcPr>
            <w:tcW w:type="dxa" w:w="3663"/>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Justification</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Machinery Directive 2006/42/EC</w:t>
            </w:r>
          </w:p>
        </w:tc>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Art. 1(1)(a); Art. 2(a) 4th indent</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YES (until 19/01/2027)</w:t>
            </w:r>
          </w:p>
        </w:tc>
        <w:tc>
          <w:tcPr>
            <w:tcW w:type="dxa" w:w="3663"/>
            <w:tcMar>
              <w:top w:type="dxa" w:w="50"/>
              <w:left w:type="dxa" w:w="80"/>
              <w:bottom w:type="dxa" w:w="50"/>
              <w:right w:type="dxa" w:w="80"/>
            </w:tcMar>
            <w:vAlign w:val="top"/>
          </w:tcPr>
          <w:p>
            <w:pPr>
              <w:spacing w:after="30"/>
            </w:pPr>
            <w:r>
              <w:rPr>
                <w:rFonts w:ascii="Arial" w:cs="Arial" w:eastAsia="Arial" w:hAnsi="Arial"/>
                <w:sz w:val="17"/>
                <w:szCs w:val="17"/>
              </w:rPr>
              <w:t xml:space="preserve">Assembly for lifting loads whose only power source is directly applied human effort.</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Machinery Regulation (EU) 2023/1230</w:t>
            </w:r>
          </w:p>
        </w:tc>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Art. 2; Art. 3 definition of “machinery” (manual lifting assemblies) — verify point</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YES (from 20/01/2027)</w:t>
            </w:r>
          </w:p>
        </w:tc>
        <w:tc>
          <w:tcPr>
            <w:tcW w:type="dxa" w:w="3663"/>
            <w:tcMar>
              <w:top w:type="dxa" w:w="50"/>
              <w:left w:type="dxa" w:w="80"/>
              <w:bottom w:type="dxa" w:w="50"/>
              <w:right w:type="dxa" w:w="80"/>
            </w:tcMar>
            <w:vAlign w:val="top"/>
          </w:tcPr>
          <w:p>
            <w:pPr>
              <w:spacing w:after="30"/>
            </w:pPr>
            <w:r>
              <w:rPr>
                <w:rFonts w:ascii="Arial" w:cs="Arial" w:eastAsia="Arial" w:hAnsi="Arial"/>
                <w:sz w:val="17"/>
                <w:szCs w:val="17"/>
              </w:rPr>
              <w:t xml:space="preserve">Same scope logic carried over from MD.</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LVD 2014/35/EU / EMC 2014/30/EU</w:t>
            </w:r>
          </w:p>
        </w:tc>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Art. 1 / Art. 2</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NO</w:t>
            </w:r>
          </w:p>
        </w:tc>
        <w:tc>
          <w:tcPr>
            <w:tcW w:type="dxa" w:w="3663"/>
            <w:tcMar>
              <w:top w:type="dxa" w:w="50"/>
              <w:left w:type="dxa" w:w="80"/>
              <w:bottom w:type="dxa" w:w="50"/>
              <w:right w:type="dxa" w:w="80"/>
            </w:tcMar>
            <w:vAlign w:val="top"/>
          </w:tcPr>
          <w:p>
            <w:pPr>
              <w:spacing w:after="30"/>
            </w:pPr>
            <w:r>
              <w:rPr>
                <w:rFonts w:ascii="Arial" w:cs="Arial" w:eastAsia="Arial" w:hAnsi="Arial"/>
                <w:sz w:val="17"/>
                <w:szCs w:val="17"/>
              </w:rPr>
              <w:t xml:space="preserve">No electrical equipment.</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RED 2014/53/EU / RoHS 2011/65/EU</w:t>
            </w:r>
          </w:p>
        </w:tc>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Art. 1 / Art. 2</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NO</w:t>
            </w:r>
          </w:p>
        </w:tc>
        <w:tc>
          <w:tcPr>
            <w:tcW w:type="dxa" w:w="3663"/>
            <w:tcMar>
              <w:top w:type="dxa" w:w="50"/>
              <w:left w:type="dxa" w:w="80"/>
              <w:bottom w:type="dxa" w:w="50"/>
              <w:right w:type="dxa" w:w="80"/>
            </w:tcMar>
            <w:vAlign w:val="top"/>
          </w:tcPr>
          <w:p>
            <w:pPr>
              <w:spacing w:after="30"/>
            </w:pPr>
            <w:r>
              <w:rPr>
                <w:rFonts w:ascii="Arial" w:cs="Arial" w:eastAsia="Arial" w:hAnsi="Arial"/>
                <w:sz w:val="17"/>
                <w:szCs w:val="17"/>
              </w:rPr>
              <w:t xml:space="preserve">No radio or EEE.</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Toys Reg. (EU) 2025/2509</w:t>
            </w:r>
          </w:p>
        </w:tc>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Art. 2</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NO</w:t>
            </w:r>
          </w:p>
        </w:tc>
        <w:tc>
          <w:tcPr>
            <w:tcW w:type="dxa" w:w="3663"/>
            <w:tcMar>
              <w:top w:type="dxa" w:w="50"/>
              <w:left w:type="dxa" w:w="80"/>
              <w:bottom w:type="dxa" w:w="50"/>
              <w:right w:type="dxa" w:w="80"/>
            </w:tcMar>
            <w:vAlign w:val="top"/>
          </w:tcPr>
          <w:p>
            <w:pPr>
              <w:spacing w:after="30"/>
            </w:pPr>
            <w:r>
              <w:rPr>
                <w:rFonts w:ascii="Arial" w:cs="Arial" w:eastAsia="Arial" w:hAnsi="Arial"/>
                <w:sz w:val="17"/>
                <w:szCs w:val="17"/>
              </w:rPr>
              <w:t xml:space="preserve">Not designed for play.</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PPE (EU) 2016/425 / CPR 305/2011</w:t>
            </w:r>
          </w:p>
        </w:tc>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Art. 3 / Art. 2</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NO</w:t>
            </w:r>
          </w:p>
        </w:tc>
        <w:tc>
          <w:tcPr>
            <w:tcW w:type="dxa" w:w="3663"/>
            <w:tcMar>
              <w:top w:type="dxa" w:w="50"/>
              <w:left w:type="dxa" w:w="80"/>
              <w:bottom w:type="dxa" w:w="50"/>
              <w:right w:type="dxa" w:w="80"/>
            </w:tcMar>
            <w:vAlign w:val="top"/>
          </w:tcPr>
          <w:p>
            <w:pPr>
              <w:spacing w:after="30"/>
            </w:pPr>
            <w:r>
              <w:rPr>
                <w:rFonts w:ascii="Arial" w:cs="Arial" w:eastAsia="Arial" w:hAnsi="Arial"/>
                <w:sz w:val="17"/>
                <w:szCs w:val="17"/>
              </w:rPr>
              <w:t xml:space="preserve">Not PPE; not incorporated in construction works.</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GPSR (EU) 2023/988</w:t>
            </w:r>
          </w:p>
        </w:tc>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Art. 2(1) 2nd subpara.</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COMPLEMENTARY</w:t>
            </w:r>
          </w:p>
        </w:tc>
        <w:tc>
          <w:tcPr>
            <w:tcW w:type="dxa" w:w="3663"/>
            <w:tcMar>
              <w:top w:type="dxa" w:w="50"/>
              <w:left w:type="dxa" w:w="80"/>
              <w:bottom w:type="dxa" w:w="50"/>
              <w:right w:type="dxa" w:w="80"/>
            </w:tcMar>
            <w:vAlign w:val="top"/>
          </w:tcPr>
          <w:p>
            <w:pPr>
              <w:spacing w:after="30"/>
            </w:pPr>
            <w:r>
              <w:rPr>
                <w:rFonts w:ascii="Arial" w:cs="Arial" w:eastAsia="Arial" w:hAnsi="Arial"/>
                <w:sz w:val="17"/>
                <w:szCs w:val="17"/>
              </w:rPr>
              <w:t xml:space="preserve">Applies to aspects/risks not covered by MD/MR and to obligations such as accident notification (Art. 20), online sales (Art. 22) and recalls (Art. 35–37).</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Market Surveillance Reg. (EU) 2019/1020</w:t>
            </w:r>
          </w:p>
        </w:tc>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Art. 4</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YES</w:t>
            </w:r>
          </w:p>
        </w:tc>
        <w:tc>
          <w:tcPr>
            <w:tcW w:type="dxa" w:w="3663"/>
            <w:tcMar>
              <w:top w:type="dxa" w:w="50"/>
              <w:left w:type="dxa" w:w="80"/>
              <w:bottom w:type="dxa" w:w="50"/>
              <w:right w:type="dxa" w:w="80"/>
            </w:tcMar>
            <w:vAlign w:val="top"/>
          </w:tcPr>
          <w:p>
            <w:pPr>
              <w:spacing w:after="30"/>
            </w:pPr>
            <w:r>
              <w:rPr>
                <w:rFonts w:ascii="Arial" w:cs="Arial" w:eastAsia="Arial" w:hAnsi="Arial"/>
                <w:sz w:val="17"/>
                <w:szCs w:val="17"/>
              </w:rPr>
              <w:t xml:space="preserve">Machinery listed in Art. 4(5): an EU-established economic operator is mandatory; name and contact on product, packaging or accompanying document.</w:t>
            </w:r>
          </w:p>
        </w:tc>
      </w:tr>
    </w:tbl>
    <w:p>
      <w:pPr>
        <w:spacing w:after="80"/>
      </w:pPr>
    </w:p>
    <w:p>
      <w:pPr>
        <w:pStyle w:val="Heading2"/>
        <w:spacing w:after="120" w:before="200"/>
      </w:pPr>
      <w:r>
        <w:rPr>
          <w:rFonts w:ascii="Arial" w:cs="Arial" w:eastAsia="Arial" w:hAnsi="Arial"/>
          <w:b/>
          <w:bCs/>
          <w:color w:val="1F3864"/>
          <w:sz w:val="24"/>
          <w:szCs w:val="24"/>
        </w:rPr>
        <w:t xml:space="preserve">2.3 Step III — Material composition overlays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2120"/>
        <w:gridCol w:w="5013"/>
      </w:tblGrid>
      <w:tr>
        <w:trPr>
          <w:tblHeader/>
        </w:trPr>
        <w:tc>
          <w:tcPr>
            <w:tcW w:type="dxa" w:w="2505"/>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Material / signal</w:t>
            </w:r>
          </w:p>
        </w:tc>
        <w:tc>
          <w:tcPr>
            <w:tcW w:type="dxa" w:w="2120"/>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Overlay</w:t>
            </w:r>
          </w:p>
        </w:tc>
        <w:tc>
          <w:tcPr>
            <w:tcW w:type="dxa" w:w="5013"/>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Requirement / action</w:t>
            </w:r>
          </w:p>
        </w:tc>
      </w:tr>
      <w:tr>
        <w:trPr>
          <w:tblHeader w:val="false"/>
        </w:trPr>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All articles</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REACH Art. 33</w:t>
            </w:r>
          </w:p>
        </w:tc>
        <w:tc>
          <w:tcPr>
            <w:tcW w:type="dxa" w:w="5013"/>
            <w:tcMar>
              <w:top w:type="dxa" w:w="50"/>
              <w:left w:type="dxa" w:w="80"/>
              <w:bottom w:type="dxa" w:w="50"/>
              <w:right w:type="dxa" w:w="80"/>
            </w:tcMar>
            <w:vAlign w:val="top"/>
          </w:tcPr>
          <w:p>
            <w:pPr>
              <w:spacing w:after="30"/>
            </w:pPr>
            <w:r>
              <w:rPr>
                <w:rFonts w:ascii="Arial" w:cs="Arial" w:eastAsia="Arial" w:hAnsi="Arial"/>
                <w:sz w:val="17"/>
                <w:szCs w:val="17"/>
              </w:rPr>
              <w:t xml:space="preserve">SVHC declaration per shipment (Candidate List current at shipment date, &gt; 0.1 % w/w per article).</w:t>
            </w:r>
          </w:p>
        </w:tc>
      </w:tr>
      <w:tr>
        <w:trPr>
          <w:tblHeader w:val="false"/>
        </w:trPr>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Tiller grip, wheels (PU/rubber/PVC) — skin contact</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REACH Annex XVII entry 50</w:t>
            </w:r>
          </w:p>
        </w:tc>
        <w:tc>
          <w:tcPr>
            <w:tcW w:type="dxa" w:w="5013"/>
            <w:tcMar>
              <w:top w:type="dxa" w:w="50"/>
              <w:left w:type="dxa" w:w="80"/>
              <w:bottom w:type="dxa" w:w="50"/>
              <w:right w:type="dxa" w:w="80"/>
            </w:tcMar>
            <w:vAlign w:val="top"/>
          </w:tcPr>
          <w:p>
            <w:pPr>
              <w:spacing w:after="30"/>
            </w:pPr>
            <w:r>
              <w:rPr>
                <w:rFonts w:ascii="Arial" w:cs="Arial" w:eastAsia="Arial" w:hAnsi="Arial"/>
                <w:sz w:val="17"/>
                <w:szCs w:val="17"/>
              </w:rPr>
              <w:t xml:space="preserve">8 PAH ≤ 1 mg/kg each (articles supplied to general public, prolonged/repetitive skin contact).</w:t>
            </w:r>
          </w:p>
        </w:tc>
      </w:tr>
      <w:tr>
        <w:trPr>
          <w:tblHeader w:val="false"/>
        </w:trPr>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Plasticised PVC grip / hoses</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REACH Annex XVII entry 51</w:t>
            </w:r>
          </w:p>
        </w:tc>
        <w:tc>
          <w:tcPr>
            <w:tcW w:type="dxa" w:w="5013"/>
            <w:tcMar>
              <w:top w:type="dxa" w:w="50"/>
              <w:left w:type="dxa" w:w="80"/>
              <w:bottom w:type="dxa" w:w="50"/>
              <w:right w:type="dxa" w:w="80"/>
            </w:tcMar>
            <w:vAlign w:val="top"/>
          </w:tcPr>
          <w:p>
            <w:pPr>
              <w:spacing w:after="30"/>
            </w:pPr>
            <w:r>
              <w:rPr>
                <w:rFonts w:ascii="Arial" w:cs="Arial" w:eastAsia="Arial" w:hAnsi="Arial"/>
                <w:sz w:val="17"/>
                <w:szCs w:val="17"/>
              </w:rPr>
              <w:t xml:space="preserve">DEHP, DBP, BBP, DIBP ≤ 0.1 % (sum) in plasticised material.</w:t>
            </w:r>
          </w:p>
        </w:tc>
      </w:tr>
      <w:tr>
        <w:trPr>
          <w:tblHeader w:val="false"/>
        </w:trPr>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PVC / rubber parts</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POPs Reg. (EU) 2019/1021</w:t>
            </w:r>
          </w:p>
        </w:tc>
        <w:tc>
          <w:tcPr>
            <w:tcW w:type="dxa" w:w="5013"/>
            <w:tcMar>
              <w:top w:type="dxa" w:w="50"/>
              <w:left w:type="dxa" w:w="80"/>
              <w:bottom w:type="dxa" w:w="50"/>
              <w:right w:type="dxa" w:w="80"/>
            </w:tcMar>
            <w:vAlign w:val="top"/>
          </w:tcPr>
          <w:p>
            <w:pPr>
              <w:spacing w:after="30"/>
            </w:pPr>
            <w:r>
              <w:rPr>
                <w:rFonts w:ascii="Arial" w:cs="Arial" w:eastAsia="Arial" w:hAnsi="Arial"/>
                <w:sz w:val="17"/>
                <w:szCs w:val="17"/>
              </w:rPr>
              <w:t xml:space="preserve">SCCP ≤ 1 500 mg/kg (0.15 %) in articles — verify current limit.</w:t>
            </w:r>
          </w:p>
        </w:tc>
      </w:tr>
      <w:tr>
        <w:trPr>
          <w:tblHeader w:val="false"/>
        </w:trPr>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Hydraulic oil (contained in pump)</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REACH / CLP</w:t>
            </w:r>
          </w:p>
        </w:tc>
        <w:tc>
          <w:tcPr>
            <w:tcW w:type="dxa" w:w="5013"/>
            <w:tcMar>
              <w:top w:type="dxa" w:w="50"/>
              <w:left w:type="dxa" w:w="80"/>
              <w:bottom w:type="dxa" w:w="50"/>
              <w:right w:type="dxa" w:w="80"/>
            </w:tcMar>
            <w:vAlign w:val="top"/>
          </w:tcPr>
          <w:p>
            <w:pPr>
              <w:spacing w:after="30"/>
            </w:pPr>
            <w:r>
              <w:rPr>
                <w:rFonts w:ascii="Arial" w:cs="Arial" w:eastAsia="Arial" w:hAnsi="Arial"/>
                <w:sz w:val="17"/>
                <w:szCs w:val="17"/>
              </w:rPr>
              <w:t xml:space="preserve">Oil is part of the article; provide SDS of the oil type for maintenance; oil type and volume in instructions.</w:t>
            </w:r>
          </w:p>
        </w:tc>
      </w:tr>
      <w:tr>
        <w:trPr>
          <w:tblHeader w:val="false"/>
        </w:trPr>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Painted / powder-coated steel</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REACH SVHC (Pb chromates)</w:t>
            </w:r>
          </w:p>
        </w:tc>
        <w:tc>
          <w:tcPr>
            <w:tcW w:type="dxa" w:w="5013"/>
            <w:tcMar>
              <w:top w:type="dxa" w:w="50"/>
              <w:left w:type="dxa" w:w="80"/>
              <w:bottom w:type="dxa" w:w="50"/>
              <w:right w:type="dxa" w:w="80"/>
            </w:tcMar>
            <w:vAlign w:val="top"/>
          </w:tcPr>
          <w:p>
            <w:pPr>
              <w:spacing w:after="30"/>
            </w:pPr>
            <w:r>
              <w:rPr>
                <w:rFonts w:ascii="Arial" w:cs="Arial" w:eastAsia="Arial" w:hAnsi="Arial"/>
                <w:sz w:val="17"/>
                <w:szCs w:val="17"/>
              </w:rPr>
              <w:t xml:space="preserve">Lead chromate pigments are SVHC/authorisation substances — confirm lead-free coating.</w:t>
            </w:r>
          </w:p>
        </w:tc>
      </w:tr>
      <w:tr>
        <w:trPr>
          <w:tblHeader w:val="false"/>
        </w:trPr>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Steel frame / forks</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CBAM (EU) 2023/956</w:t>
            </w:r>
          </w:p>
        </w:tc>
        <w:tc>
          <w:tcPr>
            <w:tcW w:type="dxa" w:w="5013"/>
            <w:tcMar>
              <w:top w:type="dxa" w:w="50"/>
              <w:left w:type="dxa" w:w="80"/>
              <w:bottom w:type="dxa" w:w="50"/>
              <w:right w:type="dxa" w:w="80"/>
            </w:tcMar>
            <w:vAlign w:val="top"/>
          </w:tcPr>
          <w:p>
            <w:pPr>
              <w:spacing w:after="30"/>
            </w:pPr>
            <w:r>
              <w:rPr>
                <w:rFonts w:ascii="Arial" w:cs="Arial" w:eastAsia="Arial" w:hAnsi="Arial"/>
                <w:sz w:val="17"/>
                <w:szCs w:val="17"/>
              </w:rPr>
              <w:t xml:space="preserve">CN 8427 90 00 not in CBAM Annex I → out of scope (verify CN code on P.O.).</w:t>
            </w:r>
          </w:p>
        </w:tc>
      </w:tr>
      <w:tr>
        <w:trPr>
          <w:tblHeader w:val="false"/>
        </w:trPr>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Wooden pallet / crate</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ISPM 15 · EUDR (EU) 2023/1115</w:t>
            </w:r>
          </w:p>
        </w:tc>
        <w:tc>
          <w:tcPr>
            <w:tcW w:type="dxa" w:w="5013"/>
            <w:tcMar>
              <w:top w:type="dxa" w:w="50"/>
              <w:left w:type="dxa" w:w="80"/>
              <w:bottom w:type="dxa" w:w="50"/>
              <w:right w:type="dxa" w:w="80"/>
            </w:tcMar>
            <w:vAlign w:val="top"/>
          </w:tcPr>
          <w:p>
            <w:pPr>
              <w:spacing w:after="30"/>
            </w:pPr>
            <w:r>
              <w:rPr>
                <w:rFonts w:ascii="Arial" w:cs="Arial" w:eastAsia="Arial" w:hAnsi="Arial"/>
                <w:sz w:val="17"/>
                <w:szCs w:val="17"/>
              </w:rPr>
              <w:t xml:space="preserve">HT-treated with IPPC mark. Packaging used solely to support/protect another product is excluded from EUDR (Annex I).</w:t>
            </w:r>
          </w:p>
        </w:tc>
      </w:tr>
      <w:tr>
        <w:trPr>
          <w:tblHeader w:val="false"/>
        </w:trPr>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All packaging</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PPWR (EU) 2025/40</w:t>
            </w:r>
          </w:p>
        </w:tc>
        <w:tc>
          <w:tcPr>
            <w:tcW w:type="dxa" w:w="5013"/>
            <w:tcMar>
              <w:top w:type="dxa" w:w="50"/>
              <w:left w:type="dxa" w:w="80"/>
              <w:bottom w:type="dxa" w:w="50"/>
              <w:right w:type="dxa" w:w="80"/>
            </w:tcMar>
            <w:vAlign w:val="top"/>
          </w:tcPr>
          <w:p>
            <w:pPr>
              <w:spacing w:after="30"/>
            </w:pPr>
            <w:r>
              <w:rPr>
                <w:rFonts w:ascii="Arial" w:cs="Arial" w:eastAsia="Arial" w:hAnsi="Arial"/>
                <w:sz w:val="17"/>
                <w:szCs w:val="17"/>
              </w:rPr>
              <w:t xml:space="preserve">Art. 5(4): Pb+Cd+Hg+Cr(VI) ≤ 100 mg/kg; packaging data per SKU; EPR registration (see Link 8).</w:t>
            </w:r>
          </w:p>
        </w:tc>
      </w:tr>
    </w:tbl>
    <w:p>
      <w:pPr>
        <w:spacing w:after="80"/>
      </w:pPr>
    </w:p>
    <w:p>
      <w:pPr>
        <w:pStyle w:val="Heading2"/>
        <w:spacing w:after="120" w:before="200"/>
      </w:pPr>
      <w:r>
        <w:rPr>
          <w:rFonts w:ascii="Arial" w:cs="Arial" w:eastAsia="Arial" w:hAnsi="Arial"/>
          <w:b/>
          <w:bCs/>
          <w:color w:val="1F3864"/>
          <w:sz w:val="24"/>
          <w:szCs w:val="24"/>
        </w:rPr>
        <w:t xml:space="preserve">2.4 Step IV — Market destination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Market / Ally</w:t>
            </w:r>
          </w:p>
        </w:tc>
        <w:tc>
          <w:tcPr>
            <w:tcW w:type="dxa" w:w="7325"/>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Parallel requirements activated</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EU-27 (all)</w:t>
            </w:r>
          </w:p>
        </w:tc>
        <w:tc>
          <w:tcPr>
            <w:tcW w:type="dxa" w:w="7325"/>
            <w:tcMar>
              <w:top w:type="dxa" w:w="50"/>
              <w:left w:type="dxa" w:w="80"/>
              <w:bottom w:type="dxa" w:w="50"/>
              <w:right w:type="dxa" w:w="80"/>
            </w:tcMar>
            <w:vAlign w:val="top"/>
          </w:tcPr>
          <w:p>
            <w:pPr>
              <w:spacing w:after="30"/>
            </w:pPr>
            <w:r>
              <w:rPr>
                <w:rFonts w:ascii="Arial" w:cs="Arial" w:eastAsia="Arial" w:hAnsi="Arial"/>
                <w:sz w:val="17"/>
                <w:szCs w:val="17"/>
              </w:rPr>
              <w:t xml:space="preserve">MD/MR + CE; EU economic operator (2019/1020 Art. 4); GPSR complementary obligations; REACH + POPs; PPWR + national EPR; instructions and DoC in official language(s) of the Member State of sale.</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Switzerland — JUMBO/Coop</w:t>
            </w:r>
          </w:p>
        </w:tc>
        <w:tc>
          <w:tcPr>
            <w:tcW w:type="dxa" w:w="7325"/>
            <w:tcMar>
              <w:top w:type="dxa" w:w="50"/>
              <w:left w:type="dxa" w:w="80"/>
              <w:bottom w:type="dxa" w:w="50"/>
              <w:right w:type="dxa" w:w="80"/>
            </w:tcMar>
            <w:vAlign w:val="top"/>
          </w:tcPr>
          <w:p>
            <w:pPr>
              <w:spacing w:after="30"/>
            </w:pPr>
            <w:r>
              <w:rPr>
                <w:rFonts w:ascii="Arial" w:cs="Arial" w:eastAsia="Arial" w:hAnsi="Arial"/>
                <w:sz w:val="17"/>
                <w:szCs w:val="17"/>
              </w:rPr>
              <w:t xml:space="preserve">Machinery Ordinance (MaschV, SR 819.14) — EU-CH MRA recognises EU conformity; Product Safety Act (PrSG, SR 930.11); instructions DE/FR/IT; Swiss distributor/importer identification. Monitor Swiss alignment to MR (EU) 2023/1230.</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France — ITM</w:t>
            </w:r>
          </w:p>
        </w:tc>
        <w:tc>
          <w:tcPr>
            <w:tcW w:type="dxa" w:w="7325"/>
            <w:tcMar>
              <w:top w:type="dxa" w:w="50"/>
              <w:left w:type="dxa" w:w="80"/>
              <w:bottom w:type="dxa" w:w="50"/>
              <w:right w:type="dxa" w:w="80"/>
            </w:tcMar>
            <w:vAlign w:val="top"/>
          </w:tcPr>
          <w:p>
            <w:pPr>
              <w:spacing w:after="30"/>
            </w:pPr>
            <w:r>
              <w:rPr>
                <w:rFonts w:ascii="Arial" w:cs="Arial" w:eastAsia="Arial" w:hAnsi="Arial"/>
                <w:sz w:val="17"/>
                <w:szCs w:val="17"/>
              </w:rPr>
              <w:t xml:space="preserve">French language (Loi Toubon); Triman + Info-tri sorting information (Code de l’environnement L.541-9-3); mineral oils in packaging inks — Law 2020-105 Art. 112 and implementing decree.</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Germany — HAGEBAU</w:t>
            </w:r>
          </w:p>
        </w:tc>
        <w:tc>
          <w:tcPr>
            <w:tcW w:type="dxa" w:w="7325"/>
            <w:tcMar>
              <w:top w:type="dxa" w:w="50"/>
              <w:left w:type="dxa" w:w="80"/>
              <w:bottom w:type="dxa" w:w="50"/>
              <w:right w:type="dxa" w:w="80"/>
            </w:tcMar>
            <w:vAlign w:val="top"/>
          </w:tcPr>
          <w:p>
            <w:pPr>
              <w:spacing w:after="30"/>
            </w:pPr>
            <w:r>
              <w:rPr>
                <w:rFonts w:ascii="Arial" w:cs="Arial" w:eastAsia="Arial" w:hAnsi="Arial"/>
                <w:sz w:val="17"/>
                <w:szCs w:val="17"/>
              </w:rPr>
              <w:t xml:space="preserve">German language; GS mark (ProdSG §§ 20–22) when ordered by Ally — full process in Section 10; AfPS GS 2019:01 PAK then applies to grips and wheels.</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Romania — DEDEMAN</w:t>
            </w:r>
          </w:p>
        </w:tc>
        <w:tc>
          <w:tcPr>
            <w:tcW w:type="dxa" w:w="7325"/>
            <w:tcMar>
              <w:top w:type="dxa" w:w="50"/>
              <w:left w:type="dxa" w:w="80"/>
              <w:bottom w:type="dxa" w:w="50"/>
              <w:right w:type="dxa" w:w="80"/>
            </w:tcMar>
            <w:vAlign w:val="top"/>
          </w:tcPr>
          <w:p>
            <w:pPr>
              <w:spacing w:after="30"/>
            </w:pPr>
            <w:r>
              <w:rPr>
                <w:rFonts w:ascii="Arial" w:cs="Arial" w:eastAsia="Arial" w:hAnsi="Arial"/>
                <w:sz w:val="17"/>
                <w:szCs w:val="17"/>
              </w:rPr>
              <w:t xml:space="preserve">Romanian language on instructions, warnings and DoC.</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BCM</w:t>
            </w:r>
          </w:p>
        </w:tc>
        <w:tc>
          <w:tcPr>
            <w:tcW w:type="dxa" w:w="7325"/>
            <w:tcMar>
              <w:top w:type="dxa" w:w="50"/>
              <w:left w:type="dxa" w:w="80"/>
              <w:bottom w:type="dxa" w:w="50"/>
              <w:right w:type="dxa" w:w="80"/>
            </w:tcMar>
            <w:vAlign w:val="top"/>
          </w:tcPr>
          <w:p>
            <w:pPr>
              <w:spacing w:after="30"/>
            </w:pPr>
            <w:r>
              <w:rPr>
                <w:rFonts w:ascii="Arial" w:cs="Arial" w:eastAsia="Arial" w:hAnsi="Arial"/>
                <w:sz w:val="17"/>
                <w:szCs w:val="17"/>
              </w:rPr>
              <w:t xml:space="preserve">Language(s) and EPR per destination country — [confirm with Ally].</w:t>
            </w:r>
          </w:p>
        </w:tc>
      </w:tr>
    </w:tbl>
    <w:p>
      <w:pPr>
        <w:spacing w:after="80"/>
      </w:pPr>
    </w:p>
    <w:p>
      <w:pPr>
        <w:pStyle w:val="Heading3"/>
        <w:spacing w:after="80" w:before="140"/>
      </w:pPr>
      <w:r>
        <w:rPr>
          <w:rFonts w:ascii="Arial" w:cs="Arial" w:eastAsia="Arial" w:hAnsi="Arial"/>
          <w:b/>
          <w:bCs/>
          <w:sz w:val="21"/>
          <w:szCs w:val="21"/>
        </w:rPr>
        <w:t xml:space="preserve">Gate 1 decision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GO</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Pathway A assigned with scope-clause justification (this section) — </w:t>
            </w:r>
            <w:r>
              <w:rPr>
                <w:rFonts w:ascii="Arial" w:cs="Arial" w:eastAsia="Arial" w:hAnsi="Arial"/>
                <w:b/>
                <w:bCs/>
                <w:sz w:val="17"/>
                <w:szCs w:val="17"/>
              </w:rPr>
              <w:t xml:space="preserve">current status: GO</w:t>
            </w:r>
          </w:p>
        </w:tc>
      </w:tr>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CONDITIONAL</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Truck variant with electric lift/travel or scale (EEE) → re-run Link 1 (LVD/EMC/RoHS/WEEE/batteries).</w:t>
            </w:r>
          </w:p>
        </w:tc>
      </w:tr>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NO-GO</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Rated capacity, lift height or variant list not defined by supplier.</w:t>
            </w:r>
          </w:p>
        </w:tc>
      </w:tr>
    </w:tbl>
    <w:p>
      <w:pPr>
        <w:spacing w:after="80"/>
      </w:pPr>
    </w:p>
    <w:p>
      <w:pPr>
        <w:pStyle w:val="Heading1"/>
        <w:spacing w:after="160" w:before="240"/>
      </w:pPr>
      <w:r>
        <w:rPr>
          <w:rFonts w:ascii="Arial" w:cs="Arial" w:eastAsia="Arial" w:hAnsi="Arial"/>
          <w:b/>
          <w:bCs/>
          <w:color w:val="1F3864"/>
          <w:sz w:val="28"/>
          <w:szCs w:val="28"/>
        </w:rPr>
        <w:t xml:space="preserve">3. Link 2 — Pathway Assignment and Directive Stack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1252"/>
        <w:gridCol w:w="2409"/>
        <w:gridCol w:w="963"/>
        <w:gridCol w:w="1156"/>
        <w:gridCol w:w="674"/>
        <w:gridCol w:w="1642"/>
      </w:tblGrid>
      <w:tr>
        <w:trPr>
          <w:tblHeader/>
        </w:trPr>
        <w:tc>
          <w:tcPr>
            <w:tcW w:type="dxa" w:w="1542"/>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Directive / Regulation</w:t>
            </w:r>
          </w:p>
        </w:tc>
        <w:tc>
          <w:tcPr>
            <w:tcW w:type="dxa" w:w="1252"/>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Scope</w:t>
            </w:r>
          </w:p>
        </w:tc>
        <w:tc>
          <w:tcPr>
            <w:tcW w:type="dxa" w:w="2409"/>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hEN / reference</w:t>
            </w:r>
          </w:p>
        </w:tc>
        <w:tc>
          <w:tcPr>
            <w:tcW w:type="dxa" w:w="963"/>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Pathway</w:t>
            </w:r>
          </w:p>
        </w:tc>
        <w:tc>
          <w:tcPr>
            <w:tcW w:type="dxa" w:w="1156"/>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Module</w:t>
            </w:r>
          </w:p>
        </w:tc>
        <w:tc>
          <w:tcPr>
            <w:tcW w:type="dxa" w:w="674"/>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NB?</w:t>
            </w:r>
          </w:p>
        </w:tc>
        <w:tc>
          <w:tcPr>
            <w:tcW w:type="dxa" w:w="1642"/>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Declaration</w:t>
            </w: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MD 2006/42/EC</w:t>
            </w:r>
          </w:p>
        </w:tc>
        <w:tc>
          <w:tcPr>
            <w:tcW w:type="dxa" w:w="1252"/>
            <w:tcMar>
              <w:top w:type="dxa" w:w="50"/>
              <w:left w:type="dxa" w:w="80"/>
              <w:bottom w:type="dxa" w:w="50"/>
              <w:right w:type="dxa" w:w="80"/>
            </w:tcMar>
            <w:vAlign w:val="top"/>
          </w:tcPr>
          <w:p>
            <w:pPr>
              <w:spacing w:after="30"/>
            </w:pPr>
            <w:r>
              <w:rPr>
                <w:rFonts w:ascii="Arial" w:cs="Arial" w:eastAsia="Arial" w:hAnsi="Arial"/>
                <w:sz w:val="17"/>
                <w:szCs w:val="17"/>
              </w:rPr>
              <w:t xml:space="preserve">Yes — until 19/01/2027</w:t>
            </w:r>
          </w:p>
        </w:tc>
        <w:tc>
          <w:tcPr>
            <w:tcW w:type="dxa" w:w="2409"/>
            <w:tcMar>
              <w:top w:type="dxa" w:w="50"/>
              <w:left w:type="dxa" w:w="80"/>
              <w:bottom w:type="dxa" w:w="50"/>
              <w:right w:type="dxa" w:w="80"/>
            </w:tcMar>
            <w:vAlign w:val="top"/>
          </w:tcPr>
          <w:p>
            <w:pPr>
              <w:spacing w:after="30"/>
            </w:pPr>
            <w:r>
              <w:rPr>
                <w:rFonts w:ascii="Arial" w:cs="Arial" w:eastAsia="Arial" w:hAnsi="Arial"/>
                <w:sz w:val="17"/>
                <w:szCs w:val="17"/>
              </w:rPr>
              <w:t xml:space="preserve">EN ISO 3691-5:2015+A1:2020; EN 16307-5:2013; EN ISO 12100:2010</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A</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Annex VIII (internal)</w:t>
            </w:r>
          </w:p>
        </w:tc>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No</w:t>
            </w:r>
          </w:p>
        </w:tc>
        <w:tc>
          <w:tcPr>
            <w:tcW w:type="dxa" w:w="1642"/>
            <w:tcMar>
              <w:top w:type="dxa" w:w="50"/>
              <w:left w:type="dxa" w:w="80"/>
              <w:bottom w:type="dxa" w:w="50"/>
              <w:right w:type="dxa" w:w="80"/>
            </w:tcMar>
            <w:vAlign w:val="top"/>
          </w:tcPr>
          <w:p>
            <w:pPr>
              <w:spacing w:after="30"/>
            </w:pPr>
            <w:r>
              <w:rPr>
                <w:rFonts w:ascii="Arial" w:cs="Arial" w:eastAsia="Arial" w:hAnsi="Arial"/>
                <w:sz w:val="17"/>
                <w:szCs w:val="17"/>
              </w:rPr>
              <w:t xml:space="preserve">EC DoC (Annex II 1.A)</w:t>
            </w: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MR (EU) 2023/1230</w:t>
            </w:r>
          </w:p>
        </w:tc>
        <w:tc>
          <w:tcPr>
            <w:tcW w:type="dxa" w:w="1252"/>
            <w:tcMar>
              <w:top w:type="dxa" w:w="50"/>
              <w:left w:type="dxa" w:w="80"/>
              <w:bottom w:type="dxa" w:w="50"/>
              <w:right w:type="dxa" w:w="80"/>
            </w:tcMar>
            <w:vAlign w:val="top"/>
          </w:tcPr>
          <w:p>
            <w:pPr>
              <w:spacing w:after="30"/>
            </w:pPr>
            <w:r>
              <w:rPr>
                <w:rFonts w:ascii="Arial" w:cs="Arial" w:eastAsia="Arial" w:hAnsi="Arial"/>
                <w:sz w:val="17"/>
                <w:szCs w:val="17"/>
              </w:rPr>
              <w:t xml:space="preserve">Yes — from 20/01/2027</w:t>
            </w:r>
          </w:p>
        </w:tc>
        <w:tc>
          <w:tcPr>
            <w:tcW w:type="dxa" w:w="2409"/>
            <w:tcMar>
              <w:top w:type="dxa" w:w="50"/>
              <w:left w:type="dxa" w:w="80"/>
              <w:bottom w:type="dxa" w:w="50"/>
              <w:right w:type="dxa" w:w="80"/>
            </w:tcMar>
            <w:vAlign w:val="top"/>
          </w:tcPr>
          <w:p>
            <w:pPr>
              <w:spacing w:after="30"/>
            </w:pPr>
            <w:r>
              <w:rPr>
                <w:rFonts w:ascii="Arial" w:cs="Arial" w:eastAsia="Arial" w:hAnsi="Arial"/>
                <w:sz w:val="17"/>
                <w:szCs w:val="17"/>
              </w:rPr>
              <w:t xml:space="preserve">Standards cited under MR — monitor OJEU; until cited, apply above as state of the art and document new EHSR gaps</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A (B if no citation)</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Module A (Annex VI)</w:t>
            </w:r>
          </w:p>
        </w:tc>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No</w:t>
            </w:r>
          </w:p>
        </w:tc>
        <w:tc>
          <w:tcPr>
            <w:tcW w:type="dxa" w:w="1642"/>
            <w:tcMar>
              <w:top w:type="dxa" w:w="50"/>
              <w:left w:type="dxa" w:w="80"/>
              <w:bottom w:type="dxa" w:w="50"/>
              <w:right w:type="dxa" w:w="80"/>
            </w:tcMar>
            <w:vAlign w:val="top"/>
          </w:tcPr>
          <w:p>
            <w:pPr>
              <w:spacing w:after="30"/>
            </w:pPr>
            <w:r>
              <w:rPr>
                <w:rFonts w:ascii="Arial" w:cs="Arial" w:eastAsia="Arial" w:hAnsi="Arial"/>
                <w:sz w:val="17"/>
                <w:szCs w:val="17"/>
              </w:rPr>
              <w:t xml:space="preserve">EU DoC (Annex V)</w:t>
            </w: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GPSR (EU) 2023/988</w:t>
            </w:r>
          </w:p>
        </w:tc>
        <w:tc>
          <w:tcPr>
            <w:tcW w:type="dxa" w:w="1252"/>
            <w:tcMar>
              <w:top w:type="dxa" w:w="50"/>
              <w:left w:type="dxa" w:w="80"/>
              <w:bottom w:type="dxa" w:w="50"/>
              <w:right w:type="dxa" w:w="80"/>
            </w:tcMar>
            <w:vAlign w:val="top"/>
          </w:tcPr>
          <w:p>
            <w:pPr>
              <w:spacing w:after="30"/>
            </w:pPr>
            <w:r>
              <w:rPr>
                <w:rFonts w:ascii="Arial" w:cs="Arial" w:eastAsia="Arial" w:hAnsi="Arial"/>
                <w:sz w:val="17"/>
                <w:szCs w:val="17"/>
              </w:rPr>
              <w:t xml:space="preserve">Complementary</w:t>
            </w:r>
          </w:p>
        </w:tc>
        <w:tc>
          <w:tcPr>
            <w:tcW w:type="dxa" w:w="2409"/>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No</w:t>
            </w:r>
          </w:p>
        </w:tc>
        <w:tc>
          <w:tcPr>
            <w:tcW w:type="dxa" w:w="1642"/>
            <w:tcMar>
              <w:top w:type="dxa" w:w="50"/>
              <w:left w:type="dxa" w:w="80"/>
              <w:bottom w:type="dxa" w:w="50"/>
              <w:right w:type="dxa" w:w="80"/>
            </w:tcMar>
            <w:vAlign w:val="top"/>
          </w:tcPr>
          <w:p>
            <w:pPr>
              <w:spacing w:after="30"/>
            </w:pPr>
            <w:r>
              <w:rPr>
                <w:rFonts w:ascii="Arial" w:cs="Arial" w:eastAsia="Arial" w:hAnsi="Arial"/>
                <w:sz w:val="17"/>
                <w:szCs w:val="17"/>
              </w:rPr>
              <w:t xml:space="preserve">None (safety information, traceability)</w:t>
            </w: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Reg. (EU) 2019/1020</w:t>
            </w:r>
          </w:p>
        </w:tc>
        <w:tc>
          <w:tcPr>
            <w:tcW w:type="dxa" w:w="1252"/>
            <w:tcMar>
              <w:top w:type="dxa" w:w="50"/>
              <w:left w:type="dxa" w:w="80"/>
              <w:bottom w:type="dxa" w:w="50"/>
              <w:right w:type="dxa" w:w="80"/>
            </w:tcMar>
            <w:vAlign w:val="top"/>
          </w:tcPr>
          <w:p>
            <w:pPr>
              <w:spacing w:after="30"/>
            </w:pPr>
            <w:r>
              <w:rPr>
                <w:rFonts w:ascii="Arial" w:cs="Arial" w:eastAsia="Arial" w:hAnsi="Arial"/>
                <w:sz w:val="17"/>
                <w:szCs w:val="17"/>
              </w:rPr>
              <w:t xml:space="preserve">Art. 4</w:t>
            </w:r>
          </w:p>
        </w:tc>
        <w:tc>
          <w:tcPr>
            <w:tcW w:type="dxa" w:w="2409"/>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No</w:t>
            </w:r>
          </w:p>
        </w:tc>
        <w:tc>
          <w:tcPr>
            <w:tcW w:type="dxa" w:w="1642"/>
            <w:tcMar>
              <w:top w:type="dxa" w:w="50"/>
              <w:left w:type="dxa" w:w="80"/>
              <w:bottom w:type="dxa" w:w="50"/>
              <w:right w:type="dxa" w:w="80"/>
            </w:tcMar>
            <w:vAlign w:val="top"/>
          </w:tcPr>
          <w:p>
            <w:pPr>
              <w:spacing w:after="30"/>
            </w:pPr>
            <w:r>
              <w:rPr>
                <w:rFonts w:ascii="Arial" w:cs="Arial" w:eastAsia="Arial" w:hAnsi="Arial"/>
                <w:sz w:val="17"/>
                <w:szCs w:val="17"/>
              </w:rPr>
              <w:t xml:space="preserve">EU operator identification</w:t>
            </w: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REACH / POPs</w:t>
            </w:r>
          </w:p>
        </w:tc>
        <w:tc>
          <w:tcPr>
            <w:tcW w:type="dxa" w:w="1252"/>
            <w:tcMar>
              <w:top w:type="dxa" w:w="50"/>
              <w:left w:type="dxa" w:w="80"/>
              <w:bottom w:type="dxa" w:w="50"/>
              <w:right w:type="dxa" w:w="80"/>
            </w:tcMar>
            <w:vAlign w:val="top"/>
          </w:tcPr>
          <w:p>
            <w:pPr>
              <w:spacing w:after="30"/>
            </w:pPr>
            <w:r>
              <w:rPr>
                <w:rFonts w:ascii="Arial" w:cs="Arial" w:eastAsia="Arial" w:hAnsi="Arial"/>
                <w:sz w:val="17"/>
                <w:szCs w:val="17"/>
              </w:rPr>
              <w:t xml:space="preserve">Overlay</w:t>
            </w:r>
          </w:p>
        </w:tc>
        <w:tc>
          <w:tcPr>
            <w:tcW w:type="dxa" w:w="2409"/>
            <w:tcMar>
              <w:top w:type="dxa" w:w="50"/>
              <w:left w:type="dxa" w:w="80"/>
              <w:bottom w:type="dxa" w:w="50"/>
              <w:right w:type="dxa" w:w="80"/>
            </w:tcMar>
            <w:vAlign w:val="top"/>
          </w:tcPr>
          <w:p>
            <w:pPr>
              <w:spacing w:after="30"/>
            </w:pPr>
            <w:r>
              <w:rPr>
                <w:rFonts w:ascii="Arial" w:cs="Arial" w:eastAsia="Arial" w:hAnsi="Arial"/>
                <w:sz w:val="17"/>
                <w:szCs w:val="17"/>
              </w:rPr>
              <w:t xml:space="preserve">Annex XVII; Candidate List</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No</w:t>
            </w:r>
          </w:p>
        </w:tc>
        <w:tc>
          <w:tcPr>
            <w:tcW w:type="dxa" w:w="1642"/>
            <w:tcMar>
              <w:top w:type="dxa" w:w="50"/>
              <w:left w:type="dxa" w:w="80"/>
              <w:bottom w:type="dxa" w:w="50"/>
              <w:right w:type="dxa" w:w="80"/>
            </w:tcMar>
            <w:vAlign w:val="top"/>
          </w:tcPr>
          <w:p>
            <w:pPr>
              <w:spacing w:after="30"/>
            </w:pPr>
            <w:r>
              <w:rPr>
                <w:rFonts w:ascii="Arial" w:cs="Arial" w:eastAsia="Arial" w:hAnsi="Arial"/>
                <w:sz w:val="17"/>
                <w:szCs w:val="17"/>
              </w:rPr>
              <w:t xml:space="preserve">SVHC declaration + test report</w:t>
            </w: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PPWR (EU) 2025/40</w:t>
            </w:r>
          </w:p>
        </w:tc>
        <w:tc>
          <w:tcPr>
            <w:tcW w:type="dxa" w:w="1252"/>
            <w:tcMar>
              <w:top w:type="dxa" w:w="50"/>
              <w:left w:type="dxa" w:w="80"/>
              <w:bottom w:type="dxa" w:w="50"/>
              <w:right w:type="dxa" w:w="80"/>
            </w:tcMar>
            <w:vAlign w:val="top"/>
          </w:tcPr>
          <w:p>
            <w:pPr>
              <w:spacing w:after="30"/>
            </w:pPr>
            <w:r>
              <w:rPr>
                <w:rFonts w:ascii="Arial" w:cs="Arial" w:eastAsia="Arial" w:hAnsi="Arial"/>
                <w:sz w:val="17"/>
                <w:szCs w:val="17"/>
              </w:rPr>
              <w:t xml:space="preserve">Overlay</w:t>
            </w:r>
          </w:p>
        </w:tc>
        <w:tc>
          <w:tcPr>
            <w:tcW w:type="dxa" w:w="2409"/>
            <w:tcMar>
              <w:top w:type="dxa" w:w="50"/>
              <w:left w:type="dxa" w:w="80"/>
              <w:bottom w:type="dxa" w:w="50"/>
              <w:right w:type="dxa" w:w="80"/>
            </w:tcMar>
            <w:vAlign w:val="top"/>
          </w:tcPr>
          <w:p>
            <w:pPr>
              <w:spacing w:after="30"/>
            </w:pPr>
            <w:r>
              <w:rPr>
                <w:rFonts w:ascii="Arial" w:cs="Arial" w:eastAsia="Arial" w:hAnsi="Arial"/>
                <w:sz w:val="17"/>
                <w:szCs w:val="17"/>
              </w:rPr>
              <w:t xml:space="preserve">Art. 5, 12, 24, 38–39 (verify application dates per article)</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No</w:t>
            </w:r>
          </w:p>
        </w:tc>
        <w:tc>
          <w:tcPr>
            <w:tcW w:type="dxa" w:w="1642"/>
            <w:tcMar>
              <w:top w:type="dxa" w:w="50"/>
              <w:left w:type="dxa" w:w="80"/>
              <w:bottom w:type="dxa" w:w="50"/>
              <w:right w:type="dxa" w:w="80"/>
            </w:tcMar>
            <w:vAlign w:val="top"/>
          </w:tcPr>
          <w:p>
            <w:pPr>
              <w:spacing w:after="30"/>
            </w:pPr>
            <w:r>
              <w:rPr>
                <w:rFonts w:ascii="Arial" w:cs="Arial" w:eastAsia="Arial" w:hAnsi="Arial"/>
                <w:sz w:val="17"/>
                <w:szCs w:val="17"/>
              </w:rPr>
              <w:t xml:space="preserve">Packaging conformity documentation (packaging manufacturer)</w:t>
            </w:r>
          </w:p>
        </w:tc>
      </w:tr>
    </w:tbl>
    <w:p>
      <w:pPr>
        <w:spacing w:after="80"/>
      </w:pPr>
    </w:p>
    <w:p>
      <w:pPr>
        <w:pStyle w:val="Heading3"/>
        <w:spacing w:after="80" w:before="140"/>
      </w:pPr>
      <w:r>
        <w:rPr>
          <w:rFonts w:ascii="Arial" w:cs="Arial" w:eastAsia="Arial" w:hAnsi="Arial"/>
          <w:b/>
          <w:bCs/>
          <w:sz w:val="21"/>
          <w:szCs w:val="21"/>
        </w:rPr>
        <w:t xml:space="preserve">Gate 2 decision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GO</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Single pathway A; directive stack complete — </w:t>
            </w:r>
            <w:r>
              <w:rPr>
                <w:rFonts w:ascii="Arial" w:cs="Arial" w:eastAsia="Arial" w:hAnsi="Arial"/>
                <w:b/>
                <w:bCs/>
                <w:sz w:val="17"/>
                <w:szCs w:val="17"/>
              </w:rPr>
              <w:t xml:space="preserve">current status: GO</w:t>
            </w:r>
          </w:p>
        </w:tc>
      </w:tr>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CONDITIONAL</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P.O. delivery straddles 20/01/2027 → prepare dual MD/MR documentation.</w:t>
            </w:r>
          </w:p>
        </w:tc>
      </w:tr>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NO-GO</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Pathway cannot be confirmed → return to Link 1.</w:t>
            </w:r>
          </w:p>
        </w:tc>
      </w:tr>
    </w:tbl>
    <w:p>
      <w:pPr>
        <w:spacing w:after="80"/>
      </w:pPr>
    </w:p>
    <w:p>
      <w:pPr>
        <w:pStyle w:val="Heading1"/>
        <w:spacing w:after="160" w:before="240"/>
      </w:pPr>
      <w:r>
        <w:rPr>
          <w:rFonts w:ascii="Arial" w:cs="Arial" w:eastAsia="Arial" w:hAnsi="Arial"/>
          <w:b/>
          <w:bCs/>
          <w:color w:val="1F3864"/>
          <w:sz w:val="28"/>
          <w:szCs w:val="28"/>
        </w:rPr>
        <w:t xml:space="preserve">4. Link 3 — Module Determination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963"/>
        <w:gridCol w:w="3276"/>
        <w:gridCol w:w="1156"/>
        <w:gridCol w:w="1252"/>
        <w:gridCol w:w="1257"/>
      </w:tblGrid>
      <w:tr>
        <w:trPr>
          <w:tblHeader/>
        </w:trPr>
        <w:tc>
          <w:tcPr>
            <w:tcW w:type="dxa" w:w="1734"/>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Directive</w:t>
            </w:r>
          </w:p>
        </w:tc>
        <w:tc>
          <w:tcPr>
            <w:tcW w:type="dxa" w:w="963"/>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Pathway</w:t>
            </w:r>
          </w:p>
        </w:tc>
        <w:tc>
          <w:tcPr>
            <w:tcW w:type="dxa" w:w="3276"/>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Module</w:t>
            </w:r>
          </w:p>
        </w:tc>
        <w:tc>
          <w:tcPr>
            <w:tcW w:type="dxa" w:w="1156"/>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NB required</w:t>
            </w:r>
          </w:p>
        </w:tc>
        <w:tc>
          <w:tcPr>
            <w:tcW w:type="dxa" w:w="1252"/>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NB name / no.</w:t>
            </w:r>
          </w:p>
        </w:tc>
        <w:tc>
          <w:tcPr>
            <w:tcW w:type="dxa" w:w="1257"/>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Certificate ref.</w:t>
            </w:r>
          </w:p>
        </w:tc>
      </w:tr>
      <w:tr>
        <w:trPr>
          <w:tblHeader w:val="false"/>
        </w:trPr>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MD 2006/42/EC</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A</w:t>
            </w:r>
          </w:p>
        </w:tc>
        <w:tc>
          <w:tcPr>
            <w:tcW w:type="dxa" w:w="3276"/>
            <w:tcMar>
              <w:top w:type="dxa" w:w="50"/>
              <w:left w:type="dxa" w:w="80"/>
              <w:bottom w:type="dxa" w:w="50"/>
              <w:right w:type="dxa" w:w="80"/>
            </w:tcMar>
            <w:vAlign w:val="top"/>
          </w:tcPr>
          <w:p>
            <w:pPr>
              <w:spacing w:after="30"/>
            </w:pPr>
            <w:r>
              <w:rPr>
                <w:rFonts w:ascii="Arial" w:cs="Arial" w:eastAsia="Arial" w:hAnsi="Arial"/>
                <w:sz w:val="17"/>
                <w:szCs w:val="17"/>
              </w:rPr>
              <w:t xml:space="preserve">Internal production control — Art. 12(2), Annex VIII</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No</w:t>
            </w:r>
          </w:p>
        </w:tc>
        <w:tc>
          <w:tcPr>
            <w:tcW w:type="dxa" w:w="1252"/>
            <w:tcMar>
              <w:top w:type="dxa" w:w="50"/>
              <w:left w:type="dxa" w:w="80"/>
              <w:bottom w:type="dxa" w:w="50"/>
              <w:right w:type="dxa" w:w="80"/>
            </w:tcMar>
            <w:vAlign w:val="top"/>
          </w:tcPr>
          <w:p>
            <w:pPr>
              <w:spacing w:after="30"/>
            </w:pPr>
            <w:r>
              <w:rPr>
                <w:rFonts w:ascii="Arial" w:cs="Arial" w:eastAsia="Arial" w:hAnsi="Arial"/>
                <w:sz w:val="17"/>
                <w:szCs w:val="17"/>
              </w:rPr>
              <w:t xml:space="preserve">N/A</w:t>
            </w:r>
          </w:p>
        </w:tc>
        <w:tc>
          <w:tcPr>
            <w:tcW w:type="dxa" w:w="1257"/>
            <w:tcMar>
              <w:top w:type="dxa" w:w="50"/>
              <w:left w:type="dxa" w:w="80"/>
              <w:bottom w:type="dxa" w:w="50"/>
              <w:right w:type="dxa" w:w="80"/>
            </w:tcMar>
            <w:vAlign w:val="top"/>
          </w:tcPr>
          <w:p>
            <w:pPr>
              <w:spacing w:after="30"/>
            </w:pPr>
            <w:r>
              <w:rPr>
                <w:rFonts w:ascii="Arial" w:cs="Arial" w:eastAsia="Arial" w:hAnsi="Arial"/>
                <w:sz w:val="17"/>
                <w:szCs w:val="17"/>
              </w:rPr>
              <w:t xml:space="preserve">N/A</w:t>
            </w:r>
          </w:p>
        </w:tc>
      </w:tr>
      <w:tr>
        <w:trPr>
          <w:tblHeader w:val="false"/>
        </w:trPr>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MR (EU) 2023/1230</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A</w:t>
            </w:r>
          </w:p>
        </w:tc>
        <w:tc>
          <w:tcPr>
            <w:tcW w:type="dxa" w:w="3276"/>
            <w:tcMar>
              <w:top w:type="dxa" w:w="50"/>
              <w:left w:type="dxa" w:w="80"/>
              <w:bottom w:type="dxa" w:w="50"/>
              <w:right w:type="dxa" w:w="80"/>
            </w:tcMar>
            <w:vAlign w:val="top"/>
          </w:tcPr>
          <w:p>
            <w:pPr>
              <w:spacing w:after="30"/>
            </w:pPr>
            <w:r>
              <w:rPr>
                <w:rFonts w:ascii="Arial" w:cs="Arial" w:eastAsia="Arial" w:hAnsi="Arial"/>
                <w:sz w:val="17"/>
                <w:szCs w:val="17"/>
              </w:rPr>
              <w:t xml:space="preserve">Module A — internal production control, Annex VI</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No</w:t>
            </w:r>
          </w:p>
        </w:tc>
        <w:tc>
          <w:tcPr>
            <w:tcW w:type="dxa" w:w="1252"/>
            <w:tcMar>
              <w:top w:type="dxa" w:w="50"/>
              <w:left w:type="dxa" w:w="80"/>
              <w:bottom w:type="dxa" w:w="50"/>
              <w:right w:type="dxa" w:w="80"/>
            </w:tcMar>
            <w:vAlign w:val="top"/>
          </w:tcPr>
          <w:p>
            <w:pPr>
              <w:spacing w:after="30"/>
            </w:pPr>
            <w:r>
              <w:rPr>
                <w:rFonts w:ascii="Arial" w:cs="Arial" w:eastAsia="Arial" w:hAnsi="Arial"/>
                <w:sz w:val="17"/>
                <w:szCs w:val="17"/>
              </w:rPr>
              <w:t xml:space="preserve">N/A</w:t>
            </w:r>
          </w:p>
        </w:tc>
        <w:tc>
          <w:tcPr>
            <w:tcW w:type="dxa" w:w="1257"/>
            <w:tcMar>
              <w:top w:type="dxa" w:w="50"/>
              <w:left w:type="dxa" w:w="80"/>
              <w:bottom w:type="dxa" w:w="50"/>
              <w:right w:type="dxa" w:w="80"/>
            </w:tcMar>
            <w:vAlign w:val="top"/>
          </w:tcPr>
          <w:p>
            <w:pPr>
              <w:spacing w:after="30"/>
            </w:pPr>
            <w:r>
              <w:rPr>
                <w:rFonts w:ascii="Arial" w:cs="Arial" w:eastAsia="Arial" w:hAnsi="Arial"/>
                <w:sz w:val="17"/>
                <w:szCs w:val="17"/>
              </w:rPr>
              <w:t xml:space="preserve">N/A</w:t>
            </w:r>
          </w:p>
        </w:tc>
      </w:tr>
    </w:tbl>
    <w:p>
      <w:pPr>
        <w:spacing w:after="80"/>
      </w:pPr>
    </w:p>
    <w:p>
      <w:pPr>
        <w:spacing w:after="120"/>
      </w:pPr>
      <w:r>
        <w:rPr>
          <w:rFonts w:ascii="Arial" w:cs="Arial" w:eastAsia="Arial" w:hAnsi="Arial"/>
          <w:sz w:val="20"/>
          <w:szCs w:val="20"/>
        </w:rPr>
        <w:t xml:space="preserve">Rationale: manual pallet trucks are not listed in MD Annex IV nor in MR Annex I (Parts A/B). The module is prescribed by the legislation, not chosen by the manufacturer. </w:t>
      </w:r>
      <w:r>
        <w:rPr>
          <w:rFonts w:ascii="Arial" w:cs="Arial" w:eastAsia="Arial" w:hAnsi="Arial"/>
          <w:b/>
          <w:bCs/>
          <w:sz w:val="20"/>
          <w:szCs w:val="20"/>
        </w:rPr>
        <w:t xml:space="preserve">A.R.E.N.A. requirement:</w:t>
      </w:r>
      <w:r>
        <w:rPr>
          <w:rFonts w:ascii="Arial" w:cs="Arial" w:eastAsia="Arial" w:hAnsi="Arial"/>
          <w:sz w:val="20"/>
          <w:szCs w:val="20"/>
        </w:rPr>
        <w:t xml:space="preserve"> conformity evidence by ISO/IEC 17025-accredited third-party laboratory test report against the hEN(s); voluntary NB/certification body attestation is accepted but does not alter the module. No NB number follows the CE marking.</w:t>
      </w:r>
    </w:p>
    <w:p>
      <w:pPr>
        <w:pStyle w:val="Heading3"/>
        <w:spacing w:after="80" w:before="140"/>
      </w:pPr>
      <w:r>
        <w:rPr>
          <w:rFonts w:ascii="Arial" w:cs="Arial" w:eastAsia="Arial" w:hAnsi="Arial"/>
          <w:b/>
          <w:bCs/>
          <w:sz w:val="21"/>
          <w:szCs w:val="21"/>
        </w:rPr>
        <w:t xml:space="preserve">Gate 3 decision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GO</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Module confirmed; no NB required — </w:t>
            </w:r>
            <w:r>
              <w:rPr>
                <w:rFonts w:ascii="Arial" w:cs="Arial" w:eastAsia="Arial" w:hAnsi="Arial"/>
                <w:b/>
                <w:bCs/>
                <w:sz w:val="17"/>
                <w:szCs w:val="17"/>
              </w:rPr>
              <w:t xml:space="preserve">current status: GO</w:t>
            </w:r>
          </w:p>
        </w:tc>
      </w:tr>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CONDITIONAL</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Accredited lab not yet appointed — engagement plan before sample validation.</w:t>
            </w:r>
          </w:p>
        </w:tc>
      </w:tr>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NO-GO</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Supplier declares NB number on marking/DoC without NB involvement (false NB reference).</w:t>
            </w:r>
          </w:p>
        </w:tc>
      </w:tr>
    </w:tbl>
    <w:p>
      <w:pPr>
        <w:spacing w:after="80"/>
      </w:pPr>
    </w:p>
    <w:p>
      <w:pPr>
        <w:pStyle w:val="Heading1"/>
        <w:spacing w:after="160" w:before="240"/>
      </w:pPr>
      <w:r>
        <w:rPr>
          <w:rFonts w:ascii="Arial" w:cs="Arial" w:eastAsia="Arial" w:hAnsi="Arial"/>
          <w:b/>
          <w:bCs/>
          <w:color w:val="1F3864"/>
          <w:sz w:val="28"/>
          <w:szCs w:val="28"/>
        </w:rPr>
        <w:t xml:space="preserve">5. Link 4 — Type Testing and Technical File</w:t>
      </w:r>
    </w:p>
    <w:p>
      <w:pPr>
        <w:pStyle w:val="Heading2"/>
        <w:spacing w:after="120" w:before="200"/>
      </w:pPr>
      <w:r>
        <w:rPr>
          <w:rFonts w:ascii="Arial" w:cs="Arial" w:eastAsia="Arial" w:hAnsi="Arial"/>
          <w:b/>
          <w:bCs/>
          <w:color w:val="1F3864"/>
          <w:sz w:val="24"/>
          <w:szCs w:val="24"/>
        </w:rPr>
        <w:t xml:space="preserve">5.1 Type-test matrix (ITT-equivalent for Module 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
        <w:gridCol w:w="2120"/>
        <w:gridCol w:w="2698"/>
        <w:gridCol w:w="4435"/>
      </w:tblGrid>
      <w:tr>
        <w:trPr>
          <w:tblHeader/>
        </w:trPr>
        <w:tc>
          <w:tcPr>
            <w:tcW w:type="dxa" w:w="385"/>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w:t>
            </w:r>
          </w:p>
        </w:tc>
        <w:tc>
          <w:tcPr>
            <w:tcW w:type="dxa" w:w="2120"/>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Test / characteristic</w:t>
            </w:r>
          </w:p>
        </w:tc>
        <w:tc>
          <w:tcPr>
            <w:tcW w:type="dxa" w:w="2698"/>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Reference (verify clause)</w:t>
            </w:r>
          </w:p>
        </w:tc>
        <w:tc>
          <w:tcPr>
            <w:tcW w:type="dxa" w:w="4435"/>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Requirement</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Static test</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MD/MR Annex I/III 4.1.2.3, 4.1.3; EN ISO 3691-5</w:t>
            </w:r>
          </w:p>
        </w:tc>
        <w:tc>
          <w:tcPr>
            <w:tcW w:type="dxa" w:w="4435"/>
            <w:tcMar>
              <w:top w:type="dxa" w:w="50"/>
              <w:left w:type="dxa" w:w="80"/>
              <w:bottom w:type="dxa" w:w="50"/>
              <w:right w:type="dxa" w:w="80"/>
            </w:tcMar>
            <w:vAlign w:val="top"/>
          </w:tcPr>
          <w:p>
            <w:pPr>
              <w:spacing w:after="30"/>
            </w:pPr>
            <w:r>
              <w:rPr>
                <w:rFonts w:ascii="Arial" w:cs="Arial" w:eastAsia="Arial" w:hAnsi="Arial"/>
                <w:sz w:val="17"/>
                <w:szCs w:val="17"/>
              </w:rPr>
              <w:t xml:space="preserve">1.5 × Q at load centre c; no permanent deformation, no patent defect, no leakage.</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2</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Dynamic test</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MD/MR 4.1.2.3, 4.1.3</w:t>
            </w:r>
          </w:p>
        </w:tc>
        <w:tc>
          <w:tcPr>
            <w:tcW w:type="dxa" w:w="4435"/>
            <w:tcMar>
              <w:top w:type="dxa" w:w="50"/>
              <w:left w:type="dxa" w:w="80"/>
              <w:bottom w:type="dxa" w:w="50"/>
              <w:right w:type="dxa" w:w="80"/>
            </w:tcMar>
            <w:vAlign w:val="top"/>
          </w:tcPr>
          <w:p>
            <w:pPr>
              <w:spacing w:after="30"/>
            </w:pPr>
            <w:r>
              <w:rPr>
                <w:rFonts w:ascii="Arial" w:cs="Arial" w:eastAsia="Arial" w:hAnsi="Arial"/>
                <w:sz w:val="17"/>
                <w:szCs w:val="17"/>
              </w:rPr>
              <w:t xml:space="preserve">1.1 × Q; all functions (lift, lower, travel, steer) operate correctly.</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3</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Overload / pressure-limiting device</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EN ISO 3691-5 Cl. 4.4.3.3 (per source)</w:t>
            </w:r>
          </w:p>
        </w:tc>
        <w:tc>
          <w:tcPr>
            <w:tcW w:type="dxa" w:w="4435"/>
            <w:tcMar>
              <w:top w:type="dxa" w:w="50"/>
              <w:left w:type="dxa" w:w="80"/>
              <w:bottom w:type="dxa" w:w="50"/>
              <w:right w:type="dxa" w:w="80"/>
            </w:tcMar>
            <w:vAlign w:val="top"/>
          </w:tcPr>
          <w:p>
            <w:pPr>
              <w:spacing w:after="30"/>
            </w:pPr>
            <w:r>
              <w:rPr>
                <w:rFonts w:ascii="Arial" w:cs="Arial" w:eastAsia="Arial" w:hAnsi="Arial"/>
                <w:sz w:val="17"/>
                <w:szCs w:val="17"/>
              </w:rPr>
              <w:t xml:space="preserve">Set &lt; 115 % of maximum working pressure; cannot work loose; tool/key needed to alter. Manual trucks: design shall allow fitting. </w:t>
            </w:r>
            <w:r>
              <w:rPr>
                <w:rFonts w:ascii="Arial" w:cs="Arial" w:eastAsia="Arial" w:hAnsi="Arial"/>
                <w:b/>
                <w:bCs/>
                <w:sz w:val="17"/>
                <w:szCs w:val="17"/>
              </w:rPr>
              <w:t xml:space="preserve">A.R.E.N.A./Ally: device fitted — [confirm]</w:t>
            </w:r>
            <w:r>
              <w:rPr>
                <w:rFonts w:ascii="Arial" w:cs="Arial" w:eastAsia="Arial" w:hAnsi="Arial"/>
                <w:sz w:val="17"/>
                <w:szCs w:val="17"/>
              </w:rPr>
              <w:t xml:space="preserve">.</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4</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Stability</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EN ISO 3691-5 / EN 16307-5</w:t>
            </w:r>
          </w:p>
        </w:tc>
        <w:tc>
          <w:tcPr>
            <w:tcW w:type="dxa" w:w="4435"/>
            <w:tcMar>
              <w:top w:type="dxa" w:w="50"/>
              <w:left w:type="dxa" w:w="80"/>
              <w:bottom w:type="dxa" w:w="50"/>
              <w:right w:type="dxa" w:w="80"/>
            </w:tcMar>
            <w:vAlign w:val="top"/>
          </w:tcPr>
          <w:p>
            <w:pPr>
              <w:spacing w:after="30"/>
            </w:pPr>
            <w:r>
              <w:rPr>
                <w:rFonts w:ascii="Arial" w:cs="Arial" w:eastAsia="Arial" w:hAnsi="Arial"/>
                <w:sz w:val="17"/>
                <w:szCs w:val="17"/>
              </w:rPr>
              <w:t xml:space="preserve">Stability verification per standard (tilt-table or calculation).</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Lifting / lowering control</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MD/MR 1.2.1, 1.2.2, 4.1.2.6; EN ISO 3691-5</w:t>
            </w:r>
          </w:p>
        </w:tc>
        <w:tc>
          <w:tcPr>
            <w:tcW w:type="dxa" w:w="4435"/>
            <w:tcMar>
              <w:top w:type="dxa" w:w="50"/>
              <w:left w:type="dxa" w:w="80"/>
              <w:bottom w:type="dxa" w:w="50"/>
              <w:right w:type="dxa" w:w="80"/>
            </w:tcMar>
            <w:vAlign w:val="top"/>
          </w:tcPr>
          <w:p>
            <w:pPr>
              <w:spacing w:after="30"/>
            </w:pPr>
            <w:r>
              <w:rPr>
                <w:rFonts w:ascii="Arial" w:cs="Arial" w:eastAsia="Arial" w:hAnsi="Arial"/>
                <w:sz w:val="17"/>
                <w:szCs w:val="17"/>
              </w:rPr>
              <w:t xml:space="preserve">Controls identifiable; controlled lowering under Q; no uncontrolled descent; lowering-speed limit per standard.</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6</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Load holding (drift)</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EN ISO 3691-5</w:t>
            </w:r>
          </w:p>
        </w:tc>
        <w:tc>
          <w:tcPr>
            <w:tcW w:type="dxa" w:w="4435"/>
            <w:tcMar>
              <w:top w:type="dxa" w:w="50"/>
              <w:left w:type="dxa" w:w="80"/>
              <w:bottom w:type="dxa" w:w="50"/>
              <w:right w:type="dxa" w:w="80"/>
            </w:tcMar>
            <w:vAlign w:val="top"/>
          </w:tcPr>
          <w:p>
            <w:pPr>
              <w:spacing w:after="30"/>
            </w:pPr>
            <w:r>
              <w:rPr>
                <w:rFonts w:ascii="Arial" w:cs="Arial" w:eastAsia="Arial" w:hAnsi="Arial"/>
                <w:sz w:val="17"/>
                <w:szCs w:val="17"/>
              </w:rPr>
              <w:t xml:space="preserve">Drift of raised loaded forks within the limit of the standard over the specified time.</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7</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Tiller and hand grips</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EN ISO 3691-5 Cl. 4.2.2 (per source)</w:t>
            </w:r>
          </w:p>
        </w:tc>
        <w:tc>
          <w:tcPr>
            <w:tcW w:type="dxa" w:w="4435"/>
            <w:tcMar>
              <w:top w:type="dxa" w:w="50"/>
              <w:left w:type="dxa" w:w="80"/>
              <w:bottom w:type="dxa" w:w="50"/>
              <w:right w:type="dxa" w:w="80"/>
            </w:tcMar>
            <w:vAlign w:val="top"/>
          </w:tcPr>
          <w:p>
            <w:pPr>
              <w:spacing w:after="30"/>
            </w:pPr>
            <w:r>
              <w:rPr>
                <w:rFonts w:ascii="Arial" w:cs="Arial" w:eastAsia="Arial" w:hAnsi="Arial"/>
                <w:sz w:val="17"/>
                <w:szCs w:val="17"/>
              </w:rPr>
              <w:t xml:space="preserve">Closed-loop handle or lateral hand protection; grip cross-section within 25 mm / 35 mm concentric circles; span ≥ 120 mm per hand; operating forces per standard.</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8</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Crushing / shearing points, feet protection</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MD/MR 1.3.7, 1.3.8; EN ISO 13854:2019; EN ISO 3691-5</w:t>
            </w:r>
          </w:p>
        </w:tc>
        <w:tc>
          <w:tcPr>
            <w:tcW w:type="dxa" w:w="4435"/>
            <w:tcMar>
              <w:top w:type="dxa" w:w="50"/>
              <w:left w:type="dxa" w:w="80"/>
              <w:bottom w:type="dxa" w:w="50"/>
              <w:right w:type="dxa" w:w="80"/>
            </w:tcMar>
            <w:vAlign w:val="top"/>
          </w:tcPr>
          <w:p>
            <w:pPr>
              <w:spacing w:after="30"/>
            </w:pPr>
            <w:r>
              <w:rPr>
                <w:rFonts w:ascii="Arial" w:cs="Arial" w:eastAsia="Arial" w:hAnsi="Arial"/>
                <w:sz w:val="17"/>
                <w:szCs w:val="17"/>
              </w:rPr>
              <w:t xml:space="preserve">Gaps at tiller pivot, linkage, fork rollers: fingers ≥ 25 mm or ≤ safe gap; steer-wheel feet protection per standard.</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9</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Edges and surfaces</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MD/MR 1.3.4</w:t>
            </w:r>
          </w:p>
        </w:tc>
        <w:tc>
          <w:tcPr>
            <w:tcW w:type="dxa" w:w="4435"/>
            <w:tcMar>
              <w:top w:type="dxa" w:w="50"/>
              <w:left w:type="dxa" w:w="80"/>
              <w:bottom w:type="dxa" w:w="50"/>
              <w:right w:type="dxa" w:w="80"/>
            </w:tcMar>
            <w:vAlign w:val="top"/>
          </w:tcPr>
          <w:p>
            <w:pPr>
              <w:spacing w:after="30"/>
            </w:pPr>
            <w:r>
              <w:rPr>
                <w:rFonts w:ascii="Arial" w:cs="Arial" w:eastAsia="Arial" w:hAnsi="Arial"/>
                <w:sz w:val="17"/>
                <w:szCs w:val="17"/>
              </w:rPr>
              <w:t xml:space="preserve">No sharp edges, angles or rough surfaces on accessible parts.</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10</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Parking brake (if fitted)</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EN ISO 3691-5</w:t>
            </w:r>
          </w:p>
        </w:tc>
        <w:tc>
          <w:tcPr>
            <w:tcW w:type="dxa" w:w="4435"/>
            <w:tcMar>
              <w:top w:type="dxa" w:w="50"/>
              <w:left w:type="dxa" w:w="80"/>
              <w:bottom w:type="dxa" w:w="50"/>
              <w:right w:type="dxa" w:w="80"/>
            </w:tcMar>
            <w:vAlign w:val="top"/>
          </w:tcPr>
          <w:p>
            <w:pPr>
              <w:spacing w:after="30"/>
            </w:pPr>
            <w:r>
              <w:rPr>
                <w:rFonts w:ascii="Arial" w:cs="Arial" w:eastAsia="Arial" w:hAnsi="Arial"/>
                <w:sz w:val="17"/>
                <w:szCs w:val="17"/>
              </w:rPr>
              <w:t xml:space="preserve">Holds laden truck on gradient specified by the standard / instructions.</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11</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Marking and instructions</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MD/MR 1.7.3, 1.7.4, 4.3.3, 4.4.2; EN ISO 3691-5 Cl. 7</w:t>
            </w:r>
          </w:p>
        </w:tc>
        <w:tc>
          <w:tcPr>
            <w:tcW w:type="dxa" w:w="4435"/>
            <w:tcMar>
              <w:top w:type="dxa" w:w="50"/>
              <w:left w:type="dxa" w:w="80"/>
              <w:bottom w:type="dxa" w:w="50"/>
              <w:right w:type="dxa" w:w="80"/>
            </w:tcMar>
            <w:vAlign w:val="top"/>
          </w:tcPr>
          <w:p>
            <w:pPr>
              <w:spacing w:after="30"/>
            </w:pPr>
            <w:r>
              <w:rPr>
                <w:rFonts w:ascii="Arial" w:cs="Arial" w:eastAsia="Arial" w:hAnsi="Arial"/>
                <w:sz w:val="17"/>
                <w:szCs w:val="17"/>
              </w:rPr>
              <w:t xml:space="preserve">Content check — see Link 7.</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12</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Coating performance</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ISO 2409; ISO 9227 NSS; ISO 2808</w:t>
            </w:r>
          </w:p>
        </w:tc>
        <w:tc>
          <w:tcPr>
            <w:tcW w:type="dxa" w:w="4435"/>
            <w:tcMar>
              <w:top w:type="dxa" w:w="50"/>
              <w:left w:type="dxa" w:w="80"/>
              <w:bottom w:type="dxa" w:w="50"/>
              <w:right w:type="dxa" w:w="80"/>
            </w:tcMar>
            <w:vAlign w:val="top"/>
          </w:tcPr>
          <w:p>
            <w:pPr>
              <w:spacing w:after="30"/>
            </w:pPr>
            <w:r>
              <w:rPr>
                <w:rFonts w:ascii="Arial" w:cs="Arial" w:eastAsia="Arial" w:hAnsi="Arial"/>
                <w:sz w:val="17"/>
                <w:szCs w:val="17"/>
              </w:rPr>
              <w:t xml:space="preserve">Cross-cut ≤ class 2; salt-spray hours and DFT per QSD/Ally spec [___].</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13</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Chemical suite</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REACH Annex XVII 50, 51; Art. 33; POPs</w:t>
            </w:r>
          </w:p>
        </w:tc>
        <w:tc>
          <w:tcPr>
            <w:tcW w:type="dxa" w:w="4435"/>
            <w:tcMar>
              <w:top w:type="dxa" w:w="50"/>
              <w:left w:type="dxa" w:w="80"/>
              <w:bottom w:type="dxa" w:w="50"/>
              <w:right w:type="dxa" w:w="80"/>
            </w:tcMar>
            <w:vAlign w:val="top"/>
          </w:tcPr>
          <w:p>
            <w:pPr>
              <w:spacing w:after="30"/>
            </w:pPr>
            <w:r>
              <w:rPr>
                <w:rFonts w:ascii="Arial" w:cs="Arial" w:eastAsia="Arial" w:hAnsi="Arial"/>
                <w:sz w:val="17"/>
                <w:szCs w:val="17"/>
              </w:rPr>
              <w:t xml:space="preserve">PAH, phthalates (grips/wheels), SCCP, SVHC screening. Validity 2 years.</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14</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Packaging heavy metals</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PPWR Art. 5(4)</w:t>
            </w:r>
          </w:p>
        </w:tc>
        <w:tc>
          <w:tcPr>
            <w:tcW w:type="dxa" w:w="4435"/>
            <w:tcMar>
              <w:top w:type="dxa" w:w="50"/>
              <w:left w:type="dxa" w:w="80"/>
              <w:bottom w:type="dxa" w:w="50"/>
              <w:right w:type="dxa" w:w="80"/>
            </w:tcMar>
            <w:vAlign w:val="top"/>
          </w:tcPr>
          <w:p>
            <w:pPr>
              <w:spacing w:after="30"/>
            </w:pPr>
            <w:r>
              <w:rPr>
                <w:rFonts w:ascii="Arial" w:cs="Arial" w:eastAsia="Arial" w:hAnsi="Arial"/>
                <w:sz w:val="17"/>
                <w:szCs w:val="17"/>
              </w:rPr>
              <w:t xml:space="preserve">Pb+Cd+Hg+Cr(VI) ≤ 100 mg/kg per packaging component.</w:t>
            </w:r>
          </w:p>
        </w:tc>
      </w:tr>
    </w:tbl>
    <w:p>
      <w:pPr>
        <w:spacing w:after="80"/>
      </w:pPr>
    </w:p>
    <w:p>
      <w:pPr>
        <w:spacing w:after="120"/>
      </w:pPr>
      <w:r>
        <w:rPr>
          <w:rFonts w:ascii="Arial" w:cs="Arial" w:eastAsia="Arial" w:hAnsi="Arial"/>
          <w:b/>
          <w:bCs/>
          <w:sz w:val="20"/>
          <w:szCs w:val="20"/>
        </w:rPr>
        <w:t xml:space="preserve">Variant coverage:</w:t>
      </w:r>
      <w:r>
        <w:rPr>
          <w:rFonts w:ascii="Arial" w:cs="Arial" w:eastAsia="Arial" w:hAnsi="Arial"/>
          <w:sz w:val="20"/>
          <w:szCs w:val="20"/>
        </w:rPr>
        <w:t xml:space="preserve"> one report per capacity / fork length / fork width configuration, or documented worst-case justification in the technical file. Re-test on any change of frame, fork section, pump, seals, wheel material, coating system or production site.</w:t>
      </w:r>
    </w:p>
    <w:p>
      <w:pPr>
        <w:spacing w:after="120"/>
      </w:pPr>
      <w:r>
        <w:rPr>
          <w:rFonts w:ascii="Arial" w:cs="Arial" w:eastAsia="Arial" w:hAnsi="Arial"/>
          <w:b/>
          <w:bCs/>
          <w:sz w:val="20"/>
          <w:szCs w:val="20"/>
        </w:rPr>
        <w:t xml:space="preserve">GS orders:</w:t>
      </w:r>
      <w:r>
        <w:rPr>
          <w:rFonts w:ascii="Arial" w:cs="Arial" w:eastAsia="Arial" w:hAnsi="Arial"/>
          <w:sz w:val="20"/>
          <w:szCs w:val="20"/>
        </w:rPr>
        <w:t xml:space="preserve"> commission one combined test at the GS body covering the CE test matrix (items 1–14) and the GS specifications, so the same report serves the technical file and the GS certificate (Section 10).</w:t>
      </w:r>
    </w:p>
    <w:p>
      <w:pPr>
        <w:pStyle w:val="Heading2"/>
        <w:spacing w:after="120" w:before="200"/>
      </w:pPr>
      <w:r>
        <w:rPr>
          <w:rFonts w:ascii="Arial" w:cs="Arial" w:eastAsia="Arial" w:hAnsi="Arial"/>
          <w:b/>
          <w:bCs/>
          <w:color w:val="1F3864"/>
          <w:sz w:val="24"/>
          <w:szCs w:val="24"/>
        </w:rPr>
        <w:t xml:space="preserve">5.2 Technical file content (MD Annex VII A / MR Annex IV)</w:t>
      </w:r>
    </w:p>
    <w:p>
      <w:pPr>
        <w:pStyle w:val="ListParagraph"/>
        <w:numPr>
          <w:ilvl w:val="0"/>
          <w:numId w:val="2"/>
        </w:numPr>
        <w:spacing w:after="60"/>
      </w:pPr>
      <w:r>
        <w:rPr>
          <w:rFonts w:ascii="Arial" w:cs="Arial" w:eastAsia="Arial" w:hAnsi="Arial"/>
          <w:sz w:val="20"/>
          <w:szCs w:val="20"/>
        </w:rPr>
        <w:t xml:space="preserve">General description; overall drawing; detailed drawings of frame, forks, pump and tiller; hydraulic schematic and calculation notes (strength, stability).</w:t>
      </w:r>
    </w:p>
    <w:p>
      <w:pPr>
        <w:pStyle w:val="ListParagraph"/>
        <w:numPr>
          <w:ilvl w:val="0"/>
          <w:numId w:val="2"/>
        </w:numPr>
        <w:spacing w:after="60"/>
      </w:pPr>
      <w:r>
        <w:rPr>
          <w:rFonts w:ascii="Arial" w:cs="Arial" w:eastAsia="Arial" w:hAnsi="Arial"/>
          <w:sz w:val="20"/>
          <w:szCs w:val="20"/>
        </w:rPr>
        <w:t xml:space="preserve">Risk assessment per EN ISO 12100: hazards, protective measures, residual risks (covers all misuse in 2.1).</w:t>
      </w:r>
    </w:p>
    <w:p>
      <w:pPr>
        <w:pStyle w:val="ListParagraph"/>
        <w:numPr>
          <w:ilvl w:val="0"/>
          <w:numId w:val="2"/>
        </w:numPr>
        <w:spacing w:after="60"/>
      </w:pPr>
      <w:r>
        <w:rPr>
          <w:rFonts w:ascii="Arial" w:cs="Arial" w:eastAsia="Arial" w:hAnsi="Arial"/>
          <w:sz w:val="20"/>
          <w:szCs w:val="20"/>
        </w:rPr>
        <w:t xml:space="preserve">List of EHSR applied and harmonised standards with edition dates; justification for any deviation.</w:t>
      </w:r>
    </w:p>
    <w:p>
      <w:pPr>
        <w:pStyle w:val="ListParagraph"/>
        <w:numPr>
          <w:ilvl w:val="0"/>
          <w:numId w:val="2"/>
        </w:numPr>
        <w:spacing w:after="60"/>
      </w:pPr>
      <w:r>
        <w:rPr>
          <w:rFonts w:ascii="Arial" w:cs="Arial" w:eastAsia="Arial" w:hAnsi="Arial"/>
          <w:sz w:val="20"/>
          <w:szCs w:val="20"/>
        </w:rPr>
        <w:t xml:space="preserve">Test reports (Section 5.1) and end-of-line test records.</w:t>
      </w:r>
    </w:p>
    <w:p>
      <w:pPr>
        <w:pStyle w:val="ListParagraph"/>
        <w:numPr>
          <w:ilvl w:val="0"/>
          <w:numId w:val="2"/>
        </w:numPr>
        <w:spacing w:after="60"/>
      </w:pPr>
      <w:r>
        <w:rPr>
          <w:rFonts w:ascii="Arial" w:cs="Arial" w:eastAsia="Arial" w:hAnsi="Arial"/>
          <w:sz w:val="20"/>
          <w:szCs w:val="20"/>
        </w:rPr>
        <w:t xml:space="preserve">Instructions for use (all languages) and copy of DoC.</w:t>
      </w:r>
    </w:p>
    <w:p>
      <w:pPr>
        <w:pStyle w:val="ListParagraph"/>
        <w:numPr>
          <w:ilvl w:val="0"/>
          <w:numId w:val="2"/>
        </w:numPr>
        <w:spacing w:after="60"/>
      </w:pPr>
      <w:r>
        <w:rPr>
          <w:rFonts w:ascii="Arial" w:cs="Arial" w:eastAsia="Arial" w:hAnsi="Arial"/>
          <w:sz w:val="20"/>
          <w:szCs w:val="20"/>
        </w:rPr>
        <w:t xml:space="preserve">Internal measures ensuring series conformity (FPC — Link 5).</w:t>
      </w:r>
    </w:p>
    <w:p>
      <w:pPr>
        <w:pStyle w:val="ListParagraph"/>
        <w:numPr>
          <w:ilvl w:val="0"/>
          <w:numId w:val="2"/>
        </w:numPr>
        <w:spacing w:after="60"/>
      </w:pPr>
      <w:r>
        <w:rPr>
          <w:rFonts w:ascii="Arial" w:cs="Arial" w:eastAsia="Arial" w:hAnsi="Arial"/>
          <w:sz w:val="20"/>
          <w:szCs w:val="20"/>
        </w:rPr>
        <w:t xml:space="preserve">Retention: 10 years from the last unit placed on the market; available to authorities on reasoned request.</w:t>
      </w:r>
    </w:p>
    <w:p>
      <w:pPr>
        <w:pStyle w:val="Heading3"/>
        <w:spacing w:after="80" w:before="140"/>
      </w:pPr>
      <w:r>
        <w:rPr>
          <w:rFonts w:ascii="Arial" w:cs="Arial" w:eastAsia="Arial" w:hAnsi="Arial"/>
          <w:b/>
          <w:bCs/>
          <w:sz w:val="21"/>
          <w:szCs w:val="21"/>
        </w:rPr>
        <w:t xml:space="preserve">Gate 4 decision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GO</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Accredited test report covering the exact variant, current hEN editions, all 14 items addressed; technical file complete.</w:t>
            </w:r>
          </w:p>
        </w:tc>
      </w:tr>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CONDITIONAL</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Chemical report expiring &lt; 3 months; MR gap analysis pending for deliveries after 20/01/2027.</w:t>
            </w:r>
          </w:p>
        </w:tc>
      </w:tr>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NO-GO</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Static/dynamic test missing or failed; report covers a different model; design changed since test.</w:t>
            </w:r>
          </w:p>
        </w:tc>
      </w:tr>
    </w:tbl>
    <w:p>
      <w:pPr>
        <w:spacing w:after="80"/>
      </w:pPr>
    </w:p>
    <w:p>
      <w:pPr>
        <w:pStyle w:val="Heading1"/>
        <w:spacing w:after="160" w:before="240"/>
      </w:pPr>
      <w:r>
        <w:rPr>
          <w:rFonts w:ascii="Arial" w:cs="Arial" w:eastAsia="Arial" w:hAnsi="Arial"/>
          <w:b/>
          <w:bCs/>
          <w:color w:val="1F3864"/>
          <w:sz w:val="28"/>
          <w:szCs w:val="28"/>
        </w:rPr>
        <w:t xml:space="preserve">6. Link 5 — Factory Production Control and Inspection</w:t>
      </w:r>
    </w:p>
    <w:p>
      <w:pPr>
        <w:pStyle w:val="Heading2"/>
        <w:spacing w:after="120" w:before="200"/>
      </w:pPr>
      <w:r>
        <w:rPr>
          <w:rFonts w:ascii="Arial" w:cs="Arial" w:eastAsia="Arial" w:hAnsi="Arial"/>
          <w:b/>
          <w:bCs/>
          <w:color w:val="1F3864"/>
          <w:sz w:val="24"/>
          <w:szCs w:val="24"/>
        </w:rPr>
        <w:t xml:space="preserve">6.1 Factory prerequisites (from source, updated)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Criteria</w:t>
            </w:r>
          </w:p>
        </w:tc>
        <w:tc>
          <w:tcPr>
            <w:tcW w:type="dxa" w:w="7711"/>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Requirement</w:t>
            </w:r>
          </w:p>
        </w:tc>
      </w:tr>
      <w:tr>
        <w:trPr>
          <w:tblHeader w:val="false"/>
        </w:trPr>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Factory QMS</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A.R.E.N.A. QMS audit grade A/B (C = conditional with CAPA). Valid ISO 9001 certificate is considered satisfying the QMS requirement. FPC audit confirming series conformity to the tested type.</w:t>
            </w:r>
          </w:p>
        </w:tc>
      </w:tr>
      <w:tr>
        <w:trPr>
          <w:tblHeader w:val="false"/>
        </w:trPr>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Factory CSR</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amfori BSCI A/B/C (C = conditional). Valid SA8000 is considered satisfying. ISO 14001 where applicable.</w:t>
            </w:r>
          </w:p>
        </w:tc>
      </w:tr>
    </w:tbl>
    <w:p>
      <w:pPr>
        <w:spacing w:after="80"/>
      </w:pPr>
    </w:p>
    <w:p>
      <w:pPr>
        <w:pStyle w:val="Heading2"/>
        <w:spacing w:after="120" w:before="200"/>
      </w:pPr>
      <w:r>
        <w:rPr>
          <w:rFonts w:ascii="Arial" w:cs="Arial" w:eastAsia="Arial" w:hAnsi="Arial"/>
          <w:b/>
          <w:bCs/>
          <w:color w:val="1F3864"/>
          <w:sz w:val="24"/>
          <w:szCs w:val="24"/>
        </w:rPr>
        <w:t xml:space="preserve">6.2 FPC critical control points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4819"/>
        <w:gridCol w:w="2506"/>
      </w:tblGrid>
      <w:tr>
        <w:trPr>
          <w:tblHeader/>
        </w:trPr>
        <w:tc>
          <w:tcPr>
            <w:tcW w:type="dxa" w:w="2313"/>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Component / process</w:t>
            </w:r>
          </w:p>
        </w:tc>
        <w:tc>
          <w:tcPr>
            <w:tcW w:type="dxa" w:w="4819"/>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Control parameter</w:t>
            </w:r>
          </w:p>
        </w:tc>
        <w:tc>
          <w:tcPr>
            <w:tcW w:type="dxa" w:w="2506"/>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Frequency / record</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Steel (frame, forks)</w:t>
            </w:r>
          </w:p>
        </w:tc>
        <w:tc>
          <w:tcPr>
            <w:tcW w:type="dxa" w:w="4819"/>
            <w:tcMar>
              <w:top w:type="dxa" w:w="50"/>
              <w:left w:type="dxa" w:w="80"/>
              <w:bottom w:type="dxa" w:w="50"/>
              <w:right w:type="dxa" w:w="80"/>
            </w:tcMar>
            <w:vAlign w:val="top"/>
          </w:tcPr>
          <w:p>
            <w:pPr>
              <w:spacing w:after="30"/>
            </w:pPr>
            <w:r>
              <w:rPr>
                <w:rFonts w:ascii="Arial" w:cs="Arial" w:eastAsia="Arial" w:hAnsi="Arial"/>
                <w:sz w:val="17"/>
                <w:szCs w:val="17"/>
              </w:rPr>
              <w:t xml:space="preserve">Grade and thickness vs drawing; mill certificate</w:t>
            </w:r>
          </w:p>
        </w:tc>
        <w:tc>
          <w:tcPr>
            <w:tcW w:type="dxa" w:w="2506"/>
            <w:tcMar>
              <w:top w:type="dxa" w:w="50"/>
              <w:left w:type="dxa" w:w="80"/>
              <w:bottom w:type="dxa" w:w="50"/>
              <w:right w:type="dxa" w:w="80"/>
            </w:tcMar>
            <w:vAlign w:val="top"/>
          </w:tcPr>
          <w:p>
            <w:pPr>
              <w:spacing w:after="30"/>
            </w:pPr>
            <w:r>
              <w:rPr>
                <w:rFonts w:ascii="Arial" w:cs="Arial" w:eastAsia="Arial" w:hAnsi="Arial"/>
                <w:sz w:val="17"/>
                <w:szCs w:val="17"/>
              </w:rPr>
              <w:t xml:space="preserve">Each heat / lot</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Welding</w:t>
            </w:r>
          </w:p>
        </w:tc>
        <w:tc>
          <w:tcPr>
            <w:tcW w:type="dxa" w:w="4819"/>
            <w:tcMar>
              <w:top w:type="dxa" w:w="50"/>
              <w:left w:type="dxa" w:w="80"/>
              <w:bottom w:type="dxa" w:w="50"/>
              <w:right w:type="dxa" w:w="80"/>
            </w:tcMar>
            <w:vAlign w:val="top"/>
          </w:tcPr>
          <w:p>
            <w:pPr>
              <w:spacing w:after="30"/>
            </w:pPr>
            <w:r>
              <w:rPr>
                <w:rFonts w:ascii="Arial" w:cs="Arial" w:eastAsia="Arial" w:hAnsi="Arial"/>
                <w:sz w:val="17"/>
                <w:szCs w:val="17"/>
              </w:rPr>
              <w:t xml:space="preserve">WPS; welder qualification; visual weld inspection (no cracks, porosity, undercut)</w:t>
            </w:r>
          </w:p>
        </w:tc>
        <w:tc>
          <w:tcPr>
            <w:tcW w:type="dxa" w:w="2506"/>
            <w:tcMar>
              <w:top w:type="dxa" w:w="50"/>
              <w:left w:type="dxa" w:w="80"/>
              <w:bottom w:type="dxa" w:w="50"/>
              <w:right w:type="dxa" w:w="80"/>
            </w:tcMar>
            <w:vAlign w:val="top"/>
          </w:tcPr>
          <w:p>
            <w:pPr>
              <w:spacing w:after="30"/>
            </w:pPr>
            <w:r>
              <w:rPr>
                <w:rFonts w:ascii="Arial" w:cs="Arial" w:eastAsia="Arial" w:hAnsi="Arial"/>
                <w:sz w:val="17"/>
                <w:szCs w:val="17"/>
              </w:rPr>
              <w:t xml:space="preserve">Each shift; 100 % visual on load-bearing welds</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Hydraulic pump</w:t>
            </w:r>
          </w:p>
        </w:tc>
        <w:tc>
          <w:tcPr>
            <w:tcW w:type="dxa" w:w="4819"/>
            <w:tcMar>
              <w:top w:type="dxa" w:w="50"/>
              <w:left w:type="dxa" w:w="80"/>
              <w:bottom w:type="dxa" w:w="50"/>
              <w:right w:type="dxa" w:w="80"/>
            </w:tcMar>
            <w:vAlign w:val="top"/>
          </w:tcPr>
          <w:p>
            <w:pPr>
              <w:spacing w:after="30"/>
            </w:pPr>
            <w:r>
              <w:rPr>
                <w:rFonts w:ascii="Arial" w:cs="Arial" w:eastAsia="Arial" w:hAnsi="Arial"/>
                <w:sz w:val="17"/>
                <w:szCs w:val="17"/>
              </w:rPr>
              <w:t xml:space="preserve">100 % pressure/leak test; overload valve setting and seal; oil type and volume</w:t>
            </w:r>
          </w:p>
        </w:tc>
        <w:tc>
          <w:tcPr>
            <w:tcW w:type="dxa" w:w="2506"/>
            <w:tcMar>
              <w:top w:type="dxa" w:w="50"/>
              <w:left w:type="dxa" w:w="80"/>
              <w:bottom w:type="dxa" w:w="50"/>
              <w:right w:type="dxa" w:w="80"/>
            </w:tcMar>
            <w:vAlign w:val="top"/>
          </w:tcPr>
          <w:p>
            <w:pPr>
              <w:spacing w:after="30"/>
            </w:pPr>
            <w:r>
              <w:rPr>
                <w:rFonts w:ascii="Arial" w:cs="Arial" w:eastAsia="Arial" w:hAnsi="Arial"/>
                <w:sz w:val="17"/>
                <w:szCs w:val="17"/>
              </w:rPr>
              <w:t xml:space="preserve">100 %, recorded</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End-of-line load test</w:t>
            </w:r>
          </w:p>
        </w:tc>
        <w:tc>
          <w:tcPr>
            <w:tcW w:type="dxa" w:w="4819"/>
            <w:tcMar>
              <w:top w:type="dxa" w:w="50"/>
              <w:left w:type="dxa" w:w="80"/>
              <w:bottom w:type="dxa" w:w="50"/>
              <w:right w:type="dxa" w:w="80"/>
            </w:tcMar>
            <w:vAlign w:val="top"/>
          </w:tcPr>
          <w:p>
            <w:pPr>
              <w:spacing w:after="30"/>
            </w:pPr>
            <w:r>
              <w:rPr>
                <w:rFonts w:ascii="Arial" w:cs="Arial" w:eastAsia="Arial" w:hAnsi="Arial"/>
                <w:sz w:val="17"/>
                <w:szCs w:val="17"/>
              </w:rPr>
              <w:t xml:space="preserve">Lift / hold / lower with test load per MD/MR 4.1.3 (static and dynamic tests on lifting machinery)</w:t>
            </w:r>
          </w:p>
        </w:tc>
        <w:tc>
          <w:tcPr>
            <w:tcW w:type="dxa" w:w="2506"/>
            <w:tcMar>
              <w:top w:type="dxa" w:w="50"/>
              <w:left w:type="dxa" w:w="80"/>
              <w:bottom w:type="dxa" w:w="50"/>
              <w:right w:type="dxa" w:w="80"/>
            </w:tcMar>
            <w:vAlign w:val="top"/>
          </w:tcPr>
          <w:p>
            <w:pPr>
              <w:spacing w:after="30"/>
            </w:pPr>
            <w:r>
              <w:rPr>
                <w:rFonts w:ascii="Arial" w:cs="Arial" w:eastAsia="Arial" w:hAnsi="Arial"/>
                <w:sz w:val="17"/>
                <w:szCs w:val="17"/>
              </w:rPr>
              <w:t xml:space="preserve">100 % or documented sampling justified in risk assessment — verify against Guide to MD §§ on 4.1.3</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Wheels and bearings</w:t>
            </w:r>
          </w:p>
        </w:tc>
        <w:tc>
          <w:tcPr>
            <w:tcW w:type="dxa" w:w="4819"/>
            <w:tcMar>
              <w:top w:type="dxa" w:w="50"/>
              <w:left w:type="dxa" w:w="80"/>
              <w:bottom w:type="dxa" w:w="50"/>
              <w:right w:type="dxa" w:w="80"/>
            </w:tcMar>
            <w:vAlign w:val="top"/>
          </w:tcPr>
          <w:p>
            <w:pPr>
              <w:spacing w:after="30"/>
            </w:pPr>
            <w:r>
              <w:rPr>
                <w:rFonts w:ascii="Arial" w:cs="Arial" w:eastAsia="Arial" w:hAnsi="Arial"/>
                <w:sz w:val="17"/>
                <w:szCs w:val="17"/>
              </w:rPr>
              <w:t xml:space="preserve">Material (PU/nylon), diameter, free rotation</w:t>
            </w:r>
          </w:p>
        </w:tc>
        <w:tc>
          <w:tcPr>
            <w:tcW w:type="dxa" w:w="2506"/>
            <w:tcMar>
              <w:top w:type="dxa" w:w="50"/>
              <w:left w:type="dxa" w:w="80"/>
              <w:bottom w:type="dxa" w:w="50"/>
              <w:right w:type="dxa" w:w="80"/>
            </w:tcMar>
            <w:vAlign w:val="top"/>
          </w:tcPr>
          <w:p>
            <w:pPr>
              <w:spacing w:after="30"/>
            </w:pPr>
            <w:r>
              <w:rPr>
                <w:rFonts w:ascii="Arial" w:cs="Arial" w:eastAsia="Arial" w:hAnsi="Arial"/>
                <w:sz w:val="17"/>
                <w:szCs w:val="17"/>
              </w:rPr>
              <w:t xml:space="preserve">Each lot</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Fasteners, pins, circlips</w:t>
            </w:r>
          </w:p>
        </w:tc>
        <w:tc>
          <w:tcPr>
            <w:tcW w:type="dxa" w:w="4819"/>
            <w:tcMar>
              <w:top w:type="dxa" w:w="50"/>
              <w:left w:type="dxa" w:w="80"/>
              <w:bottom w:type="dxa" w:w="50"/>
              <w:right w:type="dxa" w:w="80"/>
            </w:tcMar>
            <w:vAlign w:val="top"/>
          </w:tcPr>
          <w:p>
            <w:pPr>
              <w:spacing w:after="30"/>
            </w:pPr>
            <w:r>
              <w:rPr>
                <w:rFonts w:ascii="Arial" w:cs="Arial" w:eastAsia="Arial" w:hAnsi="Arial"/>
                <w:sz w:val="17"/>
                <w:szCs w:val="17"/>
              </w:rPr>
              <w:t xml:space="preserve">Presence, torque, securing</w:t>
            </w:r>
          </w:p>
        </w:tc>
        <w:tc>
          <w:tcPr>
            <w:tcW w:type="dxa" w:w="2506"/>
            <w:tcMar>
              <w:top w:type="dxa" w:w="50"/>
              <w:left w:type="dxa" w:w="80"/>
              <w:bottom w:type="dxa" w:w="50"/>
              <w:right w:type="dxa" w:w="80"/>
            </w:tcMar>
            <w:vAlign w:val="top"/>
          </w:tcPr>
          <w:p>
            <w:pPr>
              <w:spacing w:after="30"/>
            </w:pPr>
            <w:r>
              <w:rPr>
                <w:rFonts w:ascii="Arial" w:cs="Arial" w:eastAsia="Arial" w:hAnsi="Arial"/>
                <w:sz w:val="17"/>
                <w:szCs w:val="17"/>
              </w:rPr>
              <w:t xml:space="preserve">100 % visual</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Coating</w:t>
            </w:r>
          </w:p>
        </w:tc>
        <w:tc>
          <w:tcPr>
            <w:tcW w:type="dxa" w:w="4819"/>
            <w:tcMar>
              <w:top w:type="dxa" w:w="50"/>
              <w:left w:type="dxa" w:w="80"/>
              <w:bottom w:type="dxa" w:w="50"/>
              <w:right w:type="dxa" w:w="80"/>
            </w:tcMar>
            <w:vAlign w:val="top"/>
          </w:tcPr>
          <w:p>
            <w:pPr>
              <w:spacing w:after="30"/>
            </w:pPr>
            <w:r>
              <w:rPr>
                <w:rFonts w:ascii="Arial" w:cs="Arial" w:eastAsia="Arial" w:hAnsi="Arial"/>
                <w:sz w:val="17"/>
                <w:szCs w:val="17"/>
              </w:rPr>
              <w:t xml:space="preserve">DFT (ISO 2808), cross-cut (ISO 2409)</w:t>
            </w:r>
          </w:p>
        </w:tc>
        <w:tc>
          <w:tcPr>
            <w:tcW w:type="dxa" w:w="2506"/>
            <w:tcMar>
              <w:top w:type="dxa" w:w="50"/>
              <w:left w:type="dxa" w:w="80"/>
              <w:bottom w:type="dxa" w:w="50"/>
              <w:right w:type="dxa" w:w="80"/>
            </w:tcMar>
            <w:vAlign w:val="top"/>
          </w:tcPr>
          <w:p>
            <w:pPr>
              <w:spacing w:after="30"/>
            </w:pPr>
            <w:r>
              <w:rPr>
                <w:rFonts w:ascii="Arial" w:cs="Arial" w:eastAsia="Arial" w:hAnsi="Arial"/>
                <w:sz w:val="17"/>
                <w:szCs w:val="17"/>
              </w:rPr>
              <w:t xml:space="preserve">Each batch</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Marking</w:t>
            </w:r>
          </w:p>
        </w:tc>
        <w:tc>
          <w:tcPr>
            <w:tcW w:type="dxa" w:w="4819"/>
            <w:tcMar>
              <w:top w:type="dxa" w:w="50"/>
              <w:left w:type="dxa" w:w="80"/>
              <w:bottom w:type="dxa" w:w="50"/>
              <w:right w:type="dxa" w:w="80"/>
            </w:tcMar>
            <w:vAlign w:val="top"/>
          </w:tcPr>
          <w:p>
            <w:pPr>
              <w:spacing w:after="30"/>
            </w:pPr>
            <w:r>
              <w:rPr>
                <w:rFonts w:ascii="Arial" w:cs="Arial" w:eastAsia="Arial" w:hAnsi="Arial"/>
                <w:sz w:val="17"/>
                <w:szCs w:val="17"/>
              </w:rPr>
              <w:t xml:space="preserve">Data plate content, serial number, CE, rated capacity</w:t>
            </w:r>
          </w:p>
        </w:tc>
        <w:tc>
          <w:tcPr>
            <w:tcW w:type="dxa" w:w="2506"/>
            <w:tcMar>
              <w:top w:type="dxa" w:w="50"/>
              <w:left w:type="dxa" w:w="80"/>
              <w:bottom w:type="dxa" w:w="50"/>
              <w:right w:type="dxa" w:w="80"/>
            </w:tcMar>
            <w:vAlign w:val="top"/>
          </w:tcPr>
          <w:p>
            <w:pPr>
              <w:spacing w:after="30"/>
            </w:pPr>
            <w:r>
              <w:rPr>
                <w:rFonts w:ascii="Arial" w:cs="Arial" w:eastAsia="Arial" w:hAnsi="Arial"/>
                <w:sz w:val="17"/>
                <w:szCs w:val="17"/>
              </w:rPr>
              <w:t xml:space="preserve">100 %</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Non-conforming product / CAPA / calibration</w:t>
            </w:r>
          </w:p>
        </w:tc>
        <w:tc>
          <w:tcPr>
            <w:tcW w:type="dxa" w:w="4819"/>
            <w:tcMar>
              <w:top w:type="dxa" w:w="50"/>
              <w:left w:type="dxa" w:w="80"/>
              <w:bottom w:type="dxa" w:w="50"/>
              <w:right w:type="dxa" w:w="80"/>
            </w:tcMar>
            <w:vAlign w:val="top"/>
          </w:tcPr>
          <w:p>
            <w:pPr>
              <w:spacing w:after="30"/>
            </w:pPr>
            <w:r>
              <w:rPr>
                <w:rFonts w:ascii="Arial" w:cs="Arial" w:eastAsia="Arial" w:hAnsi="Arial"/>
                <w:sz w:val="17"/>
                <w:szCs w:val="17"/>
              </w:rPr>
              <w:t xml:space="preserve">Segregation, disposition, 8D, gauge calibration</w:t>
            </w:r>
          </w:p>
        </w:tc>
        <w:tc>
          <w:tcPr>
            <w:tcW w:type="dxa" w:w="2506"/>
            <w:tcMar>
              <w:top w:type="dxa" w:w="50"/>
              <w:left w:type="dxa" w:w="80"/>
              <w:bottom w:type="dxa" w:w="50"/>
              <w:right w:type="dxa" w:w="80"/>
            </w:tcMar>
            <w:vAlign w:val="top"/>
          </w:tcPr>
          <w:p>
            <w:pPr>
              <w:spacing w:after="30"/>
            </w:pPr>
            <w:r>
              <w:rPr>
                <w:rFonts w:ascii="Arial" w:cs="Arial" w:eastAsia="Arial" w:hAnsi="Arial"/>
                <w:sz w:val="17"/>
                <w:szCs w:val="17"/>
              </w:rPr>
              <w:t xml:space="preserve">Per procedure; records ≥ 10 years</w:t>
            </w:r>
          </w:p>
        </w:tc>
      </w:tr>
    </w:tbl>
    <w:p>
      <w:pPr>
        <w:spacing w:after="80"/>
      </w:pPr>
    </w:p>
    <w:p>
      <w:pPr>
        <w:pStyle w:val="Heading2"/>
        <w:spacing w:after="120" w:before="200"/>
      </w:pPr>
      <w:r>
        <w:rPr>
          <w:rFonts w:ascii="Arial" w:cs="Arial" w:eastAsia="Arial" w:hAnsi="Arial"/>
          <w:b/>
          <w:bCs/>
          <w:color w:val="1F3864"/>
          <w:sz w:val="24"/>
          <w:szCs w:val="24"/>
        </w:rPr>
        <w:t xml:space="preserve">6.3 A.R.E.N.A. inspection schedule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2313"/>
        <w:gridCol w:w="3469"/>
        <w:gridCol w:w="2314"/>
      </w:tblGrid>
      <w:tr>
        <w:trPr>
          <w:tblHeader/>
        </w:trPr>
        <w:tc>
          <w:tcPr>
            <w:tcW w:type="dxa" w:w="1542"/>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Stage</w:t>
            </w:r>
          </w:p>
        </w:tc>
        <w:tc>
          <w:tcPr>
            <w:tcW w:type="dxa" w:w="2313"/>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Trigger</w:t>
            </w:r>
          </w:p>
        </w:tc>
        <w:tc>
          <w:tcPr>
            <w:tcW w:type="dxa" w:w="3469"/>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Quantity / sampling</w:t>
            </w:r>
          </w:p>
        </w:tc>
        <w:tc>
          <w:tcPr>
            <w:tcW w:type="dxa" w:w="2314"/>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Checklist</w:t>
            </w: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Sample validation</w:t>
            </w:r>
          </w:p>
        </w:tc>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New item / new supplier / change</w:t>
            </w:r>
          </w:p>
        </w:tc>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1 pc (+1 pc golden sample retained)</w:t>
            </w:r>
          </w:p>
        </w:tc>
        <w:tc>
          <w:tcPr>
            <w:tcW w:type="dxa" w:w="2314"/>
            <w:tcMar>
              <w:top w:type="dxa" w:w="50"/>
              <w:left w:type="dxa" w:w="80"/>
              <w:bottom w:type="dxa" w:w="50"/>
              <w:right w:type="dxa" w:w="80"/>
            </w:tcMar>
            <w:vAlign w:val="top"/>
          </w:tcPr>
          <w:p>
            <w:pPr>
              <w:spacing w:after="30"/>
            </w:pPr>
            <w:r>
              <w:rPr>
                <w:rFonts w:ascii="Arial" w:cs="Arial" w:eastAsia="Arial" w:hAnsi="Arial"/>
                <w:sz w:val="17"/>
                <w:szCs w:val="17"/>
              </w:rPr>
              <w:t xml:space="preserve">Annex A — all items incl. static test</w:t>
            </w: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DPI / in-line</w:t>
            </w:r>
          </w:p>
        </w:tc>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First order; critical order</w:t>
            </w:r>
          </w:p>
        </w:tc>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At ≥ 20 % of goods produced</w:t>
            </w:r>
          </w:p>
        </w:tc>
        <w:tc>
          <w:tcPr>
            <w:tcW w:type="dxa" w:w="2314"/>
            <w:tcMar>
              <w:top w:type="dxa" w:w="50"/>
              <w:left w:type="dxa" w:w="80"/>
              <w:bottom w:type="dxa" w:w="50"/>
              <w:right w:type="dxa" w:w="80"/>
            </w:tcMar>
            <w:vAlign w:val="top"/>
          </w:tcPr>
          <w:p>
            <w:pPr>
              <w:spacing w:after="30"/>
            </w:pPr>
            <w:r>
              <w:rPr>
                <w:rFonts w:ascii="Arial" w:cs="Arial" w:eastAsia="Arial" w:hAnsi="Arial"/>
                <w:sz w:val="17"/>
                <w:szCs w:val="17"/>
              </w:rPr>
              <w:t xml:space="preserve">Annex A items 1–7 (static test on 1 pc)</w:t>
            </w: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FRI</w:t>
            </w:r>
          </w:p>
        </w:tc>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Every shipment, mandatory</w:t>
            </w:r>
          </w:p>
        </w:tc>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100 % produced, ≥ 80 % packed; ISO 2859-1 / ANSI Z1.4 GI-II; Cr 0 · Ma 2.5 · Mi 4.0; functional tests at S-3</w:t>
            </w:r>
          </w:p>
        </w:tc>
        <w:tc>
          <w:tcPr>
            <w:tcW w:type="dxa" w:w="2314"/>
            <w:tcMar>
              <w:top w:type="dxa" w:w="50"/>
              <w:left w:type="dxa" w:w="80"/>
              <w:bottom w:type="dxa" w:w="50"/>
              <w:right w:type="dxa" w:w="80"/>
            </w:tcMar>
            <w:vAlign w:val="top"/>
          </w:tcPr>
          <w:p>
            <w:pPr>
              <w:spacing w:after="30"/>
            </w:pPr>
            <w:r>
              <w:rPr>
                <w:rFonts w:ascii="Arial" w:cs="Arial" w:eastAsia="Arial" w:hAnsi="Arial"/>
                <w:sz w:val="17"/>
                <w:szCs w:val="17"/>
              </w:rPr>
              <w:t xml:space="preserve">Annex A (static test not required unless Ally requests)</w:t>
            </w: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Golden sample</w:t>
            </w:r>
          </w:p>
        </w:tc>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Every P.O., each variant</w:t>
            </w:r>
          </w:p>
        </w:tc>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Sealed reference</w:t>
            </w:r>
          </w:p>
        </w:tc>
        <w:tc>
          <w:tcPr>
            <w:tcW w:type="dxa" w:w="2314"/>
            <w:tcMar>
              <w:top w:type="dxa" w:w="50"/>
              <w:left w:type="dxa" w:w="80"/>
              <w:bottom w:type="dxa" w:w="50"/>
              <w:right w:type="dxa" w:w="80"/>
            </w:tcMar>
            <w:vAlign w:val="top"/>
          </w:tcPr>
          <w:p>
            <w:pPr>
              <w:spacing w:after="30"/>
            </w:pPr>
            <w:r>
              <w:rPr>
                <w:rFonts w:ascii="Arial" w:cs="Arial" w:eastAsia="Arial" w:hAnsi="Arial"/>
                <w:sz w:val="17"/>
                <w:szCs w:val="17"/>
              </w:rPr>
              <w:t xml:space="preserve">Per QSD</w:t>
            </w:r>
          </w:p>
        </w:tc>
      </w:tr>
    </w:tbl>
    <w:p>
      <w:pPr>
        <w:spacing w:after="80"/>
      </w:pPr>
    </w:p>
    <w:p>
      <w:pPr>
        <w:pStyle w:val="Heading3"/>
        <w:spacing w:after="80" w:before="140"/>
      </w:pPr>
      <w:r>
        <w:rPr>
          <w:rFonts w:ascii="Arial" w:cs="Arial" w:eastAsia="Arial" w:hAnsi="Arial"/>
          <w:b/>
          <w:bCs/>
          <w:sz w:val="21"/>
          <w:szCs w:val="21"/>
        </w:rPr>
        <w:t xml:space="preserve">Gate 5 decision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GO</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FPC verified; sample validation PASS; FRI booked.</w:t>
            </w:r>
          </w:p>
        </w:tc>
      </w:tr>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CONDITIONAL</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First order — DPI mandatory before FRI.</w:t>
            </w:r>
          </w:p>
        </w:tc>
      </w:tr>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NO-GO</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No end-of-line load test; FRI critical defect; FPC not established.</w:t>
            </w:r>
          </w:p>
        </w:tc>
      </w:tr>
    </w:tbl>
    <w:p>
      <w:pPr>
        <w:spacing w:after="80"/>
      </w:pPr>
    </w:p>
    <w:p>
      <w:pPr>
        <w:pStyle w:val="Heading1"/>
        <w:spacing w:after="160" w:before="240"/>
      </w:pPr>
      <w:r>
        <w:rPr>
          <w:rFonts w:ascii="Arial" w:cs="Arial" w:eastAsia="Arial" w:hAnsi="Arial"/>
          <w:b/>
          <w:bCs/>
          <w:color w:val="1F3864"/>
          <w:sz w:val="28"/>
          <w:szCs w:val="28"/>
        </w:rPr>
        <w:t xml:space="preserve">7. Link 6 — Declaration of Conformity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3373"/>
        <w:gridCol w:w="3374"/>
      </w:tblGrid>
      <w:tr>
        <w:trPr>
          <w:tblHeader/>
        </w:trPr>
        <w:tc>
          <w:tcPr>
            <w:tcW w:type="dxa" w:w="2891"/>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DoC element</w:t>
            </w:r>
          </w:p>
        </w:tc>
        <w:tc>
          <w:tcPr>
            <w:tcW w:type="dxa" w:w="3373"/>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MD 2006/42/EC — Annex II 1.A</w:t>
            </w:r>
          </w:p>
        </w:tc>
        <w:tc>
          <w:tcPr>
            <w:tcW w:type="dxa" w:w="3374"/>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MR (EU) 2023/1230 — Annex V</w:t>
            </w:r>
          </w:p>
        </w:tc>
      </w:tr>
      <w:tr>
        <w:trPr>
          <w:tblHeader w:val="false"/>
        </w:trPr>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Manufacturer name and full address</w:t>
            </w:r>
          </w:p>
        </w:tc>
        <w:tc>
          <w:tcPr>
            <w:tcW w:type="dxa" w:w="3373"/>
            <w:tcMar>
              <w:top w:type="dxa" w:w="50"/>
              <w:left w:type="dxa" w:w="80"/>
              <w:bottom w:type="dxa" w:w="50"/>
              <w:right w:type="dxa" w:w="80"/>
            </w:tcMar>
            <w:vAlign w:val="top"/>
          </w:tcPr>
          <w:p>
            <w:pPr>
              <w:spacing w:after="30"/>
            </w:pPr>
            <w:r>
              <w:rPr>
                <w:rFonts w:ascii="Arial" w:cs="Arial" w:eastAsia="Arial" w:hAnsi="Arial"/>
                <w:sz w:val="17"/>
                <w:szCs w:val="17"/>
              </w:rPr>
              <w:t xml:space="preserve">Required (+ authorised representative)</w:t>
            </w:r>
          </w:p>
        </w:tc>
        <w:tc>
          <w:tcPr>
            <w:tcW w:type="dxa" w:w="3374"/>
            <w:tcMar>
              <w:top w:type="dxa" w:w="50"/>
              <w:left w:type="dxa" w:w="80"/>
              <w:bottom w:type="dxa" w:w="50"/>
              <w:right w:type="dxa" w:w="80"/>
            </w:tcMar>
            <w:vAlign w:val="top"/>
          </w:tcPr>
          <w:p>
            <w:pPr>
              <w:spacing w:after="30"/>
            </w:pPr>
            <w:r>
              <w:rPr>
                <w:rFonts w:ascii="Arial" w:cs="Arial" w:eastAsia="Arial" w:hAnsi="Arial"/>
                <w:sz w:val="17"/>
                <w:szCs w:val="17"/>
              </w:rPr>
              <w:t xml:space="preserve">Required (+ authorised representative)</w:t>
            </w:r>
          </w:p>
        </w:tc>
      </w:tr>
      <w:tr>
        <w:trPr>
          <w:tblHeader w:val="false"/>
        </w:trPr>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Person authorised to compile technical file (established in EU)</w:t>
            </w:r>
          </w:p>
        </w:tc>
        <w:tc>
          <w:tcPr>
            <w:tcW w:type="dxa" w:w="3373"/>
            <w:tcMar>
              <w:top w:type="dxa" w:w="50"/>
              <w:left w:type="dxa" w:w="80"/>
              <w:bottom w:type="dxa" w:w="50"/>
              <w:right w:type="dxa" w:w="80"/>
            </w:tcMar>
            <w:vAlign w:val="top"/>
          </w:tcPr>
          <w:p>
            <w:pPr>
              <w:spacing w:after="30"/>
            </w:pPr>
            <w:r>
              <w:rPr>
                <w:rFonts w:ascii="Arial" w:cs="Arial" w:eastAsia="Arial" w:hAnsi="Arial"/>
                <w:sz w:val="17"/>
                <w:szCs w:val="17"/>
              </w:rPr>
              <w:t xml:space="preserve">Required</w:t>
            </w:r>
          </w:p>
        </w:tc>
        <w:tc>
          <w:tcPr>
            <w:tcW w:type="dxa" w:w="3374"/>
            <w:tcMar>
              <w:top w:type="dxa" w:w="50"/>
              <w:left w:type="dxa" w:w="80"/>
              <w:bottom w:type="dxa" w:w="50"/>
              <w:right w:type="dxa" w:w="80"/>
            </w:tcMar>
            <w:vAlign w:val="top"/>
          </w:tcPr>
          <w:p>
            <w:pPr>
              <w:spacing w:after="30"/>
            </w:pPr>
            <w:r>
              <w:rPr>
                <w:rFonts w:ascii="Arial" w:cs="Arial" w:eastAsia="Arial" w:hAnsi="Arial"/>
                <w:sz w:val="17"/>
                <w:szCs w:val="17"/>
              </w:rPr>
              <w:t xml:space="preserve">Not a DoC field — verify</w:t>
            </w:r>
          </w:p>
        </w:tc>
      </w:tr>
      <w:tr>
        <w:trPr>
          <w:tblHeader w:val="false"/>
        </w:trPr>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Description and identification</w:t>
            </w:r>
          </w:p>
        </w:tc>
        <w:tc>
          <w:tcPr>
            <w:tcW w:type="dxa" w:w="3373"/>
            <w:tcMar>
              <w:top w:type="dxa" w:w="50"/>
              <w:left w:type="dxa" w:w="80"/>
              <w:bottom w:type="dxa" w:w="50"/>
              <w:right w:type="dxa" w:w="80"/>
            </w:tcMar>
            <w:vAlign w:val="top"/>
          </w:tcPr>
          <w:p>
            <w:pPr>
              <w:spacing w:after="30"/>
            </w:pPr>
            <w:r>
              <w:rPr>
                <w:rFonts w:ascii="Arial" w:cs="Arial" w:eastAsia="Arial" w:hAnsi="Arial"/>
                <w:sz w:val="17"/>
                <w:szCs w:val="17"/>
              </w:rPr>
              <w:t xml:space="preserve">Generic denomination, function, model, type, serial number, commercial name</w:t>
            </w:r>
          </w:p>
        </w:tc>
        <w:tc>
          <w:tcPr>
            <w:tcW w:type="dxa" w:w="3374"/>
            <w:tcMar>
              <w:top w:type="dxa" w:w="50"/>
              <w:left w:type="dxa" w:w="80"/>
              <w:bottom w:type="dxa" w:w="50"/>
              <w:right w:type="dxa" w:w="80"/>
            </w:tcMar>
            <w:vAlign w:val="top"/>
          </w:tcPr>
          <w:p>
            <w:pPr>
              <w:spacing w:after="30"/>
            </w:pPr>
            <w:r>
              <w:rPr>
                <w:rFonts w:ascii="Arial" w:cs="Arial" w:eastAsia="Arial" w:hAnsi="Arial"/>
                <w:sz w:val="17"/>
                <w:szCs w:val="17"/>
              </w:rPr>
              <w:t xml:space="preserve">Product, model, type, serial/batch; image optional</w:t>
            </w:r>
          </w:p>
        </w:tc>
      </w:tr>
      <w:tr>
        <w:trPr>
          <w:tblHeader w:val="false"/>
        </w:trPr>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Sole responsibility statement</w:t>
            </w:r>
          </w:p>
        </w:tc>
        <w:tc>
          <w:tcPr>
            <w:tcW w:type="dxa" w:w="3373"/>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3374"/>
            <w:tcMar>
              <w:top w:type="dxa" w:w="50"/>
              <w:left w:type="dxa" w:w="80"/>
              <w:bottom w:type="dxa" w:w="50"/>
              <w:right w:type="dxa" w:w="80"/>
            </w:tcMar>
            <w:vAlign w:val="top"/>
          </w:tcPr>
          <w:p>
            <w:pPr>
              <w:spacing w:after="30"/>
            </w:pPr>
            <w:r>
              <w:rPr>
                <w:rFonts w:ascii="Arial" w:cs="Arial" w:eastAsia="Arial" w:hAnsi="Arial"/>
                <w:sz w:val="17"/>
                <w:szCs w:val="17"/>
              </w:rPr>
              <w:t xml:space="preserve">Required</w:t>
            </w:r>
          </w:p>
        </w:tc>
      </w:tr>
      <w:tr>
        <w:trPr>
          <w:tblHeader w:val="false"/>
        </w:trPr>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Conformity statement</w:t>
            </w:r>
          </w:p>
        </w:tc>
        <w:tc>
          <w:tcPr>
            <w:tcW w:type="dxa" w:w="3373"/>
            <w:tcMar>
              <w:top w:type="dxa" w:w="50"/>
              <w:left w:type="dxa" w:w="80"/>
              <w:bottom w:type="dxa" w:w="50"/>
              <w:right w:type="dxa" w:w="80"/>
            </w:tcMar>
            <w:vAlign w:val="top"/>
          </w:tcPr>
          <w:p>
            <w:pPr>
              <w:spacing w:after="30"/>
            </w:pPr>
            <w:r>
              <w:rPr>
                <w:rFonts w:ascii="Arial" w:cs="Arial" w:eastAsia="Arial" w:hAnsi="Arial"/>
                <w:sz w:val="17"/>
                <w:szCs w:val="17"/>
              </w:rPr>
              <w:t xml:space="preserve">Machinery Directive + other applicable directives</w:t>
            </w:r>
          </w:p>
        </w:tc>
        <w:tc>
          <w:tcPr>
            <w:tcW w:type="dxa" w:w="3374"/>
            <w:tcMar>
              <w:top w:type="dxa" w:w="50"/>
              <w:left w:type="dxa" w:w="80"/>
              <w:bottom w:type="dxa" w:w="50"/>
              <w:right w:type="dxa" w:w="80"/>
            </w:tcMar>
            <w:vAlign w:val="top"/>
          </w:tcPr>
          <w:p>
            <w:pPr>
              <w:spacing w:after="30"/>
            </w:pPr>
            <w:r>
              <w:rPr>
                <w:rFonts w:ascii="Arial" w:cs="Arial" w:eastAsia="Arial" w:hAnsi="Arial"/>
                <w:sz w:val="17"/>
                <w:szCs w:val="17"/>
              </w:rPr>
              <w:t xml:space="preserve">MR + other Union harmonisation legislation</w:t>
            </w:r>
          </w:p>
        </w:tc>
      </w:tr>
      <w:tr>
        <w:trPr>
          <w:tblHeader w:val="false"/>
        </w:trPr>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Standards</w:t>
            </w:r>
          </w:p>
        </w:tc>
        <w:tc>
          <w:tcPr>
            <w:tcW w:type="dxa" w:w="3373"/>
            <w:tcMar>
              <w:top w:type="dxa" w:w="50"/>
              <w:left w:type="dxa" w:w="80"/>
              <w:bottom w:type="dxa" w:w="50"/>
              <w:right w:type="dxa" w:w="80"/>
            </w:tcMar>
            <w:vAlign w:val="top"/>
          </w:tcPr>
          <w:p>
            <w:pPr>
              <w:spacing w:after="30"/>
            </w:pPr>
            <w:r>
              <w:rPr>
                <w:rFonts w:ascii="Arial" w:cs="Arial" w:eastAsia="Arial" w:hAnsi="Arial"/>
                <w:sz w:val="17"/>
                <w:szCs w:val="17"/>
              </w:rPr>
              <w:t xml:space="preserve">Harmonised standards with dates</w:t>
            </w:r>
          </w:p>
        </w:tc>
        <w:tc>
          <w:tcPr>
            <w:tcW w:type="dxa" w:w="3374"/>
            <w:tcMar>
              <w:top w:type="dxa" w:w="50"/>
              <w:left w:type="dxa" w:w="80"/>
              <w:bottom w:type="dxa" w:w="50"/>
              <w:right w:type="dxa" w:w="80"/>
            </w:tcMar>
            <w:vAlign w:val="top"/>
          </w:tcPr>
          <w:p>
            <w:pPr>
              <w:spacing w:after="30"/>
            </w:pPr>
            <w:r>
              <w:rPr>
                <w:rFonts w:ascii="Arial" w:cs="Arial" w:eastAsia="Arial" w:hAnsi="Arial"/>
                <w:sz w:val="17"/>
                <w:szCs w:val="17"/>
              </w:rPr>
              <w:t xml:space="preserve">Harmonised standards / common specifications with dates</w:t>
            </w:r>
          </w:p>
        </w:tc>
      </w:tr>
      <w:tr>
        <w:trPr>
          <w:tblHeader w:val="false"/>
        </w:trPr>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NB</w:t>
            </w:r>
          </w:p>
        </w:tc>
        <w:tc>
          <w:tcPr>
            <w:tcW w:type="dxa" w:w="3373"/>
            <w:tcMar>
              <w:top w:type="dxa" w:w="50"/>
              <w:left w:type="dxa" w:w="80"/>
              <w:bottom w:type="dxa" w:w="50"/>
              <w:right w:type="dxa" w:w="80"/>
            </w:tcMar>
            <w:vAlign w:val="top"/>
          </w:tcPr>
          <w:p>
            <w:pPr>
              <w:spacing w:after="30"/>
            </w:pPr>
            <w:r>
              <w:rPr>
                <w:rFonts w:ascii="Arial" w:cs="Arial" w:eastAsia="Arial" w:hAnsi="Arial"/>
                <w:sz w:val="17"/>
                <w:szCs w:val="17"/>
              </w:rPr>
              <w:t xml:space="preserve">N/A (Annex VIII)</w:t>
            </w:r>
          </w:p>
        </w:tc>
        <w:tc>
          <w:tcPr>
            <w:tcW w:type="dxa" w:w="3374"/>
            <w:tcMar>
              <w:top w:type="dxa" w:w="50"/>
              <w:left w:type="dxa" w:w="80"/>
              <w:bottom w:type="dxa" w:w="50"/>
              <w:right w:type="dxa" w:w="80"/>
            </w:tcMar>
            <w:vAlign w:val="top"/>
          </w:tcPr>
          <w:p>
            <w:pPr>
              <w:spacing w:after="30"/>
            </w:pPr>
            <w:r>
              <w:rPr>
                <w:rFonts w:ascii="Arial" w:cs="Arial" w:eastAsia="Arial" w:hAnsi="Arial"/>
                <w:sz w:val="17"/>
                <w:szCs w:val="17"/>
              </w:rPr>
              <w:t xml:space="preserve">N/A (Module A)</w:t>
            </w:r>
          </w:p>
        </w:tc>
      </w:tr>
      <w:tr>
        <w:trPr>
          <w:tblHeader w:val="false"/>
        </w:trPr>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Place, date, name, function and signature</w:t>
            </w:r>
          </w:p>
        </w:tc>
        <w:tc>
          <w:tcPr>
            <w:tcW w:type="dxa" w:w="3373"/>
            <w:tcMar>
              <w:top w:type="dxa" w:w="50"/>
              <w:left w:type="dxa" w:w="80"/>
              <w:bottom w:type="dxa" w:w="50"/>
              <w:right w:type="dxa" w:w="80"/>
            </w:tcMar>
            <w:vAlign w:val="top"/>
          </w:tcPr>
          <w:p>
            <w:pPr>
              <w:spacing w:after="30"/>
            </w:pPr>
            <w:r>
              <w:rPr>
                <w:rFonts w:ascii="Arial" w:cs="Arial" w:eastAsia="Arial" w:hAnsi="Arial"/>
                <w:sz w:val="17"/>
                <w:szCs w:val="17"/>
              </w:rPr>
              <w:t xml:space="preserve">Required</w:t>
            </w:r>
          </w:p>
        </w:tc>
        <w:tc>
          <w:tcPr>
            <w:tcW w:type="dxa" w:w="3374"/>
            <w:tcMar>
              <w:top w:type="dxa" w:w="50"/>
              <w:left w:type="dxa" w:w="80"/>
              <w:bottom w:type="dxa" w:w="50"/>
              <w:right w:type="dxa" w:w="80"/>
            </w:tcMar>
            <w:vAlign w:val="top"/>
          </w:tcPr>
          <w:p>
            <w:pPr>
              <w:spacing w:after="30"/>
            </w:pPr>
            <w:r>
              <w:rPr>
                <w:rFonts w:ascii="Arial" w:cs="Arial" w:eastAsia="Arial" w:hAnsi="Arial"/>
                <w:sz w:val="17"/>
                <w:szCs w:val="17"/>
              </w:rPr>
              <w:t xml:space="preserve">Required</w:t>
            </w:r>
          </w:p>
        </w:tc>
      </w:tr>
    </w:tbl>
    <w:p>
      <w:pPr>
        <w:spacing w:after="80"/>
      </w:pPr>
    </w:p>
    <w:p>
      <w:pPr>
        <w:pStyle w:val="ListParagraph"/>
        <w:numPr>
          <w:ilvl w:val="0"/>
          <w:numId w:val="2"/>
        </w:numPr>
        <w:spacing w:after="60"/>
      </w:pPr>
      <w:r>
        <w:rPr>
          <w:rFonts w:ascii="Arial" w:cs="Arial" w:eastAsia="Arial" w:hAnsi="Arial"/>
          <w:sz w:val="20"/>
          <w:szCs w:val="20"/>
        </w:rPr>
        <w:t xml:space="preserve">One DoC per model; languages of each Member State of sale (EN + DE/FR/IT/RO etc.).</w:t>
      </w:r>
    </w:p>
    <w:p>
      <w:pPr>
        <w:pStyle w:val="ListParagraph"/>
        <w:numPr>
          <w:ilvl w:val="0"/>
          <w:numId w:val="2"/>
        </w:numPr>
        <w:spacing w:after="60"/>
      </w:pPr>
      <w:r>
        <w:rPr>
          <w:rFonts w:ascii="Arial" w:cs="Arial" w:eastAsia="Arial" w:hAnsi="Arial"/>
          <w:sz w:val="20"/>
          <w:szCs w:val="20"/>
        </w:rPr>
        <w:t xml:space="preserve">MD: the instructions shall contain the DoC or a document setting out its contents (Annex I 1.7.4.2(c)). MR: DoC accompanies the product or the instructions give its internet address — verify MR article before release.</w:t>
      </w:r>
    </w:p>
    <w:p>
      <w:pPr>
        <w:pStyle w:val="ListParagraph"/>
        <w:numPr>
          <w:ilvl w:val="0"/>
          <w:numId w:val="2"/>
        </w:numPr>
        <w:spacing w:after="60"/>
      </w:pPr>
      <w:r>
        <w:rPr>
          <w:rFonts w:ascii="Arial" w:cs="Arial" w:eastAsia="Arial" w:hAnsi="Arial"/>
          <w:sz w:val="20"/>
          <w:szCs w:val="20"/>
        </w:rPr>
        <w:t xml:space="preserve">Superseded references (e.g. EN 1757-2, GPSD 2001/95/EC) on DoC → reject.</w:t>
      </w:r>
    </w:p>
    <w:p>
      <w:pPr>
        <w:pStyle w:val="Heading3"/>
        <w:spacing w:after="80" w:before="140"/>
      </w:pPr>
      <w:r>
        <w:rPr>
          <w:rFonts w:ascii="Arial" w:cs="Arial" w:eastAsia="Arial" w:hAnsi="Arial"/>
          <w:b/>
          <w:bCs/>
          <w:sz w:val="21"/>
          <w:szCs w:val="21"/>
        </w:rPr>
        <w:t xml:space="preserve">Gate 6 decision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GO</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DoC complete, signed, correct legal act for the placing-on-market date, correct languages.</w:t>
            </w:r>
          </w:p>
        </w:tc>
      </w:tr>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CONDITIONAL</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Cites superseded standard edition — revise before shipment.</w:t>
            </w:r>
          </w:p>
        </w:tc>
      </w:tr>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NO-GO</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DoC missing/unsigned; MD DoC used for units placed on market after 19/01/2027.</w:t>
            </w:r>
          </w:p>
        </w:tc>
      </w:tr>
    </w:tbl>
    <w:p>
      <w:pPr>
        <w:spacing w:after="80"/>
      </w:pPr>
    </w:p>
    <w:p>
      <w:pPr>
        <w:pStyle w:val="Heading1"/>
        <w:spacing w:after="160" w:before="240"/>
      </w:pPr>
      <w:r>
        <w:rPr>
          <w:rFonts w:ascii="Arial" w:cs="Arial" w:eastAsia="Arial" w:hAnsi="Arial"/>
          <w:b/>
          <w:bCs/>
          <w:color w:val="1F3864"/>
          <w:sz w:val="28"/>
          <w:szCs w:val="28"/>
        </w:rPr>
        <w:t xml:space="preserve">8. Link 7 — CE Marking, Data Plate and Instructions</w:t>
      </w:r>
    </w:p>
    <w:p>
      <w:pPr>
        <w:pStyle w:val="Heading2"/>
        <w:spacing w:after="120" w:before="200"/>
      </w:pPr>
      <w:r>
        <w:rPr>
          <w:rFonts w:ascii="Arial" w:cs="Arial" w:eastAsia="Arial" w:hAnsi="Arial"/>
          <w:b/>
          <w:bCs/>
          <w:color w:val="1F3864"/>
          <w:sz w:val="24"/>
          <w:szCs w:val="24"/>
        </w:rPr>
        <w:t xml:space="preserve">8.1 Marking verification checklist (QC at FRI)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69"/>
        <w:gridCol w:w="2313"/>
        <w:gridCol w:w="2505"/>
        <w:gridCol w:w="1351"/>
      </w:tblGrid>
      <w:tr>
        <w:trPr>
          <w:tblHeader/>
        </w:trPr>
        <w:tc>
          <w:tcPr>
            <w:tcW w:type="dxa" w:w="3469"/>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Element</w:t>
            </w:r>
          </w:p>
        </w:tc>
        <w:tc>
          <w:tcPr>
            <w:tcW w:type="dxa" w:w="2313"/>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Reference</w:t>
            </w:r>
          </w:p>
        </w:tc>
        <w:tc>
          <w:tcPr>
            <w:tcW w:type="dxa" w:w="2505"/>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Accept criterion</w:t>
            </w:r>
          </w:p>
        </w:tc>
        <w:tc>
          <w:tcPr>
            <w:tcW w:type="dxa" w:w="1351"/>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Fail class</w:t>
            </w:r>
          </w:p>
        </w:tc>
      </w:tr>
      <w:tr>
        <w:trPr>
          <w:tblHeader w:val="false"/>
        </w:trPr>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CE marking ≥ 5 mm, Annex II 765/2008 proportions, indelible, next to manufacturer name</w:t>
            </w:r>
          </w:p>
        </w:tc>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MD 1.7.3 / Art. 16; MR Art. 24</w:t>
            </w:r>
          </w:p>
        </w:tc>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Present, correct, no NB number</w:t>
            </w:r>
          </w:p>
        </w:tc>
        <w:tc>
          <w:tcPr>
            <w:tcW w:type="dxa" w:w="1351"/>
            <w:tcMar>
              <w:top w:type="dxa" w:w="50"/>
              <w:left w:type="dxa" w:w="80"/>
              <w:bottom w:type="dxa" w:w="50"/>
              <w:right w:type="dxa" w:w="80"/>
            </w:tcMar>
            <w:vAlign w:val="top"/>
          </w:tcPr>
          <w:p>
            <w:pPr>
              <w:spacing w:after="30"/>
            </w:pPr>
            <w:r>
              <w:rPr>
                <w:rFonts w:ascii="Arial" w:cs="Arial" w:eastAsia="Arial" w:hAnsi="Arial"/>
                <w:sz w:val="17"/>
                <w:szCs w:val="17"/>
              </w:rPr>
              <w:t xml:space="preserve">Critical</w:t>
            </w:r>
          </w:p>
        </w:tc>
      </w:tr>
      <w:tr>
        <w:trPr>
          <w:tblHeader w:val="false"/>
        </w:trPr>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Manufacturer business name and full address (+ AR)</w:t>
            </w:r>
          </w:p>
        </w:tc>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MD/MR 1.7.3</w:t>
            </w:r>
          </w:p>
        </w:tc>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Complete</w:t>
            </w:r>
          </w:p>
        </w:tc>
        <w:tc>
          <w:tcPr>
            <w:tcW w:type="dxa" w:w="1351"/>
            <w:tcMar>
              <w:top w:type="dxa" w:w="50"/>
              <w:left w:type="dxa" w:w="80"/>
              <w:bottom w:type="dxa" w:w="50"/>
              <w:right w:type="dxa" w:w="80"/>
            </w:tcMar>
            <w:vAlign w:val="top"/>
          </w:tcPr>
          <w:p>
            <w:pPr>
              <w:spacing w:after="30"/>
            </w:pPr>
            <w:r>
              <w:rPr>
                <w:rFonts w:ascii="Arial" w:cs="Arial" w:eastAsia="Arial" w:hAnsi="Arial"/>
                <w:sz w:val="17"/>
                <w:szCs w:val="17"/>
              </w:rPr>
              <w:t xml:space="preserve">Critical</w:t>
            </w:r>
          </w:p>
        </w:tc>
      </w:tr>
      <w:tr>
        <w:trPr>
          <w:tblHeader w:val="false"/>
        </w:trPr>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Importer name, trade name, postal address and contact</w:t>
            </w:r>
          </w:p>
        </w:tc>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MR Art. 13; GPSR; 2019/1020 Art. 4</w:t>
            </w:r>
          </w:p>
        </w:tc>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On product or, where impossible, packaging/document</w:t>
            </w:r>
          </w:p>
        </w:tc>
        <w:tc>
          <w:tcPr>
            <w:tcW w:type="dxa" w:w="1351"/>
            <w:tcMar>
              <w:top w:type="dxa" w:w="50"/>
              <w:left w:type="dxa" w:w="80"/>
              <w:bottom w:type="dxa" w:w="50"/>
              <w:right w:type="dxa" w:w="80"/>
            </w:tcMar>
            <w:vAlign w:val="top"/>
          </w:tcPr>
          <w:p>
            <w:pPr>
              <w:spacing w:after="30"/>
            </w:pPr>
            <w:r>
              <w:rPr>
                <w:rFonts w:ascii="Arial" w:cs="Arial" w:eastAsia="Arial" w:hAnsi="Arial"/>
                <w:sz w:val="17"/>
                <w:szCs w:val="17"/>
              </w:rPr>
              <w:t xml:space="preserve">Critical</w:t>
            </w:r>
          </w:p>
        </w:tc>
      </w:tr>
      <w:tr>
        <w:trPr>
          <w:tblHeader w:val="false"/>
        </w:trPr>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Designation, series or type, serial number, year of construction</w:t>
            </w:r>
          </w:p>
        </w:tc>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MD/MR 1.7.3</w:t>
            </w:r>
          </w:p>
        </w:tc>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Complete and legible</w:t>
            </w:r>
          </w:p>
        </w:tc>
        <w:tc>
          <w:tcPr>
            <w:tcW w:type="dxa" w:w="1351"/>
            <w:tcMar>
              <w:top w:type="dxa" w:w="50"/>
              <w:left w:type="dxa" w:w="80"/>
              <w:bottom w:type="dxa" w:w="50"/>
              <w:right w:type="dxa" w:w="80"/>
            </w:tcMar>
            <w:vAlign w:val="top"/>
          </w:tcPr>
          <w:p>
            <w:pPr>
              <w:spacing w:after="30"/>
            </w:pPr>
            <w:r>
              <w:rPr>
                <w:rFonts w:ascii="Arial" w:cs="Arial" w:eastAsia="Arial" w:hAnsi="Arial"/>
                <w:sz w:val="17"/>
                <w:szCs w:val="17"/>
              </w:rPr>
              <w:t xml:space="preserve">Critical</w:t>
            </w:r>
          </w:p>
        </w:tc>
      </w:tr>
      <w:tr>
        <w:trPr>
          <w:tblHeader w:val="false"/>
        </w:trPr>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Rated capacity (kg) at load centre (mm); unladen mass</w:t>
            </w:r>
          </w:p>
        </w:tc>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MD/MR 4.3.3; EN ISO 3691-5 data plate (verify)</w:t>
            </w:r>
          </w:p>
        </w:tc>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Matches test report and spec</w:t>
            </w:r>
          </w:p>
        </w:tc>
        <w:tc>
          <w:tcPr>
            <w:tcW w:type="dxa" w:w="1351"/>
            <w:tcMar>
              <w:top w:type="dxa" w:w="50"/>
              <w:left w:type="dxa" w:w="80"/>
              <w:bottom w:type="dxa" w:w="50"/>
              <w:right w:type="dxa" w:w="80"/>
            </w:tcMar>
            <w:vAlign w:val="top"/>
          </w:tcPr>
          <w:p>
            <w:pPr>
              <w:spacing w:after="30"/>
            </w:pPr>
            <w:r>
              <w:rPr>
                <w:rFonts w:ascii="Arial" w:cs="Arial" w:eastAsia="Arial" w:hAnsi="Arial"/>
                <w:sz w:val="17"/>
                <w:szCs w:val="17"/>
              </w:rPr>
              <w:t xml:space="preserve">Critical</w:t>
            </w:r>
          </w:p>
        </w:tc>
      </w:tr>
      <w:tr>
        <w:trPr>
          <w:tblHeader w:val="false"/>
        </w:trPr>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Warning pictograms (no riding, foot crushing, max load)</w:t>
            </w:r>
          </w:p>
        </w:tc>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Risk assessment; EN ISO 3691-5</w:t>
            </w:r>
          </w:p>
        </w:tc>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Present, durable</w:t>
            </w:r>
          </w:p>
        </w:tc>
        <w:tc>
          <w:tcPr>
            <w:tcW w:type="dxa" w:w="1351"/>
            <w:tcMar>
              <w:top w:type="dxa" w:w="50"/>
              <w:left w:type="dxa" w:w="80"/>
              <w:bottom w:type="dxa" w:w="50"/>
              <w:right w:type="dxa" w:w="80"/>
            </w:tcMar>
            <w:vAlign w:val="top"/>
          </w:tcPr>
          <w:p>
            <w:pPr>
              <w:spacing w:after="30"/>
            </w:pPr>
            <w:r>
              <w:rPr>
                <w:rFonts w:ascii="Arial" w:cs="Arial" w:eastAsia="Arial" w:hAnsi="Arial"/>
                <w:sz w:val="17"/>
                <w:szCs w:val="17"/>
              </w:rPr>
              <w:t xml:space="preserve">Major</w:t>
            </w:r>
          </w:p>
        </w:tc>
      </w:tr>
      <w:tr>
        <w:trPr>
          <w:tblHeader w:val="false"/>
        </w:trPr>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Swiss distributor identification (CH lots)</w:t>
            </w:r>
          </w:p>
        </w:tc>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PrSG</w:t>
            </w:r>
          </w:p>
        </w:tc>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Present</w:t>
            </w:r>
          </w:p>
        </w:tc>
        <w:tc>
          <w:tcPr>
            <w:tcW w:type="dxa" w:w="1351"/>
            <w:tcMar>
              <w:top w:type="dxa" w:w="50"/>
              <w:left w:type="dxa" w:w="80"/>
              <w:bottom w:type="dxa" w:w="50"/>
              <w:right w:type="dxa" w:w="80"/>
            </w:tcMar>
            <w:vAlign w:val="top"/>
          </w:tcPr>
          <w:p>
            <w:pPr>
              <w:spacing w:after="30"/>
            </w:pPr>
            <w:r>
              <w:rPr>
                <w:rFonts w:ascii="Arial" w:cs="Arial" w:eastAsia="Arial" w:hAnsi="Arial"/>
                <w:sz w:val="17"/>
                <w:szCs w:val="17"/>
              </w:rPr>
              <w:t xml:space="preserve">Major</w:t>
            </w:r>
          </w:p>
        </w:tc>
      </w:tr>
      <w:tr>
        <w:trPr>
          <w:tblHeader w:val="false"/>
        </w:trPr>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Barcode / EAN</w:t>
            </w:r>
          </w:p>
        </w:tc>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Ally spec</w:t>
            </w:r>
          </w:p>
        </w:tc>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Scans correctly, position per approval</w:t>
            </w:r>
          </w:p>
        </w:tc>
        <w:tc>
          <w:tcPr>
            <w:tcW w:type="dxa" w:w="1351"/>
            <w:tcMar>
              <w:top w:type="dxa" w:w="50"/>
              <w:left w:type="dxa" w:w="80"/>
              <w:bottom w:type="dxa" w:w="50"/>
              <w:right w:type="dxa" w:w="80"/>
            </w:tcMar>
            <w:vAlign w:val="top"/>
          </w:tcPr>
          <w:p>
            <w:pPr>
              <w:spacing w:after="30"/>
            </w:pPr>
            <w:r>
              <w:rPr>
                <w:rFonts w:ascii="Arial" w:cs="Arial" w:eastAsia="Arial" w:hAnsi="Arial"/>
                <w:sz w:val="17"/>
                <w:szCs w:val="17"/>
              </w:rPr>
              <w:t xml:space="preserve">Major</w:t>
            </w:r>
          </w:p>
        </w:tc>
      </w:tr>
      <w:tr>
        <w:trPr>
          <w:tblHeader w:val="false"/>
        </w:trPr>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Triman + Info-tri (FR lots)</w:t>
            </w:r>
          </w:p>
        </w:tc>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L.541-9-3 C. env.</w:t>
            </w:r>
          </w:p>
        </w:tc>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On packaging or leaflet</w:t>
            </w:r>
          </w:p>
        </w:tc>
        <w:tc>
          <w:tcPr>
            <w:tcW w:type="dxa" w:w="1351"/>
            <w:tcMar>
              <w:top w:type="dxa" w:w="50"/>
              <w:left w:type="dxa" w:w="80"/>
              <w:bottom w:type="dxa" w:w="50"/>
              <w:right w:type="dxa" w:w="80"/>
            </w:tcMar>
            <w:vAlign w:val="top"/>
          </w:tcPr>
          <w:p>
            <w:pPr>
              <w:spacing w:after="30"/>
            </w:pPr>
            <w:r>
              <w:rPr>
                <w:rFonts w:ascii="Arial" w:cs="Arial" w:eastAsia="Arial" w:hAnsi="Arial"/>
                <w:sz w:val="17"/>
                <w:szCs w:val="17"/>
              </w:rPr>
              <w:t xml:space="preserve">Major</w:t>
            </w:r>
          </w:p>
        </w:tc>
      </w:tr>
    </w:tbl>
    <w:p>
      <w:pPr>
        <w:spacing w:after="80"/>
      </w:pPr>
    </w:p>
    <w:p>
      <w:pPr>
        <w:pStyle w:val="Heading2"/>
        <w:spacing w:after="120" w:before="200"/>
      </w:pPr>
      <w:r>
        <w:rPr>
          <w:rFonts w:ascii="Arial" w:cs="Arial" w:eastAsia="Arial" w:hAnsi="Arial"/>
          <w:b/>
          <w:bCs/>
          <w:color w:val="1F3864"/>
          <w:sz w:val="24"/>
          <w:szCs w:val="24"/>
        </w:rPr>
        <w:t xml:space="preserve">8.2 Instructions for use — minimum content</w:t>
      </w:r>
    </w:p>
    <w:p>
      <w:pPr>
        <w:pStyle w:val="ListParagraph"/>
        <w:numPr>
          <w:ilvl w:val="0"/>
          <w:numId w:val="2"/>
        </w:numPr>
        <w:spacing w:after="60"/>
      </w:pPr>
      <w:r>
        <w:rPr>
          <w:rFonts w:ascii="Arial" w:cs="Arial" w:eastAsia="Arial" w:hAnsi="Arial"/>
          <w:sz w:val="20"/>
          <w:szCs w:val="20"/>
        </w:rPr>
        <w:t xml:space="preserve">Intended use, rated capacity, load centre, permitted floors; prohibited uses (2.1 misuse list).</w:t>
      </w:r>
    </w:p>
    <w:p>
      <w:pPr>
        <w:pStyle w:val="ListParagraph"/>
        <w:numPr>
          <w:ilvl w:val="0"/>
          <w:numId w:val="2"/>
        </w:numPr>
        <w:spacing w:after="60"/>
      </w:pPr>
      <w:r>
        <w:rPr>
          <w:rFonts w:ascii="Arial" w:cs="Arial" w:eastAsia="Arial" w:hAnsi="Arial"/>
          <w:sz w:val="20"/>
          <w:szCs w:val="20"/>
        </w:rPr>
        <w:t xml:space="preserve">Assembly of tiller (pin, chain/rod adjustment), commissioning check, operation (lift, neutral, lower), parking/brake.</w:t>
      </w:r>
    </w:p>
    <w:p>
      <w:pPr>
        <w:pStyle w:val="ListParagraph"/>
        <w:numPr>
          <w:ilvl w:val="0"/>
          <w:numId w:val="2"/>
        </w:numPr>
        <w:spacing w:after="60"/>
      </w:pPr>
      <w:r>
        <w:rPr>
          <w:rFonts w:ascii="Arial" w:cs="Arial" w:eastAsia="Arial" w:hAnsi="Arial"/>
          <w:sz w:val="20"/>
          <w:szCs w:val="20"/>
        </w:rPr>
        <w:t xml:space="preserve">Maintenance: oil type, volume, refilling, air bleeding, lubrication points, inspection intervals, wear limits; residual risks.</w:t>
      </w:r>
    </w:p>
    <w:p>
      <w:pPr>
        <w:pStyle w:val="ListParagraph"/>
        <w:numPr>
          <w:ilvl w:val="0"/>
          <w:numId w:val="2"/>
        </w:numPr>
        <w:spacing w:after="60"/>
      </w:pPr>
      <w:r>
        <w:rPr>
          <w:rFonts w:ascii="Arial" w:cs="Arial" w:eastAsia="Arial" w:hAnsi="Arial"/>
          <w:sz w:val="20"/>
          <w:szCs w:val="20"/>
        </w:rPr>
        <w:t xml:space="preserve">Manufacturer and importer identification; copy/content of DoC (MD) or DoC access (MR).</w:t>
      </w:r>
    </w:p>
    <w:p>
      <w:pPr>
        <w:pStyle w:val="ListParagraph"/>
        <w:numPr>
          <w:ilvl w:val="0"/>
          <w:numId w:val="2"/>
        </w:numPr>
        <w:spacing w:after="60"/>
      </w:pPr>
      <w:r>
        <w:rPr>
          <w:rFonts w:ascii="Arial" w:cs="Arial" w:eastAsia="Arial" w:hAnsi="Arial"/>
          <w:sz w:val="20"/>
          <w:szCs w:val="20"/>
        </w:rPr>
        <w:t xml:space="preserve">Languages: official language(s) of each country of sale (CH: DE/FR/IT). </w:t>
      </w:r>
      <w:r>
        <w:rPr>
          <w:rFonts w:ascii="Arial" w:cs="Arial" w:eastAsia="Arial" w:hAnsi="Arial"/>
          <w:b/>
          <w:bCs/>
          <w:sz w:val="20"/>
          <w:szCs w:val="20"/>
        </w:rPr>
        <w:t xml:space="preserve">Paper format</w:t>
      </w:r>
      <w:r>
        <w:rPr>
          <w:rFonts w:ascii="Arial" w:cs="Arial" w:eastAsia="Arial" w:hAnsi="Arial"/>
          <w:sz w:val="20"/>
          <w:szCs w:val="20"/>
        </w:rPr>
        <w:t xml:space="preserve"> — required in practice for the DIY channel; under the MR digital instructions are allowed, but safety information for non-professional users must be on paper and a paper copy supplied free on request (verify MR Art. 10(7)).</w:t>
      </w:r>
    </w:p>
    <w:p>
      <w:pPr>
        <w:pStyle w:val="ListParagraph"/>
        <w:numPr>
          <w:ilvl w:val="0"/>
          <w:numId w:val="2"/>
        </w:numPr>
        <w:spacing w:after="60"/>
      </w:pPr>
      <w:r>
        <w:rPr>
          <w:rFonts w:ascii="Arial" w:cs="Arial" w:eastAsia="Arial" w:hAnsi="Arial"/>
          <w:sz w:val="20"/>
          <w:szCs w:val="20"/>
        </w:rPr>
        <w:t xml:space="preserve">Layout per EN IEC/IEEE 82079-1 (assessment via assembly-instruction-assessment skill).</w:t>
      </w:r>
    </w:p>
    <w:p>
      <w:pPr>
        <w:pStyle w:val="Heading3"/>
        <w:spacing w:after="80" w:before="140"/>
      </w:pPr>
      <w:r>
        <w:rPr>
          <w:rFonts w:ascii="Arial" w:cs="Arial" w:eastAsia="Arial" w:hAnsi="Arial"/>
          <w:b/>
          <w:bCs/>
          <w:sz w:val="21"/>
          <w:szCs w:val="21"/>
        </w:rPr>
        <w:t xml:space="preserve">Gate 7 decision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GO</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All Critical marking elements present; instructions approved in all languages.</w:t>
            </w:r>
          </w:p>
        </w:tc>
      </w:tr>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CONDITIONAL</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Minor label error correctable before carton sealing.</w:t>
            </w:r>
          </w:p>
        </w:tc>
      </w:tr>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NO-GO</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CE/data plate/rated capacity/importer missing; wrong language; NB number without NB.</w:t>
            </w:r>
          </w:p>
        </w:tc>
      </w:tr>
    </w:tbl>
    <w:p>
      <w:pPr>
        <w:spacing w:after="80"/>
      </w:pPr>
    </w:p>
    <w:p>
      <w:pPr>
        <w:pStyle w:val="Heading1"/>
        <w:spacing w:after="160" w:before="240"/>
      </w:pPr>
      <w:r>
        <w:rPr>
          <w:rFonts w:ascii="Arial" w:cs="Arial" w:eastAsia="Arial" w:hAnsi="Arial"/>
          <w:b/>
          <w:bCs/>
          <w:color w:val="1F3864"/>
          <w:sz w:val="28"/>
          <w:szCs w:val="28"/>
        </w:rPr>
        <w:t xml:space="preserve">9. Link 8 — SRC Release Conditions</w:t>
      </w:r>
    </w:p>
    <w:p>
      <w:pPr>
        <w:pStyle w:val="ListParagraph"/>
        <w:numPr>
          <w:ilvl w:val="0"/>
          <w:numId w:val="2"/>
        </w:numPr>
        <w:spacing w:after="60"/>
      </w:pPr>
      <w:r>
        <w:rPr>
          <w:rFonts w:ascii="Arial" w:cs="Arial" w:eastAsia="Arial" w:hAnsi="Arial"/>
          <w:sz w:val="20"/>
          <w:szCs w:val="20"/>
        </w:rPr>
        <w:t xml:space="preserve">Links 1–3: MCG on file; pathway and module confirmed; legal act matches EU arrival date (MD ≤ 19/01/2027 / MR ≥ 20/01/2027).</w:t>
      </w:r>
    </w:p>
    <w:p>
      <w:pPr>
        <w:pStyle w:val="ListParagraph"/>
        <w:numPr>
          <w:ilvl w:val="0"/>
          <w:numId w:val="2"/>
        </w:numPr>
        <w:spacing w:after="60"/>
      </w:pPr>
      <w:r>
        <w:rPr>
          <w:rFonts w:ascii="Arial" w:cs="Arial" w:eastAsia="Arial" w:hAnsi="Arial"/>
          <w:sz w:val="20"/>
          <w:szCs w:val="20"/>
        </w:rPr>
        <w:t xml:space="preserve">Link 4: accredited test report valid and covering every variant on the P.O.; chemical report ≤ 2 years.</w:t>
      </w:r>
    </w:p>
    <w:p>
      <w:pPr>
        <w:pStyle w:val="ListParagraph"/>
        <w:numPr>
          <w:ilvl w:val="0"/>
          <w:numId w:val="2"/>
        </w:numPr>
        <w:spacing w:after="60"/>
      </w:pPr>
      <w:r>
        <w:rPr>
          <w:rFonts w:ascii="Arial" w:cs="Arial" w:eastAsia="Arial" w:hAnsi="Arial"/>
          <w:sz w:val="20"/>
          <w:szCs w:val="20"/>
        </w:rPr>
        <w:t xml:space="preserve">Link 5: FRI PASS — Cr 0 / Ma 2.5 / Mi 4.0; functional tests PASS; golden sample match; DPI PASS for first order; end-of-line load-test records sighted.</w:t>
      </w:r>
    </w:p>
    <w:p>
      <w:pPr>
        <w:pStyle w:val="ListParagraph"/>
        <w:numPr>
          <w:ilvl w:val="0"/>
          <w:numId w:val="2"/>
        </w:numPr>
        <w:spacing w:after="60"/>
      </w:pPr>
      <w:r>
        <w:rPr>
          <w:rFonts w:ascii="Arial" w:cs="Arial" w:eastAsia="Arial" w:hAnsi="Arial"/>
          <w:sz w:val="20"/>
          <w:szCs w:val="20"/>
        </w:rPr>
        <w:t xml:space="preserve">Link 6: signed DoC in required languages on file.</w:t>
      </w:r>
    </w:p>
    <w:p>
      <w:pPr>
        <w:pStyle w:val="ListParagraph"/>
        <w:numPr>
          <w:ilvl w:val="0"/>
          <w:numId w:val="2"/>
        </w:numPr>
        <w:spacing w:after="60"/>
      </w:pPr>
      <w:r>
        <w:rPr>
          <w:rFonts w:ascii="Arial" w:cs="Arial" w:eastAsia="Arial" w:hAnsi="Arial"/>
          <w:sz w:val="20"/>
          <w:szCs w:val="20"/>
        </w:rPr>
        <w:t xml:space="preserve">Link 7: marking and instructions verified at FRI.</w:t>
      </w:r>
    </w:p>
    <w:p>
      <w:pPr>
        <w:pStyle w:val="ListParagraph"/>
        <w:numPr>
          <w:ilvl w:val="0"/>
          <w:numId w:val="2"/>
        </w:numPr>
        <w:spacing w:after="60"/>
      </w:pPr>
      <w:r>
        <w:rPr>
          <w:rFonts w:ascii="Arial" w:cs="Arial" w:eastAsia="Arial" w:hAnsi="Arial"/>
          <w:sz w:val="20"/>
          <w:szCs w:val="20"/>
        </w:rPr>
        <w:t xml:space="preserve">PPWR: packaging weight and material per SKU recorded (Annex D); heavy-metal compliance; EPR registration of the producer for each destination country.</w:t>
      </w:r>
    </w:p>
    <w:p>
      <w:pPr>
        <w:pStyle w:val="ListParagraph"/>
        <w:numPr>
          <w:ilvl w:val="0"/>
          <w:numId w:val="2"/>
        </w:numPr>
        <w:spacing w:after="60"/>
      </w:pPr>
      <w:r>
        <w:rPr>
          <w:rFonts w:ascii="Arial" w:cs="Arial" w:eastAsia="Arial" w:hAnsi="Arial"/>
          <w:sz w:val="20"/>
          <w:szCs w:val="20"/>
        </w:rPr>
        <w:t xml:space="preserve">REACH: SVHC declaration for the shipment on file.</w:t>
      </w:r>
    </w:p>
    <w:p>
      <w:pPr>
        <w:pStyle w:val="ListParagraph"/>
        <w:numPr>
          <w:ilvl w:val="0"/>
          <w:numId w:val="2"/>
        </w:numPr>
        <w:spacing w:after="60"/>
      </w:pPr>
      <w:r>
        <w:rPr>
          <w:rFonts w:ascii="Arial" w:cs="Arial" w:eastAsia="Arial" w:hAnsi="Arial"/>
          <w:sz w:val="20"/>
          <w:szCs w:val="20"/>
        </w:rPr>
        <w:t xml:space="preserve">Wooden pallets: ISPM 15 HT mark verified.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Ally / market</w:t>
            </w:r>
          </w:p>
        </w:tc>
        <w:tc>
          <w:tcPr>
            <w:tcW w:type="dxa" w:w="7325"/>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Additional release condition</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HAGEBAU (DE)</w:t>
            </w:r>
          </w:p>
        </w:tc>
        <w:tc>
          <w:tcPr>
            <w:tcW w:type="dxa" w:w="7325"/>
            <w:tcMar>
              <w:top w:type="dxa" w:w="50"/>
              <w:left w:type="dxa" w:w="80"/>
              <w:bottom w:type="dxa" w:w="50"/>
              <w:right w:type="dxa" w:w="80"/>
            </w:tcMar>
            <w:vAlign w:val="top"/>
          </w:tcPr>
          <w:p>
            <w:pPr>
              <w:spacing w:after="30"/>
            </w:pPr>
            <w:r>
              <w:rPr>
                <w:rFonts w:ascii="Arial" w:cs="Arial" w:eastAsia="Arial" w:hAnsi="Arial"/>
                <w:sz w:val="17"/>
                <w:szCs w:val="17"/>
              </w:rPr>
              <w:t xml:space="preserve">German instructions/DoC. GS lots: GS certificate valid, covering model, Ally brand/trade name and producing factory; last surveillance inspection within 12 months; GS mark artwork as approved by the GS body (Section 10.7).</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ITM (FR)</w:t>
            </w:r>
          </w:p>
        </w:tc>
        <w:tc>
          <w:tcPr>
            <w:tcW w:type="dxa" w:w="7325"/>
            <w:tcMar>
              <w:top w:type="dxa" w:w="50"/>
              <w:left w:type="dxa" w:w="80"/>
              <w:bottom w:type="dxa" w:w="50"/>
              <w:right w:type="dxa" w:w="80"/>
            </w:tcMar>
            <w:vAlign w:val="top"/>
          </w:tcPr>
          <w:p>
            <w:pPr>
              <w:spacing w:after="30"/>
            </w:pPr>
            <w:r>
              <w:rPr>
                <w:rFonts w:ascii="Arial" w:cs="Arial" w:eastAsia="Arial" w:hAnsi="Arial"/>
                <w:sz w:val="17"/>
                <w:szCs w:val="17"/>
              </w:rPr>
              <w:t xml:space="preserve">French instructions; Triman/Info-tri; mineral-oil-free packaging inks declaration.</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DEDEMAN (RO)</w:t>
            </w:r>
          </w:p>
        </w:tc>
        <w:tc>
          <w:tcPr>
            <w:tcW w:type="dxa" w:w="7325"/>
            <w:tcMar>
              <w:top w:type="dxa" w:w="50"/>
              <w:left w:type="dxa" w:w="80"/>
              <w:bottom w:type="dxa" w:w="50"/>
              <w:right w:type="dxa" w:w="80"/>
            </w:tcMar>
            <w:vAlign w:val="top"/>
          </w:tcPr>
          <w:p>
            <w:pPr>
              <w:spacing w:after="30"/>
            </w:pPr>
            <w:r>
              <w:rPr>
                <w:rFonts w:ascii="Arial" w:cs="Arial" w:eastAsia="Arial" w:hAnsi="Arial"/>
                <w:sz w:val="17"/>
                <w:szCs w:val="17"/>
              </w:rPr>
              <w:t xml:space="preserve">Romanian instructions/DoC.</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JUMBO/Coop (CH)</w:t>
            </w:r>
          </w:p>
        </w:tc>
        <w:tc>
          <w:tcPr>
            <w:tcW w:type="dxa" w:w="7325"/>
            <w:tcMar>
              <w:top w:type="dxa" w:w="50"/>
              <w:left w:type="dxa" w:w="80"/>
              <w:bottom w:type="dxa" w:w="50"/>
              <w:right w:type="dxa" w:w="80"/>
            </w:tcMar>
            <w:vAlign w:val="top"/>
          </w:tcPr>
          <w:p>
            <w:pPr>
              <w:spacing w:after="30"/>
            </w:pPr>
            <w:r>
              <w:rPr>
                <w:rFonts w:ascii="Arial" w:cs="Arial" w:eastAsia="Arial" w:hAnsi="Arial"/>
                <w:sz w:val="17"/>
                <w:szCs w:val="17"/>
              </w:rPr>
              <w:t xml:space="preserve">DE/FR/IT instructions; Swiss distributor identification.</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BCM</w:t>
            </w:r>
          </w:p>
        </w:tc>
        <w:tc>
          <w:tcPr>
            <w:tcW w:type="dxa" w:w="7325"/>
            <w:tcMar>
              <w:top w:type="dxa" w:w="50"/>
              <w:left w:type="dxa" w:w="80"/>
              <w:bottom w:type="dxa" w:w="50"/>
              <w:right w:type="dxa" w:w="80"/>
            </w:tcMar>
            <w:vAlign w:val="top"/>
          </w:tcPr>
          <w:p>
            <w:pPr>
              <w:spacing w:after="30"/>
            </w:pPr>
            <w:r>
              <w:rPr>
                <w:rFonts w:ascii="Arial" w:cs="Arial" w:eastAsia="Arial" w:hAnsi="Arial"/>
                <w:sz w:val="17"/>
                <w:szCs w:val="17"/>
              </w:rPr>
              <w:t xml:space="preserve">Destination languages and EPR — [confirm].</w:t>
            </w:r>
          </w:p>
        </w:tc>
      </w:tr>
    </w:tbl>
    <w:p>
      <w:pPr>
        <w:spacing w:after="80"/>
      </w:pPr>
    </w:p>
    <w:p>
      <w:pPr>
        <w:spacing w:after="120"/>
      </w:pPr>
      <w:r>
        <w:rPr>
          <w:rFonts w:ascii="Arial" w:cs="Arial" w:eastAsia="Arial" w:hAnsi="Arial"/>
          <w:b/>
          <w:bCs/>
          <w:sz w:val="20"/>
          <w:szCs w:val="20"/>
        </w:rPr>
        <w:t xml:space="preserve">SRC decision:</w:t>
      </w:r>
      <w:r>
        <w:rPr>
          <w:rFonts w:ascii="Arial" w:cs="Arial" w:eastAsia="Arial" w:hAnsi="Arial"/>
          <w:sz w:val="20"/>
          <w:szCs w:val="20"/>
        </w:rPr>
        <w:t xml:space="preserve"> RELEASED (all gates PASS) · RELEASED WITH CONDITIONS (minor items closed before vessel departure) · HOLD (any critical gate FAIL; escalate to QS Manager and notify Ally if sailing window impacted). Signed by QS; QC countersignature on FRI input.</w:t>
      </w:r>
    </w:p>
    <w:p>
      <w:pPr>
        <w:pStyle w:val="Heading1"/>
        <w:spacing w:after="160" w:before="240"/>
      </w:pPr>
      <w:r>
        <w:rPr>
          <w:rFonts w:ascii="Arial" w:cs="Arial" w:eastAsia="Arial" w:hAnsi="Arial"/>
          <w:b/>
          <w:bCs/>
          <w:color w:val="1F3864"/>
          <w:sz w:val="28"/>
          <w:szCs w:val="28"/>
        </w:rPr>
        <w:t xml:space="preserve">10. GS Mark Certification Process (TÜV / ZLS-recognised GS body)</w:t>
      </w:r>
    </w:p>
    <w:p>
      <w:pPr>
        <w:pStyle w:val="Heading2"/>
        <w:spacing w:after="120" w:before="200"/>
      </w:pPr>
      <w:r>
        <w:rPr>
          <w:rFonts w:ascii="Arial" w:cs="Arial" w:eastAsia="Arial" w:hAnsi="Arial"/>
          <w:b/>
          <w:bCs/>
          <w:color w:val="1F3864"/>
          <w:sz w:val="24"/>
          <w:szCs w:val="24"/>
        </w:rPr>
        <w:t xml:space="preserve">10.1 Legal basis and eligibility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Mark</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GS — “Geprüfte Sicherheit” (tested safety). Voluntary German mark; does </w:t>
            </w:r>
            <w:r>
              <w:rPr>
                <w:rFonts w:ascii="Arial" w:cs="Arial" w:eastAsia="Arial" w:hAnsi="Arial"/>
                <w:b/>
                <w:bCs/>
                <w:sz w:val="17"/>
                <w:szCs w:val="17"/>
              </w:rPr>
              <w:t xml:space="preserve">not</w:t>
            </w:r>
            <w:r>
              <w:rPr>
                <w:rFonts w:ascii="Arial" w:cs="Arial" w:eastAsia="Arial" w:hAnsi="Arial"/>
                <w:sz w:val="17"/>
                <w:szCs w:val="17"/>
              </w:rPr>
              <w:t xml:space="preserve"> replace CE marking, DoC or technical file.</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Legal basis</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Product Safety Act (ProdSG, 27/07/2021) §§ 20–22: award of the GS mark, obligations of the GS body, obligations of the manufacturer; GS symbol layout per ProdSG annex (verify section numbering).</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GS body</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Only a GS body recognised by the ZLS (Zentralstelle der Länder für Sicherheitstechnik) and accredited by DAkkS, listed by BAuA — e.g. TÜV SÜD, TÜV Rheinland, TÜV NORD, DEKRA, Intertek. Verify the body’s ZLS scope covers industrial trucks / machinery.</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Eligibility</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Ready-to-use product (“verwendungsfertig”) — manual pallet truck qualifies. Module A product: no mandatory third-party type examination, so GS is permissible (verify ProdSG § 20 exclusion clause).</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Who holds the certificate</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Manufacturer (or EU authorised representative). Ally brand / trade name and Ally model references must be listed on the certificate (trade-name extension).</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Trigger at A.R.E.N.A.</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Ally order specifying GS (typically HAGEBAU, DE/AT). GS cost and lead time to be quoted at RFQ stage.</w:t>
            </w:r>
          </w:p>
        </w:tc>
      </w:tr>
    </w:tbl>
    <w:p>
      <w:pPr>
        <w:spacing w:after="80"/>
      </w:pPr>
    </w:p>
    <w:p>
      <w:pPr>
        <w:pStyle w:val="Heading2"/>
        <w:spacing w:after="120" w:before="200"/>
      </w:pPr>
      <w:r>
        <w:rPr>
          <w:rFonts w:ascii="Arial" w:cs="Arial" w:eastAsia="Arial" w:hAnsi="Arial"/>
          <w:b/>
          <w:bCs/>
          <w:color w:val="1F3864"/>
          <w:sz w:val="24"/>
          <w:szCs w:val="24"/>
        </w:rPr>
        <w:t xml:space="preserve">10.2 Test basis (GS specifications)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69"/>
        <w:gridCol w:w="6169"/>
      </w:tblGrid>
      <w:tr>
        <w:trPr>
          <w:tblHeader/>
        </w:trPr>
        <w:tc>
          <w:tcPr>
            <w:tcW w:type="dxa" w:w="3469"/>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Specification</w:t>
            </w:r>
          </w:p>
        </w:tc>
        <w:tc>
          <w:tcPr>
            <w:tcW w:type="dxa" w:w="6169"/>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Scope for the pallet truck</w:t>
            </w:r>
          </w:p>
        </w:tc>
      </w:tr>
      <w:tr>
        <w:trPr>
          <w:tblHeader w:val="false"/>
        </w:trPr>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EN ISO 3691-5:2015+A1:2020; EN 16307-5:2013</w:t>
            </w:r>
          </w:p>
        </w:tc>
        <w:tc>
          <w:tcPr>
            <w:tcW w:type="dxa" w:w="6169"/>
            <w:tcMar>
              <w:top w:type="dxa" w:w="50"/>
              <w:left w:type="dxa" w:w="80"/>
              <w:bottom w:type="dxa" w:w="50"/>
              <w:right w:type="dxa" w:w="80"/>
            </w:tcMar>
            <w:vAlign w:val="top"/>
          </w:tcPr>
          <w:p>
            <w:pPr>
              <w:spacing w:after="30"/>
            </w:pPr>
            <w:r>
              <w:rPr>
                <w:rFonts w:ascii="Arial" w:cs="Arial" w:eastAsia="Arial" w:hAnsi="Arial"/>
                <w:sz w:val="17"/>
                <w:szCs w:val="17"/>
              </w:rPr>
              <w:t xml:space="preserve">Full safety test programme — same as Link 4 items 1–11.</w:t>
            </w:r>
          </w:p>
        </w:tc>
      </w:tr>
      <w:tr>
        <w:trPr>
          <w:tblHeader w:val="false"/>
        </w:trPr>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EN ISO 12100:2010</w:t>
            </w:r>
          </w:p>
        </w:tc>
        <w:tc>
          <w:tcPr>
            <w:tcW w:type="dxa" w:w="6169"/>
            <w:tcMar>
              <w:top w:type="dxa" w:w="50"/>
              <w:left w:type="dxa" w:w="80"/>
              <w:bottom w:type="dxa" w:w="50"/>
              <w:right w:type="dxa" w:w="80"/>
            </w:tcMar>
            <w:vAlign w:val="top"/>
          </w:tcPr>
          <w:p>
            <w:pPr>
              <w:spacing w:after="30"/>
            </w:pPr>
            <w:r>
              <w:rPr>
                <w:rFonts w:ascii="Arial" w:cs="Arial" w:eastAsia="Arial" w:hAnsi="Arial"/>
                <w:sz w:val="17"/>
                <w:szCs w:val="17"/>
              </w:rPr>
              <w:t xml:space="preserve">Risk assessment review by GS body.</w:t>
            </w:r>
          </w:p>
        </w:tc>
      </w:tr>
      <w:tr>
        <w:trPr>
          <w:tblHeader w:val="false"/>
        </w:trPr>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AfPS GS 2019:01 PAK</w:t>
            </w:r>
          </w:p>
        </w:tc>
        <w:tc>
          <w:tcPr>
            <w:tcW w:type="dxa" w:w="6169"/>
            <w:tcMar>
              <w:top w:type="dxa" w:w="50"/>
              <w:left w:type="dxa" w:w="80"/>
              <w:bottom w:type="dxa" w:w="50"/>
              <w:right w:type="dxa" w:w="80"/>
            </w:tcMar>
            <w:vAlign w:val="top"/>
          </w:tcPr>
          <w:p>
            <w:pPr>
              <w:spacing w:after="30"/>
            </w:pPr>
            <w:r>
              <w:rPr>
                <w:rFonts w:ascii="Arial" w:cs="Arial" w:eastAsia="Arial" w:hAnsi="Arial"/>
                <w:sz w:val="17"/>
                <w:szCs w:val="17"/>
              </w:rPr>
              <w:t xml:space="preserve">PAH test on accessible rubber/plastic parts: tiller grip = category 2 (foreseeable skin contact &gt; 30 s); wheels, covers = category 3. Limits stricter than REACH entry 50.</w:t>
            </w:r>
          </w:p>
        </w:tc>
      </w:tr>
      <w:tr>
        <w:trPr>
          <w:tblHeader w:val="false"/>
        </w:trPr>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ProdSG § 3 / instructions</w:t>
            </w:r>
          </w:p>
        </w:tc>
        <w:tc>
          <w:tcPr>
            <w:tcW w:type="dxa" w:w="6169"/>
            <w:tcMar>
              <w:top w:type="dxa" w:w="50"/>
              <w:left w:type="dxa" w:w="80"/>
              <w:bottom w:type="dxa" w:w="50"/>
              <w:right w:type="dxa" w:w="80"/>
            </w:tcMar>
            <w:vAlign w:val="top"/>
          </w:tcPr>
          <w:p>
            <w:pPr>
              <w:spacing w:after="30"/>
            </w:pPr>
            <w:r>
              <w:rPr>
                <w:rFonts w:ascii="Arial" w:cs="Arial" w:eastAsia="Arial" w:hAnsi="Arial"/>
                <w:sz w:val="17"/>
                <w:szCs w:val="17"/>
              </w:rPr>
              <w:t xml:space="preserve">German instructions and warnings checked for completeness and comprehensibility.</w:t>
            </w:r>
          </w:p>
        </w:tc>
      </w:tr>
      <w:tr>
        <w:trPr>
          <w:tblHeader w:val="false"/>
        </w:trPr>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GS body supplementary requirements</w:t>
            </w:r>
          </w:p>
        </w:tc>
        <w:tc>
          <w:tcPr>
            <w:tcW w:type="dxa" w:w="6169"/>
            <w:tcMar>
              <w:top w:type="dxa" w:w="50"/>
              <w:left w:type="dxa" w:w="80"/>
              <w:bottom w:type="dxa" w:w="50"/>
              <w:right w:type="dxa" w:w="80"/>
            </w:tcMar>
            <w:vAlign w:val="top"/>
          </w:tcPr>
          <w:p>
            <w:pPr>
              <w:spacing w:after="30"/>
            </w:pPr>
            <w:r>
              <w:rPr>
                <w:rFonts w:ascii="Arial" w:cs="Arial" w:eastAsia="Arial" w:hAnsi="Arial"/>
                <w:sz w:val="17"/>
                <w:szCs w:val="17"/>
              </w:rPr>
              <w:t xml:space="preserve">Body-specific test programme (e.g. durability, marking durability) — obtain written test scope with the quotation.</w:t>
            </w:r>
          </w:p>
        </w:tc>
      </w:tr>
    </w:tbl>
    <w:p>
      <w:pPr>
        <w:spacing w:after="80"/>
      </w:pPr>
    </w:p>
    <w:p>
      <w:pPr>
        <w:pStyle w:val="Heading2"/>
        <w:spacing w:after="120" w:before="200"/>
      </w:pPr>
      <w:r>
        <w:rPr>
          <w:rFonts w:ascii="Arial" w:cs="Arial" w:eastAsia="Arial" w:hAnsi="Arial"/>
          <w:b/>
          <w:bCs/>
          <w:color w:val="1F3864"/>
          <w:sz w:val="24"/>
          <w:szCs w:val="24"/>
        </w:rPr>
        <w:t xml:space="preserve">10.3 Step-by-step obtaining process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3855"/>
        <w:gridCol w:w="1542"/>
        <w:gridCol w:w="2120"/>
        <w:gridCol w:w="1543"/>
      </w:tblGrid>
      <w:tr>
        <w:trPr>
          <w:tblHeader/>
        </w:trPr>
        <w:tc>
          <w:tcPr>
            <w:tcW w:type="dxa" w:w="578"/>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Step</w:t>
            </w:r>
          </w:p>
        </w:tc>
        <w:tc>
          <w:tcPr>
            <w:tcW w:type="dxa" w:w="3855"/>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Activity</w:t>
            </w:r>
          </w:p>
        </w:tc>
        <w:tc>
          <w:tcPr>
            <w:tcW w:type="dxa" w:w="1542"/>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Responsible</w:t>
            </w:r>
          </w:p>
        </w:tc>
        <w:tc>
          <w:tcPr>
            <w:tcW w:type="dxa" w:w="2120"/>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Output / gate</w:t>
            </w:r>
          </w:p>
        </w:tc>
        <w:tc>
          <w:tcPr>
            <w:tcW w:type="dxa" w:w="1543"/>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Indicative lead time</w:t>
            </w:r>
          </w:p>
        </w:tc>
      </w:tr>
      <w:tr>
        <w:trPr>
          <w:tblHeader w:val="false"/>
        </w:trPr>
        <w:tc>
          <w:tcPr>
            <w:tcW w:type="dxa" w:w="578"/>
            <w:tcMar>
              <w:top w:type="dxa" w:w="50"/>
              <w:left w:type="dxa" w:w="80"/>
              <w:bottom w:type="dxa" w:w="50"/>
              <w:right w:type="dxa" w:w="80"/>
            </w:tcMar>
            <w:vAlign w:val="top"/>
          </w:tcPr>
          <w:p>
            <w:pPr>
              <w:spacing w:after="30"/>
            </w:pPr>
            <w:r>
              <w:rPr>
                <w:rFonts w:ascii="Arial" w:cs="Arial" w:eastAsia="Arial" w:hAnsi="Arial"/>
                <w:sz w:val="17"/>
                <w:szCs w:val="17"/>
              </w:rPr>
              <w:t xml:space="preserve">1</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Confirm Ally GS requirement; define models, capacities, brand names to be covered</w:t>
            </w:r>
          </w:p>
        </w:tc>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Merchandiser + QS</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GS scope sheet</w:t>
            </w:r>
          </w:p>
        </w:tc>
        <w:tc>
          <w:tcPr>
            <w:tcW w:type="dxa" w:w="1543"/>
            <w:tcMar>
              <w:top w:type="dxa" w:w="50"/>
              <w:left w:type="dxa" w:w="80"/>
              <w:bottom w:type="dxa" w:w="50"/>
              <w:right w:type="dxa" w:w="80"/>
            </w:tcMar>
            <w:vAlign w:val="top"/>
          </w:tcPr>
          <w:p>
            <w:pPr>
              <w:spacing w:after="30"/>
            </w:pPr>
            <w:r>
              <w:rPr>
                <w:rFonts w:ascii="Arial" w:cs="Arial" w:eastAsia="Arial" w:hAnsi="Arial"/>
                <w:sz w:val="17"/>
                <w:szCs w:val="17"/>
              </w:rPr>
              <w:t xml:space="preserve">RFQ stage</w:t>
            </w:r>
          </w:p>
        </w:tc>
      </w:tr>
      <w:tr>
        <w:trPr>
          <w:tblHeader w:val="false"/>
        </w:trPr>
        <w:tc>
          <w:tcPr>
            <w:tcW w:type="dxa" w:w="578"/>
            <w:tcMar>
              <w:top w:type="dxa" w:w="50"/>
              <w:left w:type="dxa" w:w="80"/>
              <w:bottom w:type="dxa" w:w="50"/>
              <w:right w:type="dxa" w:w="80"/>
            </w:tcMar>
            <w:vAlign w:val="top"/>
          </w:tcPr>
          <w:p>
            <w:pPr>
              <w:spacing w:after="30"/>
            </w:pPr>
            <w:r>
              <w:rPr>
                <w:rFonts w:ascii="Arial" w:cs="Arial" w:eastAsia="Arial" w:hAnsi="Arial"/>
                <w:sz w:val="17"/>
                <w:szCs w:val="17"/>
              </w:rPr>
              <w:t xml:space="preserve">2</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Select ZLS-recognised GS body; request quotation (testing, factory inspection, annual fee); confirm test scope</w:t>
            </w:r>
          </w:p>
        </w:tc>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Quotation + written test programme</w:t>
            </w:r>
          </w:p>
        </w:tc>
        <w:tc>
          <w:tcPr>
            <w:tcW w:type="dxa" w:w="1543"/>
            <w:tcMar>
              <w:top w:type="dxa" w:w="50"/>
              <w:left w:type="dxa" w:w="80"/>
              <w:bottom w:type="dxa" w:w="50"/>
              <w:right w:type="dxa" w:w="80"/>
            </w:tcMar>
            <w:vAlign w:val="top"/>
          </w:tcPr>
          <w:p>
            <w:pPr>
              <w:spacing w:after="30"/>
            </w:pPr>
            <w:r>
              <w:rPr>
                <w:rFonts w:ascii="Arial" w:cs="Arial" w:eastAsia="Arial" w:hAnsi="Arial"/>
                <w:sz w:val="17"/>
                <w:szCs w:val="17"/>
              </w:rPr>
              <w:t xml:space="preserve">1 week</w:t>
            </w:r>
          </w:p>
        </w:tc>
      </w:tr>
      <w:tr>
        <w:trPr>
          <w:tblHeader w:val="false"/>
        </w:trPr>
        <w:tc>
          <w:tcPr>
            <w:tcW w:type="dxa" w:w="578"/>
            <w:tcMar>
              <w:top w:type="dxa" w:w="50"/>
              <w:left w:type="dxa" w:w="80"/>
              <w:bottom w:type="dxa" w:w="50"/>
              <w:right w:type="dxa" w:w="80"/>
            </w:tcMar>
            <w:vAlign w:val="top"/>
          </w:tcPr>
          <w:p>
            <w:pPr>
              <w:spacing w:after="30"/>
            </w:pPr>
            <w:r>
              <w:rPr>
                <w:rFonts w:ascii="Arial" w:cs="Arial" w:eastAsia="Arial" w:hAnsi="Arial"/>
                <w:sz w:val="17"/>
                <w:szCs w:val="17"/>
              </w:rPr>
              <w:t xml:space="preserve">3</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Application signed by manufacturer (certificate holder); trade-name listing for Ally brand</w:t>
            </w:r>
          </w:p>
        </w:tc>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Supplier</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Application form accepted</w:t>
            </w:r>
          </w:p>
        </w:tc>
        <w:tc>
          <w:tcPr>
            <w:tcW w:type="dxa" w:w="1543"/>
            <w:tcMar>
              <w:top w:type="dxa" w:w="50"/>
              <w:left w:type="dxa" w:w="80"/>
              <w:bottom w:type="dxa" w:w="50"/>
              <w:right w:type="dxa" w:w="80"/>
            </w:tcMar>
            <w:vAlign w:val="top"/>
          </w:tcPr>
          <w:p>
            <w:pPr>
              <w:spacing w:after="30"/>
            </w:pPr>
            <w:r>
              <w:rPr>
                <w:rFonts w:ascii="Arial" w:cs="Arial" w:eastAsia="Arial" w:hAnsi="Arial"/>
                <w:sz w:val="17"/>
                <w:szCs w:val="17"/>
              </w:rPr>
              <w:t xml:space="preserve">—</w:t>
            </w:r>
          </w:p>
        </w:tc>
      </w:tr>
      <w:tr>
        <w:trPr>
          <w:tblHeader w:val="false"/>
        </w:trPr>
        <w:tc>
          <w:tcPr>
            <w:tcW w:type="dxa" w:w="578"/>
            <w:tcMar>
              <w:top w:type="dxa" w:w="50"/>
              <w:left w:type="dxa" w:w="80"/>
              <w:bottom w:type="dxa" w:w="50"/>
              <w:right w:type="dxa" w:w="80"/>
            </w:tcMar>
            <w:vAlign w:val="top"/>
          </w:tcPr>
          <w:p>
            <w:pPr>
              <w:spacing w:after="30"/>
            </w:pPr>
            <w:r>
              <w:rPr>
                <w:rFonts w:ascii="Arial" w:cs="Arial" w:eastAsia="Arial" w:hAnsi="Arial"/>
                <w:sz w:val="17"/>
                <w:szCs w:val="17"/>
              </w:rPr>
              <w:t xml:space="preserve">4</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Technical documentation submitted (see 10.4); pre-review by GS body</w:t>
            </w:r>
          </w:p>
        </w:tc>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Supplier + QS</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Document review report; gaps closed</w:t>
            </w:r>
          </w:p>
        </w:tc>
        <w:tc>
          <w:tcPr>
            <w:tcW w:type="dxa" w:w="1543"/>
            <w:tcMar>
              <w:top w:type="dxa" w:w="50"/>
              <w:left w:type="dxa" w:w="80"/>
              <w:bottom w:type="dxa" w:w="50"/>
              <w:right w:type="dxa" w:w="80"/>
            </w:tcMar>
            <w:vAlign w:val="top"/>
          </w:tcPr>
          <w:p>
            <w:pPr>
              <w:spacing w:after="30"/>
            </w:pPr>
            <w:r>
              <w:rPr>
                <w:rFonts w:ascii="Arial" w:cs="Arial" w:eastAsia="Arial" w:hAnsi="Arial"/>
                <w:sz w:val="17"/>
                <w:szCs w:val="17"/>
              </w:rPr>
              <w:t xml:space="preserve">1–2 weeks</w:t>
            </w:r>
          </w:p>
        </w:tc>
      </w:tr>
      <w:tr>
        <w:trPr>
          <w:tblHeader w:val="false"/>
        </w:trPr>
        <w:tc>
          <w:tcPr>
            <w:tcW w:type="dxa" w:w="578"/>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Samples shipped (production-representative, quantity per GS body, typically 2–3 units + spare grips/wheels)</w:t>
            </w:r>
          </w:p>
        </w:tc>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Supplier</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Sample receipt confirmation</w:t>
            </w:r>
          </w:p>
        </w:tc>
        <w:tc>
          <w:tcPr>
            <w:tcW w:type="dxa" w:w="1543"/>
            <w:tcMar>
              <w:top w:type="dxa" w:w="50"/>
              <w:left w:type="dxa" w:w="80"/>
              <w:bottom w:type="dxa" w:w="50"/>
              <w:right w:type="dxa" w:w="80"/>
            </w:tcMar>
            <w:vAlign w:val="top"/>
          </w:tcPr>
          <w:p>
            <w:pPr>
              <w:spacing w:after="30"/>
            </w:pPr>
            <w:r>
              <w:rPr>
                <w:rFonts w:ascii="Arial" w:cs="Arial" w:eastAsia="Arial" w:hAnsi="Arial"/>
                <w:sz w:val="17"/>
                <w:szCs w:val="17"/>
              </w:rPr>
              <w:t xml:space="preserve">1 week</w:t>
            </w:r>
          </w:p>
        </w:tc>
      </w:tr>
      <w:tr>
        <w:trPr>
          <w:tblHeader w:val="false"/>
        </w:trPr>
        <w:tc>
          <w:tcPr>
            <w:tcW w:type="dxa" w:w="578"/>
            <w:tcMar>
              <w:top w:type="dxa" w:w="50"/>
              <w:left w:type="dxa" w:w="80"/>
              <w:bottom w:type="dxa" w:w="50"/>
              <w:right w:type="dxa" w:w="80"/>
            </w:tcMar>
            <w:vAlign w:val="top"/>
          </w:tcPr>
          <w:p>
            <w:pPr>
              <w:spacing w:after="30"/>
            </w:pPr>
            <w:r>
              <w:rPr>
                <w:rFonts w:ascii="Arial" w:cs="Arial" w:eastAsia="Arial" w:hAnsi="Arial"/>
                <w:sz w:val="17"/>
                <w:szCs w:val="17"/>
              </w:rPr>
              <w:t xml:space="preserve">6</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Type testing at GS body lab; on failure → CAPA, modified samples, re-test</w:t>
            </w:r>
          </w:p>
        </w:tc>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GS body; QS follows up</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GS test report — PASS</w:t>
            </w:r>
          </w:p>
        </w:tc>
        <w:tc>
          <w:tcPr>
            <w:tcW w:type="dxa" w:w="1543"/>
            <w:tcMar>
              <w:top w:type="dxa" w:w="50"/>
              <w:left w:type="dxa" w:w="80"/>
              <w:bottom w:type="dxa" w:w="50"/>
              <w:right w:type="dxa" w:w="80"/>
            </w:tcMar>
            <w:vAlign w:val="top"/>
          </w:tcPr>
          <w:p>
            <w:pPr>
              <w:spacing w:after="30"/>
            </w:pPr>
            <w:r>
              <w:rPr>
                <w:rFonts w:ascii="Arial" w:cs="Arial" w:eastAsia="Arial" w:hAnsi="Arial"/>
                <w:sz w:val="17"/>
                <w:szCs w:val="17"/>
              </w:rPr>
              <w:t xml:space="preserve">3–5 weeks</w:t>
            </w:r>
          </w:p>
        </w:tc>
      </w:tr>
      <w:tr>
        <w:trPr>
          <w:tblHeader w:val="false"/>
        </w:trPr>
        <w:tc>
          <w:tcPr>
            <w:tcW w:type="dxa" w:w="578"/>
            <w:tcMar>
              <w:top w:type="dxa" w:w="50"/>
              <w:left w:type="dxa" w:w="80"/>
              <w:bottom w:type="dxa" w:w="50"/>
              <w:right w:type="dxa" w:w="80"/>
            </w:tcMar>
            <w:vAlign w:val="top"/>
          </w:tcPr>
          <w:p>
            <w:pPr>
              <w:spacing w:after="30"/>
            </w:pPr>
            <w:r>
              <w:rPr>
                <w:rFonts w:ascii="Arial" w:cs="Arial" w:eastAsia="Arial" w:hAnsi="Arial"/>
                <w:sz w:val="17"/>
                <w:szCs w:val="17"/>
              </w:rPr>
              <w:t xml:space="preserve">7</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Initial factory inspection (Fertigungsstätteninspektion) — mandatory before award: production capability, incoming control, end-of-line load test, critical components, traceability</w:t>
            </w:r>
          </w:p>
        </w:tc>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GS body; QS attends</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Factory inspection report — PASS</w:t>
            </w:r>
          </w:p>
        </w:tc>
        <w:tc>
          <w:tcPr>
            <w:tcW w:type="dxa" w:w="1543"/>
            <w:tcMar>
              <w:top w:type="dxa" w:w="50"/>
              <w:left w:type="dxa" w:w="80"/>
              <w:bottom w:type="dxa" w:w="50"/>
              <w:right w:type="dxa" w:w="80"/>
            </w:tcMar>
            <w:vAlign w:val="top"/>
          </w:tcPr>
          <w:p>
            <w:pPr>
              <w:spacing w:after="30"/>
            </w:pPr>
            <w:r>
              <w:rPr>
                <w:rFonts w:ascii="Arial" w:cs="Arial" w:eastAsia="Arial" w:hAnsi="Arial"/>
                <w:sz w:val="17"/>
                <w:szCs w:val="17"/>
              </w:rPr>
              <w:t xml:space="preserve">1–3 weeks (scheduling)</w:t>
            </w:r>
          </w:p>
        </w:tc>
      </w:tr>
      <w:tr>
        <w:trPr>
          <w:tblHeader w:val="false"/>
        </w:trPr>
        <w:tc>
          <w:tcPr>
            <w:tcW w:type="dxa" w:w="578"/>
            <w:tcMar>
              <w:top w:type="dxa" w:w="50"/>
              <w:left w:type="dxa" w:w="80"/>
              <w:bottom w:type="dxa" w:w="50"/>
              <w:right w:type="dxa" w:w="80"/>
            </w:tcMar>
            <w:vAlign w:val="top"/>
          </w:tcPr>
          <w:p>
            <w:pPr>
              <w:spacing w:after="30"/>
            </w:pPr>
            <w:r>
              <w:rPr>
                <w:rFonts w:ascii="Arial" w:cs="Arial" w:eastAsia="Arial" w:hAnsi="Arial"/>
                <w:sz w:val="17"/>
                <w:szCs w:val="17"/>
              </w:rPr>
              <w:t xml:space="preserve">8</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GS certificate issued (model, brand, factory, standards, validity ≤ 5 years)</w:t>
            </w:r>
          </w:p>
        </w:tc>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GS body</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GS certificate</w:t>
            </w:r>
          </w:p>
        </w:tc>
        <w:tc>
          <w:tcPr>
            <w:tcW w:type="dxa" w:w="1543"/>
            <w:tcMar>
              <w:top w:type="dxa" w:w="50"/>
              <w:left w:type="dxa" w:w="80"/>
              <w:bottom w:type="dxa" w:w="50"/>
              <w:right w:type="dxa" w:w="80"/>
            </w:tcMar>
            <w:vAlign w:val="top"/>
          </w:tcPr>
          <w:p>
            <w:pPr>
              <w:spacing w:after="30"/>
            </w:pPr>
            <w:r>
              <w:rPr>
                <w:rFonts w:ascii="Arial" w:cs="Arial" w:eastAsia="Arial" w:hAnsi="Arial"/>
                <w:sz w:val="17"/>
                <w:szCs w:val="17"/>
              </w:rPr>
              <w:t xml:space="preserve">1 week</w:t>
            </w:r>
          </w:p>
        </w:tc>
      </w:tr>
      <w:tr>
        <w:trPr>
          <w:tblHeader w:val="false"/>
        </w:trPr>
        <w:tc>
          <w:tcPr>
            <w:tcW w:type="dxa" w:w="578"/>
            <w:tcMar>
              <w:top w:type="dxa" w:w="50"/>
              <w:left w:type="dxa" w:w="80"/>
              <w:bottom w:type="dxa" w:w="50"/>
              <w:right w:type="dxa" w:w="80"/>
            </w:tcMar>
            <w:vAlign w:val="top"/>
          </w:tcPr>
          <w:p>
            <w:pPr>
              <w:spacing w:after="30"/>
            </w:pPr>
            <w:r>
              <w:rPr>
                <w:rFonts w:ascii="Arial" w:cs="Arial" w:eastAsia="Arial" w:hAnsi="Arial"/>
                <w:sz w:val="17"/>
                <w:szCs w:val="17"/>
              </w:rPr>
              <w:t xml:space="preserve">9</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GS mark artwork (rating plate / label / packaging) submitted for GS body approval; mark used only after certificate issue</w:t>
            </w:r>
          </w:p>
        </w:tc>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Supplier + QS</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Approved artwork</w:t>
            </w:r>
          </w:p>
        </w:tc>
        <w:tc>
          <w:tcPr>
            <w:tcW w:type="dxa" w:w="1543"/>
            <w:tcMar>
              <w:top w:type="dxa" w:w="50"/>
              <w:left w:type="dxa" w:w="80"/>
              <w:bottom w:type="dxa" w:w="50"/>
              <w:right w:type="dxa" w:w="80"/>
            </w:tcMar>
            <w:vAlign w:val="top"/>
          </w:tcPr>
          <w:p>
            <w:pPr>
              <w:spacing w:after="30"/>
            </w:pPr>
            <w:r>
              <w:rPr>
                <w:rFonts w:ascii="Arial" w:cs="Arial" w:eastAsia="Arial" w:hAnsi="Arial"/>
                <w:sz w:val="17"/>
                <w:szCs w:val="17"/>
              </w:rPr>
              <w:t xml:space="preserve">1 week</w:t>
            </w:r>
          </w:p>
        </w:tc>
      </w:tr>
      <w:tr>
        <w:trPr>
          <w:tblHeader w:val="false"/>
        </w:trPr>
        <w:tc>
          <w:tcPr>
            <w:tcW w:type="dxa" w:w="578"/>
            <w:tcMar>
              <w:top w:type="dxa" w:w="50"/>
              <w:left w:type="dxa" w:w="80"/>
              <w:bottom w:type="dxa" w:w="50"/>
              <w:right w:type="dxa" w:w="80"/>
            </w:tcMar>
            <w:vAlign w:val="top"/>
          </w:tcPr>
          <w:p>
            <w:pPr>
              <w:spacing w:after="30"/>
            </w:pPr>
            <w:r>
              <w:rPr>
                <w:rFonts w:ascii="Arial" w:cs="Arial" w:eastAsia="Arial" w:hAnsi="Arial"/>
                <w:sz w:val="17"/>
                <w:szCs w:val="17"/>
              </w:rPr>
              <w:t xml:space="preserve">10</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Certificate details uploaded to QC pack; Ally informed; certificate verified in GS body online database</w:t>
            </w:r>
          </w:p>
        </w:tc>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Link 8 SRC input</w:t>
            </w:r>
          </w:p>
        </w:tc>
        <w:tc>
          <w:tcPr>
            <w:tcW w:type="dxa" w:w="1543"/>
            <w:tcMar>
              <w:top w:type="dxa" w:w="50"/>
              <w:left w:type="dxa" w:w="80"/>
              <w:bottom w:type="dxa" w:w="50"/>
              <w:right w:type="dxa" w:w="80"/>
            </w:tcMar>
            <w:vAlign w:val="top"/>
          </w:tcPr>
          <w:p>
            <w:pPr>
              <w:spacing w:after="30"/>
            </w:pPr>
            <w:r>
              <w:rPr>
                <w:rFonts w:ascii="Arial" w:cs="Arial" w:eastAsia="Arial" w:hAnsi="Arial"/>
                <w:sz w:val="17"/>
                <w:szCs w:val="17"/>
              </w:rPr>
              <w:t xml:space="preserve">—</w:t>
            </w:r>
          </w:p>
        </w:tc>
      </w:tr>
    </w:tbl>
    <w:p>
      <w:pPr>
        <w:spacing w:after="80"/>
      </w:pPr>
    </w:p>
    <w:p>
      <w:pPr>
        <w:spacing w:after="120"/>
      </w:pPr>
      <w:r>
        <w:rPr>
          <w:rFonts w:ascii="Arial" w:cs="Arial" w:eastAsia="Arial" w:hAnsi="Arial"/>
          <w:i/>
          <w:iCs/>
          <w:sz w:val="18"/>
          <w:szCs w:val="18"/>
        </w:rPr>
        <w:t xml:space="preserve">Indicative total: 6–10 weeks from complete documentation to certificate. Plan GS completion before the DPI of the first GS order.</w:t>
      </w:r>
    </w:p>
    <w:p>
      <w:pPr>
        <w:pStyle w:val="Heading2"/>
        <w:spacing w:after="120" w:before="200"/>
      </w:pPr>
      <w:r>
        <w:rPr>
          <w:rFonts w:ascii="Arial" w:cs="Arial" w:eastAsia="Arial" w:hAnsi="Arial"/>
          <w:b/>
          <w:bCs/>
          <w:color w:val="1F3864"/>
          <w:sz w:val="24"/>
          <w:szCs w:val="24"/>
        </w:rPr>
        <w:t xml:space="preserve">10.4 Documentation package for the GS body</w:t>
      </w:r>
    </w:p>
    <w:p>
      <w:pPr>
        <w:pStyle w:val="ListParagraph"/>
        <w:numPr>
          <w:ilvl w:val="0"/>
          <w:numId w:val="2"/>
        </w:numPr>
        <w:spacing w:after="60"/>
      </w:pPr>
      <w:r>
        <w:rPr>
          <w:rFonts w:ascii="Arial" w:cs="Arial" w:eastAsia="Arial" w:hAnsi="Arial"/>
          <w:sz w:val="20"/>
          <w:szCs w:val="20"/>
        </w:rPr>
        <w:t xml:space="preserve">Application form, company registration of manufacturer and factory address(es).</w:t>
      </w:r>
    </w:p>
    <w:p>
      <w:pPr>
        <w:pStyle w:val="ListParagraph"/>
        <w:numPr>
          <w:ilvl w:val="0"/>
          <w:numId w:val="2"/>
        </w:numPr>
        <w:spacing w:after="60"/>
      </w:pPr>
      <w:r>
        <w:rPr>
          <w:rFonts w:ascii="Arial" w:cs="Arial" w:eastAsia="Arial" w:hAnsi="Arial"/>
          <w:sz w:val="20"/>
          <w:szCs w:val="20"/>
        </w:rPr>
        <w:t xml:space="preserve">Product description, model list, variant matrix (capacity, fork length/width, colour, brand).</w:t>
      </w:r>
    </w:p>
    <w:p>
      <w:pPr>
        <w:pStyle w:val="ListParagraph"/>
        <w:numPr>
          <w:ilvl w:val="0"/>
          <w:numId w:val="2"/>
        </w:numPr>
        <w:spacing w:after="60"/>
      </w:pPr>
      <w:r>
        <w:rPr>
          <w:rFonts w:ascii="Arial" w:cs="Arial" w:eastAsia="Arial" w:hAnsi="Arial"/>
          <w:sz w:val="20"/>
          <w:szCs w:val="20"/>
        </w:rPr>
        <w:t xml:space="preserve">General assembly and detailed drawings; hydraulic schematic; strength and stability calculations.</w:t>
      </w:r>
    </w:p>
    <w:p>
      <w:pPr>
        <w:pStyle w:val="ListParagraph"/>
        <w:numPr>
          <w:ilvl w:val="0"/>
          <w:numId w:val="2"/>
        </w:numPr>
        <w:spacing w:after="60"/>
      </w:pPr>
      <w:r>
        <w:rPr>
          <w:rFonts w:ascii="Arial" w:cs="Arial" w:eastAsia="Arial" w:hAnsi="Arial"/>
          <w:b/>
          <w:bCs/>
          <w:sz w:val="20"/>
          <w:szCs w:val="20"/>
        </w:rPr>
        <w:t xml:space="preserve">Critical components list</w:t>
      </w:r>
      <w:r>
        <w:rPr>
          <w:rFonts w:ascii="Arial" w:cs="Arial" w:eastAsia="Arial" w:hAnsi="Arial"/>
          <w:sz w:val="20"/>
          <w:szCs w:val="20"/>
        </w:rPr>
        <w:t xml:space="preserve"> with sub-suppliers: pump unit, seals, overload valve, fork/frame steel, wheels and rollers, tiller grip material, chain/pins, coating.</w:t>
      </w:r>
    </w:p>
    <w:p>
      <w:pPr>
        <w:pStyle w:val="ListParagraph"/>
        <w:numPr>
          <w:ilvl w:val="0"/>
          <w:numId w:val="2"/>
        </w:numPr>
        <w:spacing w:after="60"/>
      </w:pPr>
      <w:r>
        <w:rPr>
          <w:rFonts w:ascii="Arial" w:cs="Arial" w:eastAsia="Arial" w:hAnsi="Arial"/>
          <w:sz w:val="20"/>
          <w:szCs w:val="20"/>
        </w:rPr>
        <w:t xml:space="preserve">Risk assessment (EN ISO 12100) and existing test reports (CE test report, PAH report) for recognition where accepted.</w:t>
      </w:r>
    </w:p>
    <w:p>
      <w:pPr>
        <w:pStyle w:val="ListParagraph"/>
        <w:numPr>
          <w:ilvl w:val="0"/>
          <w:numId w:val="2"/>
        </w:numPr>
        <w:spacing w:after="60"/>
      </w:pPr>
      <w:r>
        <w:rPr>
          <w:rFonts w:ascii="Arial" w:cs="Arial" w:eastAsia="Arial" w:hAnsi="Arial"/>
          <w:sz w:val="20"/>
          <w:szCs w:val="20"/>
        </w:rPr>
        <w:t xml:space="preserve">German instructions for use, rating plate and warning label artwork; draft DoC.</w:t>
      </w:r>
    </w:p>
    <w:p>
      <w:pPr>
        <w:pStyle w:val="ListParagraph"/>
        <w:numPr>
          <w:ilvl w:val="0"/>
          <w:numId w:val="2"/>
        </w:numPr>
        <w:spacing w:after="60"/>
      </w:pPr>
      <w:r>
        <w:rPr>
          <w:rFonts w:ascii="Arial" w:cs="Arial" w:eastAsia="Arial" w:hAnsi="Arial"/>
          <w:sz w:val="20"/>
          <w:szCs w:val="20"/>
        </w:rPr>
        <w:t xml:space="preserve">Factory QMS documents: ISO 9001 certificate, FPC plan, end-of-line test procedure, calibration list.</w:t>
      </w:r>
    </w:p>
    <w:p>
      <w:pPr>
        <w:pStyle w:val="Heading2"/>
        <w:spacing w:after="120" w:before="200"/>
      </w:pPr>
      <w:r>
        <w:rPr>
          <w:rFonts w:ascii="Arial" w:cs="Arial" w:eastAsia="Arial" w:hAnsi="Arial"/>
          <w:b/>
          <w:bCs/>
          <w:color w:val="1F3864"/>
          <w:sz w:val="24"/>
          <w:szCs w:val="24"/>
        </w:rPr>
        <w:t xml:space="preserve">10.5 Surveillance and certificate maintenance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5011"/>
        <w:gridCol w:w="1929"/>
      </w:tblGrid>
      <w:tr>
        <w:trPr>
          <w:tblHeader/>
        </w:trPr>
        <w:tc>
          <w:tcPr>
            <w:tcW w:type="dxa" w:w="2698"/>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Obligation</w:t>
            </w:r>
          </w:p>
        </w:tc>
        <w:tc>
          <w:tcPr>
            <w:tcW w:type="dxa" w:w="5011"/>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Requirement</w:t>
            </w:r>
          </w:p>
        </w:tc>
        <w:tc>
          <w:tcPr>
            <w:tcW w:type="dxa" w:w="1929"/>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Frequency</w:t>
            </w:r>
          </w:p>
        </w:tc>
      </w:tr>
      <w:tr>
        <w:trPr>
          <w:tblHeader w:val="false"/>
        </w:trPr>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Factory surveillance inspection</w:t>
            </w:r>
          </w:p>
        </w:tc>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GS body inspects the producing factory; checks conformity to tested type and critical components list</w:t>
            </w:r>
          </w:p>
        </w:tc>
        <w:tc>
          <w:tcPr>
            <w:tcW w:type="dxa" w:w="1929"/>
            <w:tcMar>
              <w:top w:type="dxa" w:w="50"/>
              <w:left w:type="dxa" w:w="80"/>
              <w:bottom w:type="dxa" w:w="50"/>
              <w:right w:type="dxa" w:w="80"/>
            </w:tcMar>
            <w:vAlign w:val="top"/>
          </w:tcPr>
          <w:p>
            <w:pPr>
              <w:spacing w:after="30"/>
            </w:pPr>
            <w:r>
              <w:rPr>
                <w:rFonts w:ascii="Arial" w:cs="Arial" w:eastAsia="Arial" w:hAnsi="Arial"/>
                <w:sz w:val="17"/>
                <w:szCs w:val="17"/>
              </w:rPr>
              <w:t xml:space="preserve">At least annually</w:t>
            </w:r>
          </w:p>
        </w:tc>
      </w:tr>
      <w:tr>
        <w:trPr>
          <w:tblHeader w:val="false"/>
        </w:trPr>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Follow-up / market samples</w:t>
            </w:r>
          </w:p>
        </w:tc>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Product re-tests at the GS body’s discretion</w:t>
            </w:r>
          </w:p>
        </w:tc>
        <w:tc>
          <w:tcPr>
            <w:tcW w:type="dxa" w:w="1929"/>
            <w:tcMar>
              <w:top w:type="dxa" w:w="50"/>
              <w:left w:type="dxa" w:w="80"/>
              <w:bottom w:type="dxa" w:w="50"/>
              <w:right w:type="dxa" w:w="80"/>
            </w:tcMar>
            <w:vAlign w:val="top"/>
          </w:tcPr>
          <w:p>
            <w:pPr>
              <w:spacing w:after="30"/>
            </w:pPr>
            <w:r>
              <w:rPr>
                <w:rFonts w:ascii="Arial" w:cs="Arial" w:eastAsia="Arial" w:hAnsi="Arial"/>
                <w:sz w:val="17"/>
                <w:szCs w:val="17"/>
              </w:rPr>
              <w:t xml:space="preserve">As decided by GS body</w:t>
            </w:r>
          </w:p>
        </w:tc>
      </w:tr>
      <w:tr>
        <w:trPr>
          <w:tblHeader w:val="false"/>
        </w:trPr>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Annual fee / licence</w:t>
            </w:r>
          </w:p>
        </w:tc>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Maintains certificate validity</w:t>
            </w:r>
          </w:p>
        </w:tc>
        <w:tc>
          <w:tcPr>
            <w:tcW w:type="dxa" w:w="1929"/>
            <w:tcMar>
              <w:top w:type="dxa" w:w="50"/>
              <w:left w:type="dxa" w:w="80"/>
              <w:bottom w:type="dxa" w:w="50"/>
              <w:right w:type="dxa" w:w="80"/>
            </w:tcMar>
            <w:vAlign w:val="top"/>
          </w:tcPr>
          <w:p>
            <w:pPr>
              <w:spacing w:after="30"/>
            </w:pPr>
            <w:r>
              <w:rPr>
                <w:rFonts w:ascii="Arial" w:cs="Arial" w:eastAsia="Arial" w:hAnsi="Arial"/>
                <w:sz w:val="17"/>
                <w:szCs w:val="17"/>
              </w:rPr>
              <w:t xml:space="preserve">Annual</w:t>
            </w:r>
          </w:p>
        </w:tc>
      </w:tr>
      <w:tr>
        <w:trPr>
          <w:tblHeader w:val="false"/>
        </w:trPr>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Renewal</w:t>
            </w:r>
          </w:p>
        </w:tc>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Re-assessment against current specifications before expiry</w:t>
            </w:r>
          </w:p>
        </w:tc>
        <w:tc>
          <w:tcPr>
            <w:tcW w:type="dxa" w:w="1929"/>
            <w:tcMar>
              <w:top w:type="dxa" w:w="50"/>
              <w:left w:type="dxa" w:w="80"/>
              <w:bottom w:type="dxa" w:w="50"/>
              <w:right w:type="dxa" w:w="80"/>
            </w:tcMar>
            <w:vAlign w:val="top"/>
          </w:tcPr>
          <w:p>
            <w:pPr>
              <w:spacing w:after="30"/>
            </w:pPr>
            <w:r>
              <w:rPr>
                <w:rFonts w:ascii="Arial" w:cs="Arial" w:eastAsia="Arial" w:hAnsi="Arial"/>
                <w:sz w:val="17"/>
                <w:szCs w:val="17"/>
              </w:rPr>
              <w:t xml:space="preserve">≤ 5 years — start ≥ 3 months before expiry</w:t>
            </w:r>
          </w:p>
        </w:tc>
      </w:tr>
      <w:tr>
        <w:trPr>
          <w:tblHeader w:val="false"/>
        </w:trPr>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Complaint / incident notification</w:t>
            </w:r>
          </w:p>
        </w:tc>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Inform GS body of safety-relevant complaints or recalls</w:t>
            </w:r>
          </w:p>
        </w:tc>
        <w:tc>
          <w:tcPr>
            <w:tcW w:type="dxa" w:w="1929"/>
            <w:tcMar>
              <w:top w:type="dxa" w:w="50"/>
              <w:left w:type="dxa" w:w="80"/>
              <w:bottom w:type="dxa" w:w="50"/>
              <w:right w:type="dxa" w:w="80"/>
            </w:tcMar>
            <w:vAlign w:val="top"/>
          </w:tcPr>
          <w:p>
            <w:pPr>
              <w:spacing w:after="30"/>
            </w:pPr>
            <w:r>
              <w:rPr>
                <w:rFonts w:ascii="Arial" w:cs="Arial" w:eastAsia="Arial" w:hAnsi="Arial"/>
                <w:sz w:val="17"/>
                <w:szCs w:val="17"/>
              </w:rPr>
              <w:t xml:space="preserve">Without delay</w:t>
            </w:r>
          </w:p>
        </w:tc>
      </w:tr>
    </w:tbl>
    <w:p>
      <w:pPr>
        <w:spacing w:after="80"/>
      </w:pPr>
    </w:p>
    <w:p>
      <w:pPr>
        <w:pStyle w:val="Heading2"/>
        <w:spacing w:after="120" w:before="200"/>
      </w:pPr>
      <w:r>
        <w:rPr>
          <w:rFonts w:ascii="Arial" w:cs="Arial" w:eastAsia="Arial" w:hAnsi="Arial"/>
          <w:b/>
          <w:bCs/>
          <w:color w:val="1F3864"/>
          <w:sz w:val="24"/>
          <w:szCs w:val="24"/>
        </w:rPr>
        <w:t xml:space="preserve">10.6 Change management</w:t>
      </w:r>
    </w:p>
    <w:p>
      <w:pPr>
        <w:pStyle w:val="ListParagraph"/>
        <w:numPr>
          <w:ilvl w:val="0"/>
          <w:numId w:val="2"/>
        </w:numPr>
        <w:spacing w:after="60"/>
      </w:pPr>
      <w:r>
        <w:rPr>
          <w:rFonts w:ascii="Arial" w:cs="Arial" w:eastAsia="Arial" w:hAnsi="Arial"/>
          <w:sz w:val="20"/>
          <w:szCs w:val="20"/>
        </w:rPr>
        <w:t xml:space="preserve">Any change of design, critical component or sub-supplier, material, coating system, production site or added model/brand → written notification to the GS body </w:t>
      </w:r>
      <w:r>
        <w:rPr>
          <w:rFonts w:ascii="Arial" w:cs="Arial" w:eastAsia="Arial" w:hAnsi="Arial"/>
          <w:b/>
          <w:bCs/>
          <w:sz w:val="20"/>
          <w:szCs w:val="20"/>
        </w:rPr>
        <w:t xml:space="preserve">before</w:t>
      </w:r>
      <w:r>
        <w:rPr>
          <w:rFonts w:ascii="Arial" w:cs="Arial" w:eastAsia="Arial" w:hAnsi="Arial"/>
          <w:sz w:val="20"/>
          <w:szCs w:val="20"/>
        </w:rPr>
        <w:t xml:space="preserve"> shipment; GS body decides on re-test and certificate amendment.</w:t>
      </w:r>
    </w:p>
    <w:p>
      <w:pPr>
        <w:pStyle w:val="ListParagraph"/>
        <w:numPr>
          <w:ilvl w:val="0"/>
          <w:numId w:val="2"/>
        </w:numPr>
        <w:spacing w:after="60"/>
      </w:pPr>
      <w:r>
        <w:rPr>
          <w:rFonts w:ascii="Arial" w:cs="Arial" w:eastAsia="Arial" w:hAnsi="Arial"/>
          <w:sz w:val="20"/>
          <w:szCs w:val="20"/>
        </w:rPr>
        <w:t xml:space="preserve">New production site → new factory inspection before GS-marked goods are shipped from that site.</w:t>
      </w:r>
    </w:p>
    <w:p>
      <w:pPr>
        <w:pStyle w:val="ListParagraph"/>
        <w:numPr>
          <w:ilvl w:val="0"/>
          <w:numId w:val="2"/>
        </w:numPr>
        <w:spacing w:after="60"/>
      </w:pPr>
      <w:r>
        <w:rPr>
          <w:rFonts w:ascii="Arial" w:cs="Arial" w:eastAsia="Arial" w:hAnsi="Arial"/>
          <w:sz w:val="20"/>
          <w:szCs w:val="20"/>
        </w:rPr>
        <w:t xml:space="preserve">Superseded standard or AfPS specification → GS body re-assessment; certificate may be restricted or withdrawn.</w:t>
      </w:r>
    </w:p>
    <w:p>
      <w:pPr>
        <w:pStyle w:val="ListParagraph"/>
        <w:numPr>
          <w:ilvl w:val="0"/>
          <w:numId w:val="2"/>
        </w:numPr>
        <w:spacing w:after="60"/>
      </w:pPr>
      <w:r>
        <w:rPr>
          <w:rFonts w:ascii="Arial" w:cs="Arial" w:eastAsia="Arial" w:hAnsi="Arial"/>
          <w:sz w:val="20"/>
          <w:szCs w:val="20"/>
        </w:rPr>
        <w:t xml:space="preserve">Certificate suspended/withdrawn → stop GS marking immediately; HOLD on GS lots; notify Ally.</w:t>
      </w:r>
    </w:p>
    <w:p>
      <w:pPr>
        <w:pStyle w:val="Heading2"/>
        <w:spacing w:after="120" w:before="200"/>
      </w:pPr>
      <w:r>
        <w:rPr>
          <w:rFonts w:ascii="Arial" w:cs="Arial" w:eastAsia="Arial" w:hAnsi="Arial"/>
          <w:b/>
          <w:bCs/>
          <w:color w:val="1F3864"/>
          <w:sz w:val="24"/>
          <w:szCs w:val="24"/>
        </w:rPr>
        <w:t xml:space="preserve">10.7 GS mark use</w:t>
      </w:r>
    </w:p>
    <w:p>
      <w:pPr>
        <w:pStyle w:val="ListParagraph"/>
        <w:numPr>
          <w:ilvl w:val="0"/>
          <w:numId w:val="2"/>
        </w:numPr>
        <w:spacing w:after="60"/>
      </w:pPr>
      <w:r>
        <w:rPr>
          <w:rFonts w:ascii="Arial" w:cs="Arial" w:eastAsia="Arial" w:hAnsi="Arial"/>
          <w:sz w:val="20"/>
          <w:szCs w:val="20"/>
        </w:rPr>
        <w:t xml:space="preserve">GS symbol per ProdSG annex combined with the GS body logo and ID / certificate number as specified by the GS body (some bodies add a QR/ID link to their certificate database).</w:t>
      </w:r>
    </w:p>
    <w:p>
      <w:pPr>
        <w:pStyle w:val="ListParagraph"/>
        <w:numPr>
          <w:ilvl w:val="0"/>
          <w:numId w:val="2"/>
        </w:numPr>
        <w:spacing w:after="60"/>
      </w:pPr>
      <w:r>
        <w:rPr>
          <w:rFonts w:ascii="Arial" w:cs="Arial" w:eastAsia="Arial" w:hAnsi="Arial"/>
          <w:sz w:val="20"/>
          <w:szCs w:val="20"/>
        </w:rPr>
        <w:t xml:space="preserve">Applied only to models, brands and factories listed on a valid certificate; on the product (rating plate or label) and optionally packaging.</w:t>
      </w:r>
    </w:p>
    <w:p>
      <w:pPr>
        <w:pStyle w:val="ListParagraph"/>
        <w:numPr>
          <w:ilvl w:val="0"/>
          <w:numId w:val="2"/>
        </w:numPr>
        <w:spacing w:after="60"/>
      </w:pPr>
      <w:r>
        <w:rPr>
          <w:rFonts w:ascii="Arial" w:cs="Arial" w:eastAsia="Arial" w:hAnsi="Arial"/>
          <w:sz w:val="20"/>
          <w:szCs w:val="20"/>
        </w:rPr>
        <w:t xml:space="preserve">Not to be applied to non-GS orders or other Allies unless covered by the certificate; misuse of the GS mark is an administrative offence under ProdSG (verify fine provision).</w:t>
      </w:r>
    </w:p>
    <w:p>
      <w:pPr>
        <w:pStyle w:val="Heading2"/>
        <w:spacing w:after="120" w:before="200"/>
      </w:pPr>
      <w:r>
        <w:rPr>
          <w:rFonts w:ascii="Arial" w:cs="Arial" w:eastAsia="Arial" w:hAnsi="Arial"/>
          <w:b/>
          <w:bCs/>
          <w:color w:val="1F3864"/>
          <w:sz w:val="24"/>
          <w:szCs w:val="24"/>
        </w:rPr>
        <w:t xml:space="preserve">10.8 GS gate decision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GO</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Certificate valid; covers model, Ally brand and factory; surveillance inspection within 12 months; mark artwork approved.</w:t>
            </w:r>
          </w:p>
        </w:tc>
      </w:tr>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CONDITIONAL</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Certificate renewal or change notification in progress — written GS body confirmation needed before SRC.</w:t>
            </w:r>
          </w:p>
        </w:tc>
      </w:tr>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NO-GO</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No certificate; expired or withdrawn certificate; factory or model not covered; GS mark applied without approval.</w:t>
            </w:r>
          </w:p>
        </w:tc>
      </w:tr>
    </w:tbl>
    <w:p>
      <w:pPr>
        <w:spacing w:after="80"/>
      </w:pPr>
    </w:p>
    <w:p>
      <w:pPr>
        <w:pStyle w:val="Heading2"/>
        <w:spacing w:after="120" w:before="200"/>
      </w:pPr>
      <w:r>
        <w:rPr>
          <w:rFonts w:ascii="Arial" w:cs="Arial" w:eastAsia="Arial" w:hAnsi="Arial"/>
          <w:b/>
          <w:bCs/>
          <w:color w:val="1F3864"/>
          <w:sz w:val="24"/>
          <w:szCs w:val="24"/>
        </w:rPr>
        <w:t xml:space="preserve">10.9 RACI — GS process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1638"/>
        <w:gridCol w:w="1638"/>
        <w:gridCol w:w="1638"/>
        <w:gridCol w:w="1640"/>
      </w:tblGrid>
      <w:tr>
        <w:trPr>
          <w:tblHeader/>
        </w:trPr>
        <w:tc>
          <w:tcPr>
            <w:tcW w:type="dxa" w:w="3084"/>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Activity</w:t>
            </w:r>
          </w:p>
        </w:tc>
        <w:tc>
          <w:tcPr>
            <w:tcW w:type="dxa" w:w="1638"/>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Responsible</w:t>
            </w:r>
          </w:p>
        </w:tc>
        <w:tc>
          <w:tcPr>
            <w:tcW w:type="dxa" w:w="1638"/>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Accountable</w:t>
            </w:r>
          </w:p>
        </w:tc>
        <w:tc>
          <w:tcPr>
            <w:tcW w:type="dxa" w:w="1638"/>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Consulted</w:t>
            </w:r>
          </w:p>
        </w:tc>
        <w:tc>
          <w:tcPr>
            <w:tcW w:type="dxa" w:w="1640"/>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Informed</w:t>
            </w:r>
          </w:p>
        </w:tc>
      </w:tr>
      <w:tr>
        <w:trPr>
          <w:tblHeader w:val="false"/>
        </w:trPr>
        <w:tc>
          <w:tcPr>
            <w:tcW w:type="dxa" w:w="3084"/>
            <w:tcMar>
              <w:top w:type="dxa" w:w="50"/>
              <w:left w:type="dxa" w:w="80"/>
              <w:bottom w:type="dxa" w:w="50"/>
              <w:right w:type="dxa" w:w="80"/>
            </w:tcMar>
            <w:vAlign w:val="top"/>
          </w:tcPr>
          <w:p>
            <w:pPr>
              <w:spacing w:after="30"/>
            </w:pPr>
            <w:r>
              <w:rPr>
                <w:rFonts w:ascii="Arial" w:cs="Arial" w:eastAsia="Arial" w:hAnsi="Arial"/>
                <w:sz w:val="17"/>
                <w:szCs w:val="17"/>
              </w:rPr>
              <w:t xml:space="preserve">GS requirement and scope</w:t>
            </w: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Merchandiser</w:t>
            </w: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QS Manager</w:t>
            </w: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Ally, QS</w:t>
            </w:r>
          </w:p>
        </w:tc>
        <w:tc>
          <w:tcPr>
            <w:tcW w:type="dxa" w:w="1640"/>
            <w:tcMar>
              <w:top w:type="dxa" w:w="50"/>
              <w:left w:type="dxa" w:w="80"/>
              <w:bottom w:type="dxa" w:w="50"/>
              <w:right w:type="dxa" w:w="80"/>
            </w:tcMar>
            <w:vAlign w:val="top"/>
          </w:tcPr>
          <w:p>
            <w:pPr>
              <w:spacing w:after="30"/>
            </w:pPr>
            <w:r>
              <w:rPr>
                <w:rFonts w:ascii="Arial" w:cs="Arial" w:eastAsia="Arial" w:hAnsi="Arial"/>
                <w:sz w:val="17"/>
                <w:szCs w:val="17"/>
              </w:rPr>
              <w:t xml:space="preserve">Supplier</w:t>
            </w:r>
          </w:p>
        </w:tc>
      </w:tr>
      <w:tr>
        <w:trPr>
          <w:tblHeader w:val="false"/>
        </w:trPr>
        <w:tc>
          <w:tcPr>
            <w:tcW w:type="dxa" w:w="3084"/>
            <w:tcMar>
              <w:top w:type="dxa" w:w="50"/>
              <w:left w:type="dxa" w:w="80"/>
              <w:bottom w:type="dxa" w:w="50"/>
              <w:right w:type="dxa" w:w="80"/>
            </w:tcMar>
            <w:vAlign w:val="top"/>
          </w:tcPr>
          <w:p>
            <w:pPr>
              <w:spacing w:after="30"/>
            </w:pPr>
            <w:r>
              <w:rPr>
                <w:rFonts w:ascii="Arial" w:cs="Arial" w:eastAsia="Arial" w:hAnsi="Arial"/>
                <w:sz w:val="17"/>
                <w:szCs w:val="17"/>
              </w:rPr>
              <w:t xml:space="preserve">GS body selection and quotation</w:t>
            </w: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QS Manager</w:t>
            </w: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Merchandiser</w:t>
            </w:r>
          </w:p>
        </w:tc>
        <w:tc>
          <w:tcPr>
            <w:tcW w:type="dxa" w:w="1640"/>
            <w:tcMar>
              <w:top w:type="dxa" w:w="50"/>
              <w:left w:type="dxa" w:w="80"/>
              <w:bottom w:type="dxa" w:w="50"/>
              <w:right w:type="dxa" w:w="80"/>
            </w:tcMar>
            <w:vAlign w:val="top"/>
          </w:tcPr>
          <w:p>
            <w:pPr>
              <w:spacing w:after="30"/>
            </w:pPr>
            <w:r>
              <w:rPr>
                <w:rFonts w:ascii="Arial" w:cs="Arial" w:eastAsia="Arial" w:hAnsi="Arial"/>
                <w:sz w:val="17"/>
                <w:szCs w:val="17"/>
              </w:rPr>
              <w:t xml:space="preserve">Ally</w:t>
            </w:r>
          </w:p>
        </w:tc>
      </w:tr>
      <w:tr>
        <w:trPr>
          <w:tblHeader w:val="false"/>
        </w:trPr>
        <w:tc>
          <w:tcPr>
            <w:tcW w:type="dxa" w:w="3084"/>
            <w:tcMar>
              <w:top w:type="dxa" w:w="50"/>
              <w:left w:type="dxa" w:w="80"/>
              <w:bottom w:type="dxa" w:w="50"/>
              <w:right w:type="dxa" w:w="80"/>
            </w:tcMar>
            <w:vAlign w:val="top"/>
          </w:tcPr>
          <w:p>
            <w:pPr>
              <w:spacing w:after="30"/>
            </w:pPr>
            <w:r>
              <w:rPr>
                <w:rFonts w:ascii="Arial" w:cs="Arial" w:eastAsia="Arial" w:hAnsi="Arial"/>
                <w:sz w:val="17"/>
                <w:szCs w:val="17"/>
              </w:rPr>
              <w:t xml:space="preserve">Application, documents, samples</w:t>
            </w: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Supplier</w:t>
            </w: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GS body</w:t>
            </w:r>
          </w:p>
        </w:tc>
        <w:tc>
          <w:tcPr>
            <w:tcW w:type="dxa" w:w="1640"/>
            <w:tcMar>
              <w:top w:type="dxa" w:w="50"/>
              <w:left w:type="dxa" w:w="80"/>
              <w:bottom w:type="dxa" w:w="50"/>
              <w:right w:type="dxa" w:w="80"/>
            </w:tcMar>
            <w:vAlign w:val="top"/>
          </w:tcPr>
          <w:p>
            <w:pPr>
              <w:spacing w:after="30"/>
            </w:pPr>
            <w:r>
              <w:rPr>
                <w:rFonts w:ascii="Arial" w:cs="Arial" w:eastAsia="Arial" w:hAnsi="Arial"/>
                <w:sz w:val="17"/>
                <w:szCs w:val="17"/>
              </w:rPr>
              <w:t xml:space="preserve">Merchandiser</w:t>
            </w:r>
          </w:p>
        </w:tc>
      </w:tr>
      <w:tr>
        <w:trPr>
          <w:tblHeader w:val="false"/>
        </w:trPr>
        <w:tc>
          <w:tcPr>
            <w:tcW w:type="dxa" w:w="3084"/>
            <w:tcMar>
              <w:top w:type="dxa" w:w="50"/>
              <w:left w:type="dxa" w:w="80"/>
              <w:bottom w:type="dxa" w:w="50"/>
              <w:right w:type="dxa" w:w="80"/>
            </w:tcMar>
            <w:vAlign w:val="top"/>
          </w:tcPr>
          <w:p>
            <w:pPr>
              <w:spacing w:after="30"/>
            </w:pPr>
            <w:r>
              <w:rPr>
                <w:rFonts w:ascii="Arial" w:cs="Arial" w:eastAsia="Arial" w:hAnsi="Arial"/>
                <w:sz w:val="17"/>
                <w:szCs w:val="17"/>
              </w:rPr>
              <w:t xml:space="preserve">Testing and factory inspection</w:t>
            </w: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GS body</w:t>
            </w: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Supplier</w:t>
            </w: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640"/>
            <w:tcMar>
              <w:top w:type="dxa" w:w="50"/>
              <w:left w:type="dxa" w:w="80"/>
              <w:bottom w:type="dxa" w:w="50"/>
              <w:right w:type="dxa" w:w="80"/>
            </w:tcMar>
            <w:vAlign w:val="top"/>
          </w:tcPr>
          <w:p>
            <w:pPr>
              <w:spacing w:after="30"/>
            </w:pPr>
            <w:r>
              <w:rPr>
                <w:rFonts w:ascii="Arial" w:cs="Arial" w:eastAsia="Arial" w:hAnsi="Arial"/>
                <w:sz w:val="17"/>
                <w:szCs w:val="17"/>
              </w:rPr>
              <w:t xml:space="preserve">Ally</w:t>
            </w:r>
          </w:p>
        </w:tc>
      </w:tr>
      <w:tr>
        <w:trPr>
          <w:tblHeader w:val="false"/>
        </w:trPr>
        <w:tc>
          <w:tcPr>
            <w:tcW w:type="dxa" w:w="3084"/>
            <w:tcMar>
              <w:top w:type="dxa" w:w="50"/>
              <w:left w:type="dxa" w:w="80"/>
              <w:bottom w:type="dxa" w:w="50"/>
              <w:right w:type="dxa" w:w="80"/>
            </w:tcMar>
            <w:vAlign w:val="top"/>
          </w:tcPr>
          <w:p>
            <w:pPr>
              <w:spacing w:after="30"/>
            </w:pPr>
            <w:r>
              <w:rPr>
                <w:rFonts w:ascii="Arial" w:cs="Arial" w:eastAsia="Arial" w:hAnsi="Arial"/>
                <w:sz w:val="17"/>
                <w:szCs w:val="17"/>
              </w:rPr>
              <w:t xml:space="preserve">Artwork with GS mark</w:t>
            </w: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Supplier</w:t>
            </w: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GS body</w:t>
            </w:r>
          </w:p>
        </w:tc>
        <w:tc>
          <w:tcPr>
            <w:tcW w:type="dxa" w:w="1640"/>
            <w:tcMar>
              <w:top w:type="dxa" w:w="50"/>
              <w:left w:type="dxa" w:w="80"/>
              <w:bottom w:type="dxa" w:w="50"/>
              <w:right w:type="dxa" w:w="80"/>
            </w:tcMar>
            <w:vAlign w:val="top"/>
          </w:tcPr>
          <w:p>
            <w:pPr>
              <w:spacing w:after="30"/>
            </w:pPr>
            <w:r>
              <w:rPr>
                <w:rFonts w:ascii="Arial" w:cs="Arial" w:eastAsia="Arial" w:hAnsi="Arial"/>
                <w:sz w:val="17"/>
                <w:szCs w:val="17"/>
              </w:rPr>
              <w:t xml:space="preserve">Ally</w:t>
            </w:r>
          </w:p>
        </w:tc>
      </w:tr>
      <w:tr>
        <w:trPr>
          <w:tblHeader w:val="false"/>
        </w:trPr>
        <w:tc>
          <w:tcPr>
            <w:tcW w:type="dxa" w:w="3084"/>
            <w:tcMar>
              <w:top w:type="dxa" w:w="50"/>
              <w:left w:type="dxa" w:w="80"/>
              <w:bottom w:type="dxa" w:w="50"/>
              <w:right w:type="dxa" w:w="80"/>
            </w:tcMar>
            <w:vAlign w:val="top"/>
          </w:tcPr>
          <w:p>
            <w:pPr>
              <w:spacing w:after="30"/>
            </w:pPr>
            <w:r>
              <w:rPr>
                <w:rFonts w:ascii="Arial" w:cs="Arial" w:eastAsia="Arial" w:hAnsi="Arial"/>
                <w:sz w:val="17"/>
                <w:szCs w:val="17"/>
              </w:rPr>
              <w:t xml:space="preserve">Surveillance, renewal, change notification</w:t>
            </w: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Supplier</w:t>
            </w: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GS body</w:t>
            </w:r>
          </w:p>
        </w:tc>
        <w:tc>
          <w:tcPr>
            <w:tcW w:type="dxa" w:w="1640"/>
            <w:tcMar>
              <w:top w:type="dxa" w:w="50"/>
              <w:left w:type="dxa" w:w="80"/>
              <w:bottom w:type="dxa" w:w="50"/>
              <w:right w:type="dxa" w:w="80"/>
            </w:tcMar>
            <w:vAlign w:val="top"/>
          </w:tcPr>
          <w:p>
            <w:pPr>
              <w:spacing w:after="30"/>
            </w:pPr>
            <w:r>
              <w:rPr>
                <w:rFonts w:ascii="Arial" w:cs="Arial" w:eastAsia="Arial" w:hAnsi="Arial"/>
                <w:sz w:val="17"/>
                <w:szCs w:val="17"/>
              </w:rPr>
              <w:t xml:space="preserve">Ally, PPS-P</w:t>
            </w:r>
          </w:p>
        </w:tc>
      </w:tr>
      <w:tr>
        <w:trPr>
          <w:tblHeader w:val="false"/>
        </w:trPr>
        <w:tc>
          <w:tcPr>
            <w:tcW w:type="dxa" w:w="3084"/>
            <w:tcMar>
              <w:top w:type="dxa" w:w="50"/>
              <w:left w:type="dxa" w:w="80"/>
              <w:bottom w:type="dxa" w:w="50"/>
              <w:right w:type="dxa" w:w="80"/>
            </w:tcMar>
            <w:vAlign w:val="top"/>
          </w:tcPr>
          <w:p>
            <w:pPr>
              <w:spacing w:after="30"/>
            </w:pPr>
            <w:r>
              <w:rPr>
                <w:rFonts w:ascii="Arial" w:cs="Arial" w:eastAsia="Arial" w:hAnsi="Arial"/>
                <w:sz w:val="17"/>
                <w:szCs w:val="17"/>
              </w:rPr>
              <w:t xml:space="preserve">GS verification at FRI / SRC</w:t>
            </w: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QC</w:t>
            </w: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1640"/>
            <w:tcMar>
              <w:top w:type="dxa" w:w="50"/>
              <w:left w:type="dxa" w:w="80"/>
              <w:bottom w:type="dxa" w:w="50"/>
              <w:right w:type="dxa" w:w="80"/>
            </w:tcMar>
            <w:vAlign w:val="top"/>
          </w:tcPr>
          <w:p>
            <w:pPr>
              <w:spacing w:after="30"/>
            </w:pPr>
            <w:r>
              <w:rPr>
                <w:rFonts w:ascii="Arial" w:cs="Arial" w:eastAsia="Arial" w:hAnsi="Arial"/>
                <w:sz w:val="17"/>
                <w:szCs w:val="17"/>
              </w:rPr>
              <w:t xml:space="preserve">Ally, PPS-L</w:t>
            </w:r>
          </w:p>
        </w:tc>
      </w:tr>
    </w:tbl>
    <w:p>
      <w:pPr>
        <w:spacing w:after="80"/>
      </w:pPr>
    </w:p>
    <w:p>
      <w:pPr>
        <w:pStyle w:val="Heading1"/>
        <w:spacing w:after="160" w:before="240"/>
      </w:pPr>
      <w:r>
        <w:rPr>
          <w:rFonts w:ascii="Arial" w:cs="Arial" w:eastAsia="Arial" w:hAnsi="Arial"/>
          <w:b/>
          <w:bCs/>
          <w:color w:val="1F3864"/>
          <w:sz w:val="28"/>
          <w:szCs w:val="28"/>
        </w:rPr>
        <w:t xml:space="preserve">11. Document Register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
        <w:gridCol w:w="4144"/>
        <w:gridCol w:w="771"/>
        <w:gridCol w:w="1734"/>
        <w:gridCol w:w="1349"/>
        <w:gridCol w:w="1159"/>
      </w:tblGrid>
      <w:tr>
        <w:trPr>
          <w:tblHeader/>
        </w:trPr>
        <w:tc>
          <w:tcPr>
            <w:tcW w:type="dxa" w:w="481"/>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w:t>
            </w:r>
          </w:p>
        </w:tc>
        <w:tc>
          <w:tcPr>
            <w:tcW w:type="dxa" w:w="4144"/>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Document</w:t>
            </w:r>
          </w:p>
        </w:tc>
        <w:tc>
          <w:tcPr>
            <w:tcW w:type="dxa" w:w="771"/>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Link</w:t>
            </w:r>
          </w:p>
        </w:tc>
        <w:tc>
          <w:tcPr>
            <w:tcW w:type="dxa" w:w="1734"/>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Issued by</w:t>
            </w:r>
          </w:p>
        </w:tc>
        <w:tc>
          <w:tcPr>
            <w:tcW w:type="dxa" w:w="1349"/>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Validity</w:t>
            </w:r>
          </w:p>
        </w:tc>
        <w:tc>
          <w:tcPr>
            <w:tcW w:type="dxa" w:w="1159"/>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Retention</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1</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Quality Compliance Pathway (QCP) — Storage/Moving</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1–2</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On change</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10 yr</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2</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Quality Single Document (QSD) — Hand Tools</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1–6</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On change</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10 yr</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3</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Harmonised standard lookup record (MD + MR)</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1–3</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On OJEU change</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10 yr</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4</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Risk assessment EN ISO 12100 / DFMEA</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4</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Manufacturer / QS</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On change</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10 yr</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Type test report EN ISO 3691-5 / EN 16307-5 (accredited lab)</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4</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Accredited lab</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On change</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10 yr</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6</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Chemical test report (PAH, phthalates, SCCP, SVHC)</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4</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Accredited lab</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2 yr</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10 yr</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7</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Technical file (MD Annex VII A / MR Annex IV)</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4–6</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Manufacturer</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Ongoing</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10 yr</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8</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FPC plan and end-of-line load-test records</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Supplier</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On change / per lot</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10 yr</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9</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QMS / CSR audit reports (ISO 9001, BSCI)</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QS / 3rd party</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Per certificate</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5 yr</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10</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Sample validation, DPI, FRI reports (Annex A)</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5, 8</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QC / 3rd party</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Per order</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5 yr</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11</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Golden sample record</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Per order</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5 yr</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12</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EC / EU Declaration of Conformity</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6</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Manufacturer</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On change / legal act</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10 yr</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13</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EU economic operator designation (2019/1020 Art. 4)</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6–7</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Importer / AR</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On change</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10 yr</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14</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Artwork, data plate and label approval</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7</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Per revision</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5 yr</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15</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Instruction manual assessment (EN IEC/IEEE 82079-1)</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7</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Per revision</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5 yr</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16</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Export packaging compliance + PPWR data record</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7–8</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QS / Merch.</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Per shipment</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5 yr</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17</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SVHC declaration</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All</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Supplier</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Per shipment</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10 yr</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18</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Shipment Release Certificate (SRC)</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8</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Per shipment</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5 yr</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19</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GS test report + GS certificate (GS orders)</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4, 10</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GS body</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Max. 5 yr</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10 yr</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20</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GS factory inspection reports (initial + annual)</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5, 10</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GS body</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12 months</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10 yr</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21</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GS critical components list + change notifications</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5, 10</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Manufacturer / GS body</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On change</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10 yr</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22</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GS mark artwork approval</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7, 10</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GS body / QS</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Per revision</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10 yr</w:t>
            </w:r>
          </w:p>
        </w:tc>
      </w:tr>
    </w:tbl>
    <w:p>
      <w:pPr>
        <w:spacing w:after="80"/>
      </w:pPr>
    </w:p>
    <w:p>
      <w:pPr>
        <w:pStyle w:val="Heading1"/>
        <w:spacing w:after="160" w:before="240"/>
      </w:pPr>
      <w:r>
        <w:rPr>
          <w:rFonts w:ascii="Arial" w:cs="Arial" w:eastAsia="Arial" w:hAnsi="Arial"/>
          <w:b/>
          <w:bCs/>
          <w:color w:val="1F3864"/>
          <w:sz w:val="28"/>
          <w:szCs w:val="28"/>
        </w:rPr>
        <w:t xml:space="preserve">12. RACI Matrix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1927"/>
        <w:gridCol w:w="1734"/>
        <w:gridCol w:w="1734"/>
        <w:gridCol w:w="1738"/>
      </w:tblGrid>
      <w:tr>
        <w:trPr>
          <w:tblHeader/>
        </w:trPr>
        <w:tc>
          <w:tcPr>
            <w:tcW w:type="dxa" w:w="2505"/>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Link</w:t>
            </w:r>
          </w:p>
        </w:tc>
        <w:tc>
          <w:tcPr>
            <w:tcW w:type="dxa" w:w="1927"/>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Responsible</w:t>
            </w:r>
          </w:p>
        </w:tc>
        <w:tc>
          <w:tcPr>
            <w:tcW w:type="dxa" w:w="1734"/>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Accountable</w:t>
            </w:r>
          </w:p>
        </w:tc>
        <w:tc>
          <w:tcPr>
            <w:tcW w:type="dxa" w:w="1734"/>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Consulted</w:t>
            </w:r>
          </w:p>
        </w:tc>
        <w:tc>
          <w:tcPr>
            <w:tcW w:type="dxa" w:w="1738"/>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Informed</w:t>
            </w:r>
          </w:p>
        </w:tc>
      </w:tr>
      <w:tr>
        <w:trPr>
          <w:tblHeader w:val="false"/>
        </w:trPr>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1 — 4-Step determination</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QS Manager</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Merchandiser, Ally</w:t>
            </w:r>
          </w:p>
        </w:tc>
        <w:tc>
          <w:tcPr>
            <w:tcW w:type="dxa" w:w="1738"/>
            <w:tcMar>
              <w:top w:type="dxa" w:w="50"/>
              <w:left w:type="dxa" w:w="80"/>
              <w:bottom w:type="dxa" w:w="50"/>
              <w:right w:type="dxa" w:w="80"/>
            </w:tcMar>
            <w:vAlign w:val="top"/>
          </w:tcPr>
          <w:p>
            <w:pPr>
              <w:spacing w:after="30"/>
            </w:pPr>
            <w:r>
              <w:rPr>
                <w:rFonts w:ascii="Arial" w:cs="Arial" w:eastAsia="Arial" w:hAnsi="Arial"/>
                <w:sz w:val="17"/>
                <w:szCs w:val="17"/>
              </w:rPr>
              <w:t xml:space="preserve">IQA, PPS-P</w:t>
            </w:r>
          </w:p>
        </w:tc>
      </w:tr>
      <w:tr>
        <w:trPr>
          <w:tblHeader w:val="false"/>
        </w:trPr>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2 — Pathway assignment</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QS Manager</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Ally</w:t>
            </w:r>
          </w:p>
        </w:tc>
        <w:tc>
          <w:tcPr>
            <w:tcW w:type="dxa" w:w="1738"/>
            <w:tcMar>
              <w:top w:type="dxa" w:w="50"/>
              <w:left w:type="dxa" w:w="80"/>
              <w:bottom w:type="dxa" w:w="50"/>
              <w:right w:type="dxa" w:w="80"/>
            </w:tcMar>
            <w:vAlign w:val="top"/>
          </w:tcPr>
          <w:p>
            <w:pPr>
              <w:spacing w:after="30"/>
            </w:pPr>
            <w:r>
              <w:rPr>
                <w:rFonts w:ascii="Arial" w:cs="Arial" w:eastAsia="Arial" w:hAnsi="Arial"/>
                <w:sz w:val="17"/>
                <w:szCs w:val="17"/>
              </w:rPr>
              <w:t xml:space="preserve">PPS-P, Supplier</w:t>
            </w:r>
          </w:p>
        </w:tc>
      </w:tr>
      <w:tr>
        <w:trPr>
          <w:tblHeader w:val="false"/>
        </w:trPr>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3 — Module</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QS Manager</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Accredited lab</w:t>
            </w:r>
          </w:p>
        </w:tc>
        <w:tc>
          <w:tcPr>
            <w:tcW w:type="dxa" w:w="1738"/>
            <w:tcMar>
              <w:top w:type="dxa" w:w="50"/>
              <w:left w:type="dxa" w:w="80"/>
              <w:bottom w:type="dxa" w:w="50"/>
              <w:right w:type="dxa" w:w="80"/>
            </w:tcMar>
            <w:vAlign w:val="top"/>
          </w:tcPr>
          <w:p>
            <w:pPr>
              <w:spacing w:after="30"/>
            </w:pPr>
            <w:r>
              <w:rPr>
                <w:rFonts w:ascii="Arial" w:cs="Arial" w:eastAsia="Arial" w:hAnsi="Arial"/>
                <w:sz w:val="17"/>
                <w:szCs w:val="17"/>
              </w:rPr>
              <w:t xml:space="preserve">Supplier, Ally</w:t>
            </w:r>
          </w:p>
        </w:tc>
      </w:tr>
      <w:tr>
        <w:trPr>
          <w:tblHeader w:val="false"/>
        </w:trPr>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4 — Type test / technical file</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Supplier + lab</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738"/>
            <w:tcMar>
              <w:top w:type="dxa" w:w="50"/>
              <w:left w:type="dxa" w:w="80"/>
              <w:bottom w:type="dxa" w:w="50"/>
              <w:right w:type="dxa" w:w="80"/>
            </w:tcMar>
            <w:vAlign w:val="top"/>
          </w:tcPr>
          <w:p>
            <w:pPr>
              <w:spacing w:after="30"/>
            </w:pPr>
            <w:r>
              <w:rPr>
                <w:rFonts w:ascii="Arial" w:cs="Arial" w:eastAsia="Arial" w:hAnsi="Arial"/>
                <w:sz w:val="17"/>
                <w:szCs w:val="17"/>
              </w:rPr>
              <w:t xml:space="preserve">Ally, PPS-P</w:t>
            </w:r>
          </w:p>
        </w:tc>
      </w:tr>
      <w:tr>
        <w:trPr>
          <w:tblHeader w:val="false"/>
        </w:trPr>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5 — FPC / inspection</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Supplier (FPC) + QC</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IQA, 3rd party</w:t>
            </w:r>
          </w:p>
        </w:tc>
        <w:tc>
          <w:tcPr>
            <w:tcW w:type="dxa" w:w="1738"/>
            <w:tcMar>
              <w:top w:type="dxa" w:w="50"/>
              <w:left w:type="dxa" w:w="80"/>
              <w:bottom w:type="dxa" w:w="50"/>
              <w:right w:type="dxa" w:w="80"/>
            </w:tcMar>
            <w:vAlign w:val="top"/>
          </w:tcPr>
          <w:p>
            <w:pPr>
              <w:spacing w:after="30"/>
            </w:pPr>
            <w:r>
              <w:rPr>
                <w:rFonts w:ascii="Arial" w:cs="Arial" w:eastAsia="Arial" w:hAnsi="Arial"/>
                <w:sz w:val="17"/>
                <w:szCs w:val="17"/>
              </w:rPr>
              <w:t xml:space="preserve">PPS-P, Ally</w:t>
            </w:r>
          </w:p>
        </w:tc>
      </w:tr>
      <w:tr>
        <w:trPr>
          <w:tblHeader w:val="false"/>
        </w:trPr>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6 — DoC</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Manufacturer</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QS (review)</w:t>
            </w:r>
          </w:p>
        </w:tc>
        <w:tc>
          <w:tcPr>
            <w:tcW w:type="dxa" w:w="1738"/>
            <w:tcMar>
              <w:top w:type="dxa" w:w="50"/>
              <w:left w:type="dxa" w:w="80"/>
              <w:bottom w:type="dxa" w:w="50"/>
              <w:right w:type="dxa" w:w="80"/>
            </w:tcMar>
            <w:vAlign w:val="top"/>
          </w:tcPr>
          <w:p>
            <w:pPr>
              <w:spacing w:after="30"/>
            </w:pPr>
            <w:r>
              <w:rPr>
                <w:rFonts w:ascii="Arial" w:cs="Arial" w:eastAsia="Arial" w:hAnsi="Arial"/>
                <w:sz w:val="17"/>
                <w:szCs w:val="17"/>
              </w:rPr>
              <w:t xml:space="preserve">Ally, PPS-L</w:t>
            </w:r>
          </w:p>
        </w:tc>
      </w:tr>
      <w:tr>
        <w:trPr>
          <w:tblHeader w:val="false"/>
        </w:trPr>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7 — CE / marking / instructions</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Supplier</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QC (verify at FRI)</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738"/>
            <w:tcMar>
              <w:top w:type="dxa" w:w="50"/>
              <w:left w:type="dxa" w:w="80"/>
              <w:bottom w:type="dxa" w:w="50"/>
              <w:right w:type="dxa" w:w="80"/>
            </w:tcMar>
            <w:vAlign w:val="top"/>
          </w:tcPr>
          <w:p>
            <w:pPr>
              <w:spacing w:after="30"/>
            </w:pPr>
            <w:r>
              <w:rPr>
                <w:rFonts w:ascii="Arial" w:cs="Arial" w:eastAsia="Arial" w:hAnsi="Arial"/>
                <w:sz w:val="17"/>
                <w:szCs w:val="17"/>
              </w:rPr>
              <w:t xml:space="preserve">Ally</w:t>
            </w:r>
          </w:p>
        </w:tc>
      </w:tr>
      <w:tr>
        <w:trPr>
          <w:tblHeader w:val="false"/>
        </w:trPr>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8 — SRC release</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QS Manager</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QC</w:t>
            </w:r>
          </w:p>
        </w:tc>
        <w:tc>
          <w:tcPr>
            <w:tcW w:type="dxa" w:w="1738"/>
            <w:tcMar>
              <w:top w:type="dxa" w:w="50"/>
              <w:left w:type="dxa" w:w="80"/>
              <w:bottom w:type="dxa" w:w="50"/>
              <w:right w:type="dxa" w:w="80"/>
            </w:tcMar>
            <w:vAlign w:val="top"/>
          </w:tcPr>
          <w:p>
            <w:pPr>
              <w:spacing w:after="30"/>
            </w:pPr>
            <w:r>
              <w:rPr>
                <w:rFonts w:ascii="Arial" w:cs="Arial" w:eastAsia="Arial" w:hAnsi="Arial"/>
                <w:sz w:val="17"/>
                <w:szCs w:val="17"/>
              </w:rPr>
              <w:t xml:space="preserve">PPS-L, Ally, Merchandiser</w:t>
            </w:r>
          </w:p>
        </w:tc>
      </w:tr>
    </w:tbl>
    <w:p>
      <w:pPr>
        <w:spacing w:after="80"/>
      </w:pPr>
    </w:p>
    <w:p>
      <w:pPr>
        <w:pStyle w:val="Heading1"/>
        <w:spacing w:after="160" w:before="240"/>
      </w:pPr>
      <w:r>
        <w:rPr>
          <w:rFonts w:ascii="Arial" w:cs="Arial" w:eastAsia="Arial" w:hAnsi="Arial"/>
          <w:b/>
          <w:bCs/>
          <w:color w:val="1F3864"/>
          <w:sz w:val="28"/>
          <w:szCs w:val="28"/>
        </w:rPr>
        <w:t xml:space="preserve">13. Regulatory Watch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3469"/>
        <w:gridCol w:w="4627"/>
      </w:tblGrid>
      <w:tr>
        <w:trPr>
          <w:tblHeader/>
        </w:trPr>
        <w:tc>
          <w:tcPr>
            <w:tcW w:type="dxa" w:w="1542"/>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Date</w:t>
            </w:r>
          </w:p>
        </w:tc>
        <w:tc>
          <w:tcPr>
            <w:tcW w:type="dxa" w:w="3469"/>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Change</w:t>
            </w:r>
          </w:p>
        </w:tc>
        <w:tc>
          <w:tcPr>
            <w:tcW w:type="dxa" w:w="4627"/>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Impact on this category</w:t>
            </w: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20/01/2027</w:t>
            </w:r>
          </w:p>
        </w:tc>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Machinery Regulation (EU) 2023/1230 applies; MD 2006/42/EC repealed</w:t>
            </w:r>
          </w:p>
        </w:tc>
        <w:tc>
          <w:tcPr>
            <w:tcW w:type="dxa" w:w="4627"/>
            <w:tcMar>
              <w:top w:type="dxa" w:w="50"/>
              <w:left w:type="dxa" w:w="80"/>
              <w:bottom w:type="dxa" w:w="50"/>
              <w:right w:type="dxa" w:w="80"/>
            </w:tcMar>
            <w:vAlign w:val="top"/>
          </w:tcPr>
          <w:p>
            <w:pPr>
              <w:spacing w:after="30"/>
            </w:pPr>
            <w:r>
              <w:rPr>
                <w:rFonts w:ascii="Arial" w:cs="Arial" w:eastAsia="Arial" w:hAnsi="Arial"/>
                <w:sz w:val="17"/>
                <w:szCs w:val="17"/>
              </w:rPr>
              <w:t xml:space="preserve">New DoC (Annex V), importer marking, Annex III EHSR, instructions rules; re-issue DoC and technical file; update Annex A references.</w:t>
            </w: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Ongoing</w:t>
            </w:r>
          </w:p>
        </w:tc>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OJEU citation of EN ISO 3691-5 / EN 16307-5 under MR</w:t>
            </w:r>
          </w:p>
        </w:tc>
        <w:tc>
          <w:tcPr>
            <w:tcW w:type="dxa" w:w="4627"/>
            <w:tcMar>
              <w:top w:type="dxa" w:w="50"/>
              <w:left w:type="dxa" w:w="80"/>
              <w:bottom w:type="dxa" w:w="50"/>
              <w:right w:type="dxa" w:w="80"/>
            </w:tcMar>
            <w:vAlign w:val="top"/>
          </w:tcPr>
          <w:p>
            <w:pPr>
              <w:spacing w:after="30"/>
            </w:pPr>
            <w:r>
              <w:rPr>
                <w:rFonts w:ascii="Arial" w:cs="Arial" w:eastAsia="Arial" w:hAnsi="Arial"/>
                <w:sz w:val="17"/>
                <w:szCs w:val="17"/>
              </w:rPr>
              <w:t xml:space="preserve">Presumption of conformity under MR depends on citation; monitor and document gaps.</w:t>
            </w: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12/08/2026 → 2030</w:t>
            </w:r>
          </w:p>
        </w:tc>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PPWR (EU) 2025/40 staged obligations</w:t>
            </w:r>
          </w:p>
        </w:tc>
        <w:tc>
          <w:tcPr>
            <w:tcW w:type="dxa" w:w="4627"/>
            <w:tcMar>
              <w:top w:type="dxa" w:w="50"/>
              <w:left w:type="dxa" w:w="80"/>
              <w:bottom w:type="dxa" w:w="50"/>
              <w:right w:type="dxa" w:w="80"/>
            </w:tcMar>
            <w:vAlign w:val="top"/>
          </w:tcPr>
          <w:p>
            <w:pPr>
              <w:spacing w:after="30"/>
            </w:pPr>
            <w:r>
              <w:rPr>
                <w:rFonts w:ascii="Arial" w:cs="Arial" w:eastAsia="Arial" w:hAnsi="Arial"/>
                <w:sz w:val="17"/>
                <w:szCs w:val="17"/>
              </w:rPr>
              <w:t xml:space="preserve">Applies since 12/08/2026; harmonised sorting labels (Art. 12) and recyclability grades / empty-space ratio (Art. 24) in later phases — verify dates.</w:t>
            </w: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Jan / Jun yearly</w:t>
            </w:r>
          </w:p>
        </w:tc>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REACH Candidate List updates</w:t>
            </w:r>
          </w:p>
        </w:tc>
        <w:tc>
          <w:tcPr>
            <w:tcW w:type="dxa" w:w="4627"/>
            <w:tcMar>
              <w:top w:type="dxa" w:w="50"/>
              <w:left w:type="dxa" w:w="80"/>
              <w:bottom w:type="dxa" w:w="50"/>
              <w:right w:type="dxa" w:w="80"/>
            </w:tcMar>
            <w:vAlign w:val="top"/>
          </w:tcPr>
          <w:p>
            <w:pPr>
              <w:spacing w:after="30"/>
            </w:pPr>
            <w:r>
              <w:rPr>
                <w:rFonts w:ascii="Arial" w:cs="Arial" w:eastAsia="Arial" w:hAnsi="Arial"/>
                <w:sz w:val="17"/>
                <w:szCs w:val="17"/>
              </w:rPr>
              <w:t xml:space="preserve">Refresh SVHC declarations per shipment.</w:t>
            </w: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Watch</w:t>
            </w:r>
          </w:p>
        </w:tc>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Swiss MaschV revision aligning with MR</w:t>
            </w:r>
          </w:p>
        </w:tc>
        <w:tc>
          <w:tcPr>
            <w:tcW w:type="dxa" w:w="4627"/>
            <w:tcMar>
              <w:top w:type="dxa" w:w="50"/>
              <w:left w:type="dxa" w:w="80"/>
              <w:bottom w:type="dxa" w:w="50"/>
              <w:right w:type="dxa" w:w="80"/>
            </w:tcMar>
            <w:vAlign w:val="top"/>
          </w:tcPr>
          <w:p>
            <w:pPr>
              <w:spacing w:after="30"/>
            </w:pPr>
            <w:r>
              <w:rPr>
                <w:rFonts w:ascii="Arial" w:cs="Arial" w:eastAsia="Arial" w:hAnsi="Arial"/>
                <w:sz w:val="17"/>
                <w:szCs w:val="17"/>
              </w:rPr>
              <w:t xml:space="preserve">CH documentation after 20/01/2027.</w:t>
            </w: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Ongoing</w:t>
            </w:r>
          </w:p>
        </w:tc>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AfPS GS specifications (PAH) and GS body test-programme updates</w:t>
            </w:r>
          </w:p>
        </w:tc>
        <w:tc>
          <w:tcPr>
            <w:tcW w:type="dxa" w:w="4627"/>
            <w:tcMar>
              <w:top w:type="dxa" w:w="50"/>
              <w:left w:type="dxa" w:w="80"/>
              <w:bottom w:type="dxa" w:w="50"/>
              <w:right w:type="dxa" w:w="80"/>
            </w:tcMar>
            <w:vAlign w:val="top"/>
          </w:tcPr>
          <w:p>
            <w:pPr>
              <w:spacing w:after="30"/>
            </w:pPr>
            <w:r>
              <w:rPr>
                <w:rFonts w:ascii="Arial" w:cs="Arial" w:eastAsia="Arial" w:hAnsi="Arial"/>
                <w:sz w:val="17"/>
                <w:szCs w:val="17"/>
              </w:rPr>
              <w:t xml:space="preserve">GS certificates re-assessed against current specifications at renewal or change; monitor AfPS publications.</w:t>
            </w: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In force</w:t>
            </w:r>
          </w:p>
        </w:tc>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GPSR (EU) 2023/988 (since 13/12/2024)</w:t>
            </w:r>
          </w:p>
        </w:tc>
        <w:tc>
          <w:tcPr>
            <w:tcW w:type="dxa" w:w="4627"/>
            <w:tcMar>
              <w:top w:type="dxa" w:w="50"/>
              <w:left w:type="dxa" w:w="80"/>
              <w:bottom w:type="dxa" w:w="50"/>
              <w:right w:type="dxa" w:w="80"/>
            </w:tcMar>
            <w:vAlign w:val="top"/>
          </w:tcPr>
          <w:p>
            <w:pPr>
              <w:spacing w:after="30"/>
            </w:pPr>
            <w:r>
              <w:rPr>
                <w:rFonts w:ascii="Arial" w:cs="Arial" w:eastAsia="Arial" w:hAnsi="Arial"/>
                <w:sz w:val="17"/>
                <w:szCs w:val="17"/>
              </w:rPr>
              <w:t xml:space="preserve">Accident notification via Safety Business Gateway; online listing information.</w:t>
            </w:r>
          </w:p>
        </w:tc>
      </w:tr>
    </w:tbl>
    <w:p>
      <w:pPr>
        <w:spacing w:after="80"/>
      </w:pPr>
    </w:p>
    <w:p>
      <w:pPr>
        <w:pStyle w:val="Heading1"/>
        <w:spacing w:after="160" w:before="240"/>
      </w:pPr>
      <w:r>
        <w:rPr>
          <w:rFonts w:ascii="Arial" w:cs="Arial" w:eastAsia="Arial" w:hAnsi="Arial"/>
          <w:b/>
          <w:bCs/>
          <w:color w:val="1F3864"/>
          <w:sz w:val="28"/>
          <w:szCs w:val="28"/>
        </w:rPr>
        <w:t xml:space="preserve">14. Companion Skills Reference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3855"/>
        <w:gridCol w:w="4820"/>
      </w:tblGrid>
      <w:tr>
        <w:trPr>
          <w:tblHeader/>
        </w:trPr>
        <w:tc>
          <w:tcPr>
            <w:tcW w:type="dxa" w:w="963"/>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Link</w:t>
            </w:r>
          </w:p>
        </w:tc>
        <w:tc>
          <w:tcPr>
            <w:tcW w:type="dxa" w:w="3855"/>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Deliverable</w:t>
            </w:r>
          </w:p>
        </w:tc>
        <w:tc>
          <w:tcPr>
            <w:tcW w:type="dxa" w:w="4820"/>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Companion skill</w:t>
            </w:r>
          </w:p>
        </w:tc>
      </w:tr>
      <w:tr>
        <w:trPr>
          <w:tblHeader w:val="false"/>
        </w:trPr>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1–2</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QCP Storage/Moving; hEN confirmation</w:t>
            </w:r>
          </w:p>
        </w:tc>
        <w:tc>
          <w:tcPr>
            <w:tcW w:type="dxa" w:w="4820"/>
            <w:tcMar>
              <w:top w:type="dxa" w:w="50"/>
              <w:left w:type="dxa" w:w="80"/>
              <w:bottom w:type="dxa" w:w="50"/>
              <w:right w:type="dxa" w:w="80"/>
            </w:tcMar>
            <w:vAlign w:val="top"/>
          </w:tcPr>
          <w:p>
            <w:pPr>
              <w:spacing w:after="30"/>
            </w:pPr>
            <w:r>
              <w:rPr>
                <w:rFonts w:ascii="Arial" w:cs="Arial" w:eastAsia="Arial" w:hAnsi="Arial"/>
                <w:sz w:val="17"/>
                <w:szCs w:val="17"/>
              </w:rPr>
              <w:t xml:space="preserve">quality-compliance-pathway · harmonised-standard-lookup</w:t>
            </w:r>
          </w:p>
        </w:tc>
      </w:tr>
      <w:tr>
        <w:trPr>
          <w:tblHeader w:val="false"/>
        </w:trPr>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4</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Machinery risk assessment / DFMEA; test matrix</w:t>
            </w:r>
          </w:p>
        </w:tc>
        <w:tc>
          <w:tcPr>
            <w:tcW w:type="dxa" w:w="4820"/>
            <w:tcMar>
              <w:top w:type="dxa" w:w="50"/>
              <w:left w:type="dxa" w:w="80"/>
              <w:bottom w:type="dxa" w:w="50"/>
              <w:right w:type="dxa" w:w="80"/>
            </w:tcMar>
            <w:vAlign w:val="top"/>
          </w:tcPr>
          <w:p>
            <w:pPr>
              <w:spacing w:after="30"/>
            </w:pPr>
            <w:r>
              <w:rPr>
                <w:rFonts w:ascii="Arial" w:cs="Arial" w:eastAsia="Arial" w:hAnsi="Arial"/>
                <w:sz w:val="17"/>
                <w:szCs w:val="17"/>
              </w:rPr>
              <w:t xml:space="preserve">machinery-risk-assessment · fmea-generator · essential-characteristics-testing</w:t>
            </w:r>
          </w:p>
        </w:tc>
      </w:tr>
      <w:tr>
        <w:trPr>
          <w:tblHeader w:val="false"/>
        </w:trPr>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4–6</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Technical file</w:t>
            </w:r>
          </w:p>
        </w:tc>
        <w:tc>
          <w:tcPr>
            <w:tcW w:type="dxa" w:w="4820"/>
            <w:tcMar>
              <w:top w:type="dxa" w:w="50"/>
              <w:left w:type="dxa" w:w="80"/>
              <w:bottom w:type="dxa" w:w="50"/>
              <w:right w:type="dxa" w:w="80"/>
            </w:tcMar>
            <w:vAlign w:val="top"/>
          </w:tcPr>
          <w:p>
            <w:pPr>
              <w:spacing w:after="30"/>
            </w:pPr>
            <w:r>
              <w:rPr>
                <w:rFonts w:ascii="Arial" w:cs="Arial" w:eastAsia="Arial" w:hAnsi="Arial"/>
                <w:sz w:val="17"/>
                <w:szCs w:val="17"/>
              </w:rPr>
              <w:t xml:space="preserve">technical-construction-file</w:t>
            </w:r>
          </w:p>
        </w:tc>
      </w:tr>
      <w:tr>
        <w:trPr>
          <w:tblHeader w:val="false"/>
        </w:trPr>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FPC; supplier audit; QC pack</w:t>
            </w:r>
          </w:p>
        </w:tc>
        <w:tc>
          <w:tcPr>
            <w:tcW w:type="dxa" w:w="4820"/>
            <w:tcMar>
              <w:top w:type="dxa" w:w="50"/>
              <w:left w:type="dxa" w:w="80"/>
              <w:bottom w:type="dxa" w:w="50"/>
              <w:right w:type="dxa" w:w="80"/>
            </w:tcMar>
            <w:vAlign w:val="top"/>
          </w:tcPr>
          <w:p>
            <w:pPr>
              <w:spacing w:after="30"/>
            </w:pPr>
            <w:r>
              <w:rPr>
                <w:rFonts w:ascii="Arial" w:cs="Arial" w:eastAsia="Arial" w:hAnsi="Arial"/>
                <w:sz w:val="17"/>
                <w:szCs w:val="17"/>
              </w:rPr>
              <w:t xml:space="preserve">factory-production-control · supplier-production-line-audit · qc-pack-excel-generator</w:t>
            </w:r>
          </w:p>
        </w:tc>
      </w:tr>
      <w:tr>
        <w:trPr>
          <w:tblHeader w:val="false"/>
        </w:trPr>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6</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QSD; DoC</w:t>
            </w:r>
          </w:p>
        </w:tc>
        <w:tc>
          <w:tcPr>
            <w:tcW w:type="dxa" w:w="4820"/>
            <w:tcMar>
              <w:top w:type="dxa" w:w="50"/>
              <w:left w:type="dxa" w:w="80"/>
              <w:bottom w:type="dxa" w:w="50"/>
              <w:right w:type="dxa" w:w="80"/>
            </w:tcMar>
            <w:vAlign w:val="top"/>
          </w:tcPr>
          <w:p>
            <w:pPr>
              <w:spacing w:after="30"/>
            </w:pPr>
            <w:r>
              <w:rPr>
                <w:rFonts w:ascii="Arial" w:cs="Arial" w:eastAsia="Arial" w:hAnsi="Arial"/>
                <w:sz w:val="17"/>
                <w:szCs w:val="17"/>
              </w:rPr>
              <w:t xml:space="preserve">qsd-generator · ce-marking-doc-dop</w:t>
            </w:r>
          </w:p>
        </w:tc>
      </w:tr>
      <w:tr>
        <w:trPr>
          <w:tblHeader w:val="false"/>
        </w:trPr>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7</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Artwork/data plate; instructions; packaging</w:t>
            </w:r>
          </w:p>
        </w:tc>
        <w:tc>
          <w:tcPr>
            <w:tcW w:type="dxa" w:w="4820"/>
            <w:tcMar>
              <w:top w:type="dxa" w:w="50"/>
              <w:left w:type="dxa" w:w="80"/>
              <w:bottom w:type="dxa" w:w="50"/>
              <w:right w:type="dxa" w:w="80"/>
            </w:tcMar>
            <w:vAlign w:val="top"/>
          </w:tcPr>
          <w:p>
            <w:pPr>
              <w:spacing w:after="30"/>
            </w:pPr>
            <w:r>
              <w:rPr>
                <w:rFonts w:ascii="Arial" w:cs="Arial" w:eastAsia="Arial" w:hAnsi="Arial"/>
                <w:sz w:val="17"/>
                <w:szCs w:val="17"/>
              </w:rPr>
              <w:t xml:space="preserve">artwork-packaging-compliance-master · assembly-instruction-assessment · export-packaging-compliance · ppwr-doc-generator</w:t>
            </w:r>
          </w:p>
        </w:tc>
      </w:tr>
      <w:tr>
        <w:trPr>
          <w:tblHeader w:val="false"/>
        </w:trPr>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8</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FRI validation; SRC</w:t>
            </w:r>
          </w:p>
        </w:tc>
        <w:tc>
          <w:tcPr>
            <w:tcW w:type="dxa" w:w="4820"/>
            <w:tcMar>
              <w:top w:type="dxa" w:w="50"/>
              <w:left w:type="dxa" w:w="80"/>
              <w:bottom w:type="dxa" w:w="50"/>
              <w:right w:type="dxa" w:w="80"/>
            </w:tcMar>
            <w:vAlign w:val="top"/>
          </w:tcPr>
          <w:p>
            <w:pPr>
              <w:spacing w:after="30"/>
            </w:pPr>
            <w:r>
              <w:rPr>
                <w:rFonts w:ascii="Arial" w:cs="Arial" w:eastAsia="Arial" w:hAnsi="Arial"/>
                <w:sz w:val="17"/>
                <w:szCs w:val="17"/>
              </w:rPr>
              <w:t xml:space="preserve">fri-validation · qc-pack-excel-generator</w:t>
            </w:r>
          </w:p>
        </w:tc>
      </w:tr>
      <w:tr>
        <w:trPr>
          <w:tblHeader w:val="false"/>
        </w:trPr>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10</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GS document request to factory; GS test scope</w:t>
            </w:r>
          </w:p>
        </w:tc>
        <w:tc>
          <w:tcPr>
            <w:tcW w:type="dxa" w:w="4820"/>
            <w:tcMar>
              <w:top w:type="dxa" w:w="50"/>
              <w:left w:type="dxa" w:w="80"/>
              <w:bottom w:type="dxa" w:w="50"/>
              <w:right w:type="dxa" w:w="80"/>
            </w:tcMar>
            <w:vAlign w:val="top"/>
          </w:tcPr>
          <w:p>
            <w:pPr>
              <w:spacing w:after="30"/>
            </w:pPr>
            <w:r>
              <w:rPr>
                <w:rFonts w:ascii="Arial" w:cs="Arial" w:eastAsia="Arial" w:hAnsi="Arial"/>
                <w:sz w:val="17"/>
                <w:szCs w:val="17"/>
              </w:rPr>
              <w:t xml:space="preserve">factory-doc-request · third-party-compliance-assessment · essential-characteristics-testing</w:t>
            </w:r>
          </w:p>
        </w:tc>
      </w:tr>
    </w:tbl>
    <w:p>
      <w:pPr>
        <w:spacing w:after="80"/>
      </w:pPr>
    </w:p>
    <w:p>
      <w:pPr>
        <w:pStyle w:val="Heading1"/>
        <w:spacing w:after="160" w:before="240"/>
      </w:pPr>
      <w:r>
        <w:rPr>
          <w:rFonts w:ascii="Arial" w:cs="Arial" w:eastAsia="Arial" w:hAnsi="Arial"/>
          <w:b/>
          <w:bCs/>
          <w:color w:val="1F3864"/>
          <w:sz w:val="28"/>
          <w:szCs w:val="28"/>
        </w:rPr>
        <w:t xml:space="preserve">15. Change Log versus Source Checklist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
        <w:gridCol w:w="2891"/>
        <w:gridCol w:w="2698"/>
        <w:gridCol w:w="3664"/>
      </w:tblGrid>
      <w:tr>
        <w:trPr>
          <w:tblHeader/>
        </w:trPr>
        <w:tc>
          <w:tcPr>
            <w:tcW w:type="dxa" w:w="385"/>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w:t>
            </w:r>
          </w:p>
        </w:tc>
        <w:tc>
          <w:tcPr>
            <w:tcW w:type="dxa" w:w="2891"/>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Source item</w:t>
            </w:r>
          </w:p>
        </w:tc>
        <w:tc>
          <w:tcPr>
            <w:tcW w:type="dxa" w:w="2698"/>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Finding</w:t>
            </w:r>
          </w:p>
        </w:tc>
        <w:tc>
          <w:tcPr>
            <w:tcW w:type="dxa" w:w="3664"/>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Correction applied</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w:t>
            </w:r>
          </w:p>
        </w:tc>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General Product Safety Directive 2001/95/EC</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Repealed 13/12/2024</w:t>
            </w:r>
          </w:p>
        </w:tc>
        <w:tc>
          <w:tcPr>
            <w:tcW w:type="dxa" w:w="3664"/>
            <w:tcMar>
              <w:top w:type="dxa" w:w="50"/>
              <w:left w:type="dxa" w:w="80"/>
              <w:bottom w:type="dxa" w:w="50"/>
              <w:right w:type="dxa" w:w="80"/>
            </w:tcMar>
            <w:vAlign w:val="top"/>
          </w:tcPr>
          <w:p>
            <w:pPr>
              <w:spacing w:after="30"/>
            </w:pPr>
            <w:r>
              <w:rPr>
                <w:rFonts w:ascii="Arial" w:cs="Arial" w:eastAsia="Arial" w:hAnsi="Arial"/>
                <w:sz w:val="17"/>
                <w:szCs w:val="17"/>
              </w:rPr>
              <w:t xml:space="preserve">Replaced by GPSR (EU) 2023/988 (complementary to MD/MR).</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2</w:t>
            </w:r>
          </w:p>
        </w:tc>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Packaging Directive 94/62/EC, heavy metals ≤ 100 mg/kg</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Replaced by PPWR (EU) 2025/40 from 12/08/2026</w:t>
            </w:r>
          </w:p>
        </w:tc>
        <w:tc>
          <w:tcPr>
            <w:tcW w:type="dxa" w:w="3664"/>
            <w:tcMar>
              <w:top w:type="dxa" w:w="50"/>
              <w:left w:type="dxa" w:w="80"/>
              <w:bottom w:type="dxa" w:w="50"/>
              <w:right w:type="dxa" w:w="80"/>
            </w:tcMar>
            <w:vAlign w:val="top"/>
          </w:tcPr>
          <w:p>
            <w:pPr>
              <w:spacing w:after="30"/>
            </w:pPr>
            <w:r>
              <w:rPr>
                <w:rFonts w:ascii="Arial" w:cs="Arial" w:eastAsia="Arial" w:hAnsi="Arial"/>
                <w:sz w:val="17"/>
                <w:szCs w:val="17"/>
              </w:rPr>
              <w:t xml:space="preserve">PPWR Art. 5(4) limit retained; EPR and packaging data added.</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3</w:t>
            </w:r>
          </w:p>
        </w:tc>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Machinery Directive 2006/42/EC only</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MR applies 20/01/2027</w:t>
            </w:r>
          </w:p>
        </w:tc>
        <w:tc>
          <w:tcPr>
            <w:tcW w:type="dxa" w:w="3664"/>
            <w:tcMar>
              <w:top w:type="dxa" w:w="50"/>
              <w:left w:type="dxa" w:w="80"/>
              <w:bottom w:type="dxa" w:w="50"/>
              <w:right w:type="dxa" w:w="80"/>
            </w:tcMar>
            <w:vAlign w:val="top"/>
          </w:tcPr>
          <w:p>
            <w:pPr>
              <w:spacing w:after="30"/>
            </w:pPr>
            <w:r>
              <w:rPr>
                <w:rFonts w:ascii="Arial" w:cs="Arial" w:eastAsia="Arial" w:hAnsi="Arial"/>
                <w:sz w:val="17"/>
                <w:szCs w:val="17"/>
              </w:rPr>
              <w:t xml:space="preserve">Dual MD/MR references; switch-over rule by EU placing-on-market date.</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4</w:t>
            </w:r>
          </w:p>
        </w:tc>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EN ISO 3691-5 / EN 16307-5 without edition</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Edition and amendment missing</w:t>
            </w:r>
          </w:p>
        </w:tc>
        <w:tc>
          <w:tcPr>
            <w:tcW w:type="dxa" w:w="3664"/>
            <w:tcMar>
              <w:top w:type="dxa" w:w="50"/>
              <w:left w:type="dxa" w:w="80"/>
              <w:bottom w:type="dxa" w:w="50"/>
              <w:right w:type="dxa" w:w="80"/>
            </w:tcMar>
            <w:vAlign w:val="top"/>
          </w:tcPr>
          <w:p>
            <w:pPr>
              <w:spacing w:after="30"/>
            </w:pPr>
            <w:r>
              <w:rPr>
                <w:rFonts w:ascii="Arial" w:cs="Arial" w:eastAsia="Arial" w:hAnsi="Arial"/>
                <w:sz w:val="17"/>
                <w:szCs w:val="17"/>
              </w:rPr>
              <w:t xml:space="preserve">EN ISO 3691-5:2015+A1:2020, EN 16307-5:2013 cited; verify OJEU.</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Static test 1.5 × Q only</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Dynamic test missing (MD 4.1.2.3)</w:t>
            </w:r>
          </w:p>
        </w:tc>
        <w:tc>
          <w:tcPr>
            <w:tcW w:type="dxa" w:w="3664"/>
            <w:tcMar>
              <w:top w:type="dxa" w:w="50"/>
              <w:left w:type="dxa" w:w="80"/>
              <w:bottom w:type="dxa" w:w="50"/>
              <w:right w:type="dxa" w:w="80"/>
            </w:tcMar>
            <w:vAlign w:val="top"/>
          </w:tcPr>
          <w:p>
            <w:pPr>
              <w:spacing w:after="30"/>
            </w:pPr>
            <w:r>
              <w:rPr>
                <w:rFonts w:ascii="Arial" w:cs="Arial" w:eastAsia="Arial" w:hAnsi="Arial"/>
                <w:sz w:val="17"/>
                <w:szCs w:val="17"/>
              </w:rPr>
              <w:t xml:space="preserve">Dynamic test 1.1 × Q added.</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6</w:t>
            </w:r>
          </w:p>
        </w:tc>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Pressure relief valve — text only</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No test method</w:t>
            </w:r>
          </w:p>
        </w:tc>
        <w:tc>
          <w:tcPr>
            <w:tcW w:type="dxa" w:w="3664"/>
            <w:tcMar>
              <w:top w:type="dxa" w:w="50"/>
              <w:left w:type="dxa" w:w="80"/>
              <w:bottom w:type="dxa" w:w="50"/>
              <w:right w:type="dxa" w:w="80"/>
            </w:tcMar>
            <w:vAlign w:val="top"/>
          </w:tcPr>
          <w:p>
            <w:pPr>
              <w:spacing w:after="30"/>
            </w:pPr>
            <w:r>
              <w:rPr>
                <w:rFonts w:ascii="Arial" w:cs="Arial" w:eastAsia="Arial" w:hAnsi="Arial"/>
                <w:sz w:val="17"/>
                <w:szCs w:val="17"/>
              </w:rPr>
              <w:t xml:space="preserve">Overload attempt at 1.15–1.20 × Q added; sealing check.</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7</w:t>
            </w:r>
          </w:p>
        </w:tc>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No load holding / lowering control test</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Gap</w:t>
            </w:r>
          </w:p>
        </w:tc>
        <w:tc>
          <w:tcPr>
            <w:tcW w:type="dxa" w:w="3664"/>
            <w:tcMar>
              <w:top w:type="dxa" w:w="50"/>
              <w:left w:type="dxa" w:w="80"/>
              <w:bottom w:type="dxa" w:w="50"/>
              <w:right w:type="dxa" w:w="80"/>
            </w:tcMar>
            <w:vAlign w:val="top"/>
          </w:tcPr>
          <w:p>
            <w:pPr>
              <w:spacing w:after="30"/>
            </w:pPr>
            <w:r>
              <w:rPr>
                <w:rFonts w:ascii="Arial" w:cs="Arial" w:eastAsia="Arial" w:hAnsi="Arial"/>
                <w:sz w:val="17"/>
                <w:szCs w:val="17"/>
              </w:rPr>
              <w:t xml:space="preserve">Drift and controlled-lowering test added.</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8</w:t>
            </w:r>
          </w:p>
        </w:tc>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No crushing / shearing point check</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MD 1.3.7 gap</w:t>
            </w:r>
          </w:p>
        </w:tc>
        <w:tc>
          <w:tcPr>
            <w:tcW w:type="dxa" w:w="3664"/>
            <w:tcMar>
              <w:top w:type="dxa" w:w="50"/>
              <w:left w:type="dxa" w:w="80"/>
              <w:bottom w:type="dxa" w:w="50"/>
              <w:right w:type="dxa" w:w="80"/>
            </w:tcMar>
            <w:vAlign w:val="top"/>
          </w:tcPr>
          <w:p>
            <w:pPr>
              <w:spacing w:after="30"/>
            </w:pPr>
            <w:r>
              <w:rPr>
                <w:rFonts w:ascii="Arial" w:cs="Arial" w:eastAsia="Arial" w:hAnsi="Arial"/>
                <w:sz w:val="17"/>
                <w:szCs w:val="17"/>
              </w:rPr>
              <w:t xml:space="preserve">EN ISO 13854 gap check added.</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9</w:t>
            </w:r>
          </w:p>
        </w:tc>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Artwork check generic</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Data plate / rated load / importer not listed</w:t>
            </w:r>
          </w:p>
        </w:tc>
        <w:tc>
          <w:tcPr>
            <w:tcW w:type="dxa" w:w="3664"/>
            <w:tcMar>
              <w:top w:type="dxa" w:w="50"/>
              <w:left w:type="dxa" w:w="80"/>
              <w:bottom w:type="dxa" w:w="50"/>
              <w:right w:type="dxa" w:w="80"/>
            </w:tcMar>
            <w:vAlign w:val="top"/>
          </w:tcPr>
          <w:p>
            <w:pPr>
              <w:spacing w:after="30"/>
            </w:pPr>
            <w:r>
              <w:rPr>
                <w:rFonts w:ascii="Arial" w:cs="Arial" w:eastAsia="Arial" w:hAnsi="Arial"/>
                <w:sz w:val="17"/>
                <w:szCs w:val="17"/>
              </w:rPr>
              <w:t xml:space="preserve">Mandatory marking elements with Critical classification added.</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10</w:t>
            </w:r>
          </w:p>
        </w:tc>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No sampling plan</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Gap</w:t>
            </w:r>
          </w:p>
        </w:tc>
        <w:tc>
          <w:tcPr>
            <w:tcW w:type="dxa" w:w="3664"/>
            <w:tcMar>
              <w:top w:type="dxa" w:w="50"/>
              <w:left w:type="dxa" w:w="80"/>
              <w:bottom w:type="dxa" w:w="50"/>
              <w:right w:type="dxa" w:w="80"/>
            </w:tcMar>
            <w:vAlign w:val="top"/>
          </w:tcPr>
          <w:p>
            <w:pPr>
              <w:spacing w:after="30"/>
            </w:pPr>
            <w:r>
              <w:rPr>
                <w:rFonts w:ascii="Arial" w:cs="Arial" w:eastAsia="Arial" w:hAnsi="Arial"/>
                <w:sz w:val="17"/>
                <w:szCs w:val="17"/>
              </w:rPr>
              <w:t xml:space="preserve">ISO 2859-1 GI-II, Cr 0 / Ma 2.5 / Mi 4.0; S-3 for functional tests.</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11</w:t>
            </w:r>
          </w:p>
        </w:tc>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Defect table lacks functional defects</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Gap</w:t>
            </w:r>
          </w:p>
        </w:tc>
        <w:tc>
          <w:tcPr>
            <w:tcW w:type="dxa" w:w="3664"/>
            <w:tcMar>
              <w:top w:type="dxa" w:w="50"/>
              <w:left w:type="dxa" w:w="80"/>
              <w:bottom w:type="dxa" w:w="50"/>
              <w:right w:type="dxa" w:w="80"/>
            </w:tcMar>
            <w:vAlign w:val="top"/>
          </w:tcPr>
          <w:p>
            <w:pPr>
              <w:spacing w:after="30"/>
            </w:pPr>
            <w:r>
              <w:rPr>
                <w:rFonts w:ascii="Arial" w:cs="Arial" w:eastAsia="Arial" w:hAnsi="Arial"/>
                <w:sz w:val="17"/>
                <w:szCs w:val="17"/>
              </w:rPr>
              <w:t xml:space="preserve">Oil leak, drift, lifting failure, missing CE/data plate, wrong-language manual added (Annex B).</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12</w:t>
            </w:r>
          </w:p>
        </w:tc>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Measurement letters (D/d, H, h, e, s, l, c, W, L, HH) undefined</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Ambiguous</w:t>
            </w:r>
          </w:p>
        </w:tc>
        <w:tc>
          <w:tcPr>
            <w:tcW w:type="dxa" w:w="3664"/>
            <w:tcMar>
              <w:top w:type="dxa" w:w="50"/>
              <w:left w:type="dxa" w:w="80"/>
              <w:bottom w:type="dxa" w:w="50"/>
              <w:right w:type="dxa" w:w="80"/>
            </w:tcMar>
            <w:vAlign w:val="top"/>
          </w:tcPr>
          <w:p>
            <w:pPr>
              <w:spacing w:after="30"/>
            </w:pPr>
            <w:r>
              <w:rPr>
                <w:rFonts w:ascii="Arial" w:cs="Arial" w:eastAsia="Arial" w:hAnsi="Arial"/>
                <w:sz w:val="17"/>
                <w:szCs w:val="17"/>
              </w:rPr>
              <w:t xml:space="preserve">Parameter legend aligned with VDI 2198 type sheet (Annex C).</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13</w:t>
            </w:r>
          </w:p>
        </w:tc>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Coating adhesion method</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No standard cited</w:t>
            </w:r>
          </w:p>
        </w:tc>
        <w:tc>
          <w:tcPr>
            <w:tcW w:type="dxa" w:w="3664"/>
            <w:tcMar>
              <w:top w:type="dxa" w:w="50"/>
              <w:left w:type="dxa" w:w="80"/>
              <w:bottom w:type="dxa" w:w="50"/>
              <w:right w:type="dxa" w:w="80"/>
            </w:tcMar>
            <w:vAlign w:val="top"/>
          </w:tcPr>
          <w:p>
            <w:pPr>
              <w:spacing w:after="30"/>
            </w:pPr>
            <w:r>
              <w:rPr>
                <w:rFonts w:ascii="Arial" w:cs="Arial" w:eastAsia="Arial" w:hAnsi="Arial"/>
                <w:sz w:val="17"/>
                <w:szCs w:val="17"/>
              </w:rPr>
              <w:t xml:space="preserve">ISO 2409 cross-cut reference; 15 % = class 2.</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14</w:t>
            </w:r>
          </w:p>
        </w:tc>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“CE certification” wording</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Misleading — no NB certificate under Module A</w:t>
            </w:r>
          </w:p>
        </w:tc>
        <w:tc>
          <w:tcPr>
            <w:tcW w:type="dxa" w:w="3664"/>
            <w:tcMar>
              <w:top w:type="dxa" w:w="50"/>
              <w:left w:type="dxa" w:w="80"/>
              <w:bottom w:type="dxa" w:w="50"/>
              <w:right w:type="dxa" w:w="80"/>
            </w:tcMar>
            <w:vAlign w:val="top"/>
          </w:tcPr>
          <w:p>
            <w:pPr>
              <w:spacing w:after="30"/>
            </w:pPr>
            <w:r>
              <w:rPr>
                <w:rFonts w:ascii="Arial" w:cs="Arial" w:eastAsia="Arial" w:hAnsi="Arial"/>
                <w:sz w:val="17"/>
                <w:szCs w:val="17"/>
              </w:rPr>
              <w:t xml:space="preserve">Replaced by “DoC + accredited test report”.</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15</w:t>
            </w:r>
          </w:p>
        </w:tc>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GS mark referenced only as Ally option</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No obtaining process defined</w:t>
            </w:r>
          </w:p>
        </w:tc>
        <w:tc>
          <w:tcPr>
            <w:tcW w:type="dxa" w:w="3664"/>
            <w:tcMar>
              <w:top w:type="dxa" w:w="50"/>
              <w:left w:type="dxa" w:w="80"/>
              <w:bottom w:type="dxa" w:w="50"/>
              <w:right w:type="dxa" w:w="80"/>
            </w:tcMar>
            <w:vAlign w:val="top"/>
          </w:tcPr>
          <w:p>
            <w:pPr>
              <w:spacing w:after="30"/>
            </w:pPr>
            <w:r>
              <w:rPr>
                <w:rFonts w:ascii="Arial" w:cs="Arial" w:eastAsia="Arial" w:hAnsi="Arial"/>
                <w:sz w:val="17"/>
                <w:szCs w:val="17"/>
              </w:rPr>
              <w:t xml:space="preserve">Section 10 added: GS eligibility, step-by-step process, documents, surveillance, change management, marking, RACI.</w:t>
            </w:r>
          </w:p>
        </w:tc>
      </w:tr>
    </w:tbl>
    <w:p>
      <w:pPr>
        <w:spacing w:after="80"/>
      </w:pPr>
    </w:p>
    <w:p>
      <w:r>
        <w:br w:type="page"/>
      </w:r>
    </w:p>
    <w:p>
      <w:pPr>
        <w:pStyle w:val="Heading1"/>
        <w:spacing w:after="160" w:before="240"/>
      </w:pPr>
      <w:r>
        <w:rPr>
          <w:rFonts w:ascii="Arial" w:cs="Arial" w:eastAsia="Arial" w:hAnsi="Arial"/>
          <w:b/>
          <w:bCs/>
          <w:color w:val="1F3864"/>
          <w:sz w:val="28"/>
          <w:szCs w:val="28"/>
        </w:rPr>
        <w:t xml:space="preserve">Annex A — Sample Validation / Inspection Checklist (updated)</w:t>
      </w:r>
    </w:p>
    <w:p>
      <w:pPr>
        <w:pStyle w:val="Heading2"/>
        <w:spacing w:after="120" w:before="200"/>
      </w:pPr>
      <w:r>
        <w:rPr>
          <w:rFonts w:ascii="Arial" w:cs="Arial" w:eastAsia="Arial" w:hAnsi="Arial"/>
          <w:b/>
          <w:bCs/>
          <w:color w:val="1F3864"/>
          <w:sz w:val="24"/>
          <w:szCs w:val="24"/>
        </w:rPr>
        <w:t xml:space="preserve">A.1 General information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Inspection type</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 Sample validation  ☐ DPI  ☐ FRI     Re-inspection: ☐ No ☐ Yes</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Reference</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Packaging guideline for hardline; Offer; MCG-DIY-HT-PT-001</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Ally / Supplier / Factory</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[___] / [___] / [___]</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Inspection location / date</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[___] / dd/mm/yyyy</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Legal act applied</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 MD 2006/42/EC (EU arrival ≤ 19/01/2027)  ☐ MR (EU) 2023/1230 (≥ 20/01/2027)</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Documents / QC pack</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Inspection checklist · PO/PI · Offer sheet · Shipping mark · Artwork (data plate, labels, warnings) · Instructions (all languages) · DoC · Test report · SVHC declaration · Golden sample record</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Product</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Ally ref [___] · Supplier ref [___] · Capacity Q [___] kg · Load centre c [___] mm · Fork length [___] mm · Qty [___]</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Inspector / Reviewer</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[___] / [___]</w:t>
            </w:r>
          </w:p>
        </w:tc>
      </w:tr>
    </w:tbl>
    <w:p>
      <w:pPr>
        <w:spacing w:after="80"/>
      </w:pPr>
    </w:p>
    <w:p>
      <w:pPr>
        <w:pStyle w:val="Heading2"/>
        <w:spacing w:after="120" w:before="200"/>
      </w:pPr>
      <w:r>
        <w:rPr>
          <w:rFonts w:ascii="Arial" w:cs="Arial" w:eastAsia="Arial" w:hAnsi="Arial"/>
          <w:b/>
          <w:bCs/>
          <w:color w:val="1F3864"/>
          <w:sz w:val="24"/>
          <w:szCs w:val="24"/>
        </w:rPr>
        <w:t xml:space="preserve">A.2 Assessment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3855"/>
        <w:gridCol w:w="2505"/>
        <w:gridCol w:w="1736"/>
      </w:tblGrid>
      <w:tr>
        <w:trPr>
          <w:tblHeader/>
        </w:trPr>
        <w:tc>
          <w:tcPr>
            <w:tcW w:type="dxa" w:w="1542"/>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Criteria</w:t>
            </w:r>
          </w:p>
        </w:tc>
        <w:tc>
          <w:tcPr>
            <w:tcW w:type="dxa" w:w="3855"/>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Requirement</w:t>
            </w:r>
          </w:p>
        </w:tc>
        <w:tc>
          <w:tcPr>
            <w:tcW w:type="dxa" w:w="2505"/>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Evidence</w:t>
            </w:r>
          </w:p>
        </w:tc>
        <w:tc>
          <w:tcPr>
            <w:tcW w:type="dxa" w:w="1736"/>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Assessment</w:t>
            </w: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Factory QMS</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QMS audit A/B (or ISO 9001); FPC audit</w:t>
            </w:r>
          </w:p>
        </w:tc>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Audit report / certificate</w:t>
            </w:r>
          </w:p>
        </w:tc>
        <w:tc>
          <w:tcPr>
            <w:tcW w:type="dxa" w:w="1736"/>
            <w:tcMar>
              <w:top w:type="dxa" w:w="50"/>
              <w:left w:type="dxa" w:w="80"/>
              <w:bottom w:type="dxa" w:w="50"/>
              <w:right w:type="dxa" w:w="80"/>
            </w:tcMar>
            <w:vAlign w:val="top"/>
          </w:tcPr>
          <w:p>
            <w:pPr>
              <w:spacing w:after="30"/>
            </w:pP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Factory CSR</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BSCI A/B/C (or SA8000); ISO 14001 if applicable</w:t>
            </w:r>
          </w:p>
        </w:tc>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Audit report / certificate</w:t>
            </w:r>
          </w:p>
        </w:tc>
        <w:tc>
          <w:tcPr>
            <w:tcW w:type="dxa" w:w="1736"/>
            <w:tcMar>
              <w:top w:type="dxa" w:w="50"/>
              <w:left w:type="dxa" w:w="80"/>
              <w:bottom w:type="dxa" w:w="50"/>
              <w:right w:type="dxa" w:w="80"/>
            </w:tcMar>
            <w:vAlign w:val="top"/>
          </w:tcPr>
          <w:p>
            <w:pPr>
              <w:spacing w:after="30"/>
            </w:pP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EU Regulation</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REACH (EC) 1907/2006 Art. 33, Annex XVII 50/51; POPs (EU) 2019/1021</w:t>
            </w:r>
          </w:p>
        </w:tc>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SVHC declaration + chemical test report</w:t>
            </w:r>
          </w:p>
        </w:tc>
        <w:tc>
          <w:tcPr>
            <w:tcW w:type="dxa" w:w="1736"/>
            <w:tcMar>
              <w:top w:type="dxa" w:w="50"/>
              <w:left w:type="dxa" w:w="80"/>
              <w:bottom w:type="dxa" w:w="50"/>
              <w:right w:type="dxa" w:w="80"/>
            </w:tcMar>
            <w:vAlign w:val="top"/>
          </w:tcPr>
          <w:p>
            <w:pPr>
              <w:spacing w:after="30"/>
            </w:pP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Machinery</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MD 2006/42/EC → MR (EU) 2023/1230</w:t>
            </w:r>
          </w:p>
        </w:tc>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Signed DoC; technical file index</w:t>
            </w:r>
          </w:p>
        </w:tc>
        <w:tc>
          <w:tcPr>
            <w:tcW w:type="dxa" w:w="1736"/>
            <w:tcMar>
              <w:top w:type="dxa" w:w="50"/>
              <w:left w:type="dxa" w:w="80"/>
              <w:bottom w:type="dxa" w:w="50"/>
              <w:right w:type="dxa" w:w="80"/>
            </w:tcMar>
            <w:vAlign w:val="top"/>
          </w:tcPr>
          <w:p>
            <w:pPr>
              <w:spacing w:after="30"/>
            </w:pP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Product safety</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GPSR (EU) 2023/988 (complementary); Reg. (EU) 2019/1020 Art. 4</w:t>
            </w:r>
          </w:p>
        </w:tc>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EU operator identification</w:t>
            </w:r>
          </w:p>
        </w:tc>
        <w:tc>
          <w:tcPr>
            <w:tcW w:type="dxa" w:w="1736"/>
            <w:tcMar>
              <w:top w:type="dxa" w:w="50"/>
              <w:left w:type="dxa" w:w="80"/>
              <w:bottom w:type="dxa" w:w="50"/>
              <w:right w:type="dxa" w:w="80"/>
            </w:tcMar>
            <w:vAlign w:val="top"/>
          </w:tcPr>
          <w:p>
            <w:pPr>
              <w:spacing w:after="30"/>
            </w:pP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Packaging</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PPWR (EU) 2025/40 (Pb+Cd+Hg+Cr(VI) ≤ 100 mg/kg); FR Law 2020-105 Art. 112 (mineral oils)</w:t>
            </w:r>
          </w:p>
        </w:tc>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Packaging test / declaration</w:t>
            </w:r>
          </w:p>
        </w:tc>
        <w:tc>
          <w:tcPr>
            <w:tcW w:type="dxa" w:w="1736"/>
            <w:tcMar>
              <w:top w:type="dxa" w:w="50"/>
              <w:left w:type="dxa" w:w="80"/>
              <w:bottom w:type="dxa" w:w="50"/>
              <w:right w:type="dxa" w:w="80"/>
            </w:tcMar>
            <w:vAlign w:val="top"/>
          </w:tcPr>
          <w:p>
            <w:pPr>
              <w:spacing w:after="30"/>
            </w:pP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Harmonised standards</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EN ISO 3691-5:2015+A1:2020; EN 16307-5:2013; EN ISO 12100:2010</w:t>
            </w:r>
          </w:p>
        </w:tc>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Accredited test report</w:t>
            </w:r>
          </w:p>
        </w:tc>
        <w:tc>
          <w:tcPr>
            <w:tcW w:type="dxa" w:w="1736"/>
            <w:tcMar>
              <w:top w:type="dxa" w:w="50"/>
              <w:left w:type="dxa" w:w="80"/>
              <w:bottom w:type="dxa" w:w="50"/>
              <w:right w:type="dxa" w:w="80"/>
            </w:tcMar>
            <w:vAlign w:val="top"/>
          </w:tcPr>
          <w:p>
            <w:pPr>
              <w:spacing w:after="30"/>
            </w:pPr>
          </w:p>
        </w:tc>
      </w:tr>
    </w:tbl>
    <w:p>
      <w:pPr>
        <w:spacing w:after="80"/>
      </w:pPr>
    </w:p>
    <w:p>
      <w:pPr>
        <w:pStyle w:val="Heading2"/>
        <w:spacing w:after="120" w:before="200"/>
      </w:pPr>
      <w:r>
        <w:rPr>
          <w:rFonts w:ascii="Arial" w:cs="Arial" w:eastAsia="Arial" w:hAnsi="Arial"/>
          <w:b/>
          <w:bCs/>
          <w:color w:val="1F3864"/>
          <w:sz w:val="24"/>
          <w:szCs w:val="24"/>
        </w:rPr>
        <w:t xml:space="preserve">A.3 Defect definitions and sampling</w:t>
      </w:r>
    </w:p>
    <w:p>
      <w:pPr>
        <w:pStyle w:val="ListParagraph"/>
        <w:numPr>
          <w:ilvl w:val="0"/>
          <w:numId w:val="2"/>
        </w:numPr>
        <w:spacing w:after="60"/>
      </w:pPr>
      <w:r>
        <w:rPr>
          <w:rFonts w:ascii="Arial" w:cs="Arial" w:eastAsia="Arial" w:hAnsi="Arial"/>
          <w:b/>
          <w:bCs/>
          <w:sz w:val="20"/>
          <w:szCs w:val="20"/>
        </w:rPr>
        <w:t xml:space="preserve">Critical (Cr):</w:t>
      </w:r>
      <w:r>
        <w:rPr>
          <w:rFonts w:ascii="Arial" w:cs="Arial" w:eastAsia="Arial" w:hAnsi="Arial"/>
          <w:sz w:val="20"/>
          <w:szCs w:val="20"/>
        </w:rPr>
        <w:t xml:space="preserve"> likely to result in a hazardous or unsafe condition, or non-compliance with a mandatory regulation.</w:t>
      </w:r>
    </w:p>
    <w:p>
      <w:pPr>
        <w:pStyle w:val="ListParagraph"/>
        <w:numPr>
          <w:ilvl w:val="0"/>
          <w:numId w:val="2"/>
        </w:numPr>
        <w:spacing w:after="60"/>
      </w:pPr>
      <w:r>
        <w:rPr>
          <w:rFonts w:ascii="Arial" w:cs="Arial" w:eastAsia="Arial" w:hAnsi="Arial"/>
          <w:b/>
          <w:bCs/>
          <w:sz w:val="20"/>
          <w:szCs w:val="20"/>
        </w:rPr>
        <w:t xml:space="preserve">Major (Ma):</w:t>
      </w:r>
      <w:r>
        <w:rPr>
          <w:rFonts w:ascii="Arial" w:cs="Arial" w:eastAsia="Arial" w:hAnsi="Arial"/>
          <w:sz w:val="20"/>
          <w:szCs w:val="20"/>
        </w:rPr>
        <w:t xml:space="preserve"> likely to result in product failure or customer return; reduces usability or saleability.</w:t>
      </w:r>
    </w:p>
    <w:p>
      <w:pPr>
        <w:pStyle w:val="ListParagraph"/>
        <w:numPr>
          <w:ilvl w:val="0"/>
          <w:numId w:val="2"/>
        </w:numPr>
        <w:spacing w:after="60"/>
      </w:pPr>
      <w:r>
        <w:rPr>
          <w:rFonts w:ascii="Arial" w:cs="Arial" w:eastAsia="Arial" w:hAnsi="Arial"/>
          <w:b/>
          <w:bCs/>
          <w:sz w:val="20"/>
          <w:szCs w:val="20"/>
        </w:rPr>
        <w:t xml:space="preserve">Minor (Mi):</w:t>
      </w:r>
      <w:r>
        <w:rPr>
          <w:rFonts w:ascii="Arial" w:cs="Arial" w:eastAsia="Arial" w:hAnsi="Arial"/>
          <w:sz w:val="20"/>
          <w:szCs w:val="20"/>
        </w:rPr>
        <w:t xml:space="preserve"> does not reduce usability; noticed on careful examination; may reduce saleability.</w:t>
      </w:r>
    </w:p>
    <w:p>
      <w:pPr>
        <w:pStyle w:val="ListParagraph"/>
        <w:numPr>
          <w:ilvl w:val="0"/>
          <w:numId w:val="2"/>
        </w:numPr>
        <w:spacing w:after="60"/>
      </w:pPr>
      <w:r>
        <w:rPr>
          <w:rFonts w:ascii="Arial" w:cs="Arial" w:eastAsia="Arial" w:hAnsi="Arial"/>
          <w:sz w:val="20"/>
          <w:szCs w:val="20"/>
        </w:rPr>
        <w:t xml:space="preserve">Zone A = high visibility/touch in normal use; Zone B = partial; Zone C = none. Visual defect: Minor if visible at 30 cm, Major if visible at 100 cm.</w:t>
      </w:r>
    </w:p>
    <w:p>
      <w:pPr>
        <w:pStyle w:val="ListParagraph"/>
        <w:numPr>
          <w:ilvl w:val="0"/>
          <w:numId w:val="2"/>
        </w:numPr>
        <w:spacing w:after="60"/>
      </w:pPr>
      <w:r>
        <w:rPr>
          <w:rFonts w:ascii="Arial" w:cs="Arial" w:eastAsia="Arial" w:hAnsi="Arial"/>
          <w:sz w:val="20"/>
          <w:szCs w:val="20"/>
        </w:rPr>
        <w:t xml:space="preserve">FRI sampling: ISO 2859-1 / ANSI Z1.4, General Inspection Level II; AQL Cr 0 · Ma 2.5 · Mi 4.0. On-site functional tests (A.4 item 7): Special Level S-3, Ac 0. Static test: sample validation and DPI only (1 pc).</w:t>
      </w:r>
    </w:p>
    <w:p>
      <w:pPr>
        <w:pStyle w:val="Heading2"/>
        <w:spacing w:after="120" w:before="200"/>
      </w:pPr>
      <w:r>
        <w:rPr>
          <w:rFonts w:ascii="Arial" w:cs="Arial" w:eastAsia="Arial" w:hAnsi="Arial"/>
          <w:b/>
          <w:bCs/>
          <w:color w:val="1F3864"/>
          <w:sz w:val="24"/>
          <w:szCs w:val="24"/>
        </w:rPr>
        <w:t xml:space="preserve">A.4 Inspection details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4"/>
        <w:gridCol w:w="1349"/>
        <w:gridCol w:w="4144"/>
        <w:gridCol w:w="1349"/>
        <w:gridCol w:w="963"/>
        <w:gridCol w:w="1159"/>
      </w:tblGrid>
      <w:tr>
        <w:trPr>
          <w:tblHeader/>
        </w:trPr>
        <w:tc>
          <w:tcPr>
            <w:tcW w:type="dxa" w:w="674"/>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w:t>
            </w:r>
          </w:p>
        </w:tc>
        <w:tc>
          <w:tcPr>
            <w:tcW w:type="dxa" w:w="1349"/>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Criteria</w:t>
            </w:r>
          </w:p>
        </w:tc>
        <w:tc>
          <w:tcPr>
            <w:tcW w:type="dxa" w:w="4144"/>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Method / requirement</w:t>
            </w:r>
          </w:p>
        </w:tc>
        <w:tc>
          <w:tcPr>
            <w:tcW w:type="dxa" w:w="1349"/>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Ref.</w:t>
            </w:r>
          </w:p>
        </w:tc>
        <w:tc>
          <w:tcPr>
            <w:tcW w:type="dxa" w:w="963"/>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Fail class</w:t>
            </w:r>
          </w:p>
        </w:tc>
        <w:tc>
          <w:tcPr>
            <w:tcW w:type="dxa" w:w="1159"/>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Result</w:t>
            </w:r>
          </w:p>
        </w:tc>
      </w:tr>
      <w:tr>
        <w:trPr>
          <w:tblHeader w:val="false"/>
        </w:trPr>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1</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Quantity</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DPI: ≥ 20 % produced. FRI: 100 % produced and ≥ 80 % packed.</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A.R.E.N.A.</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1159"/>
            <w:tcMar>
              <w:top w:type="dxa" w:w="50"/>
              <w:left w:type="dxa" w:w="80"/>
              <w:bottom w:type="dxa" w:w="50"/>
              <w:right w:type="dxa" w:w="80"/>
            </w:tcMar>
            <w:vAlign w:val="top"/>
          </w:tcPr>
          <w:p>
            <w:pPr>
              <w:spacing w:after="30"/>
            </w:pPr>
          </w:p>
        </w:tc>
      </w:tr>
      <w:tr>
        <w:trPr>
          <w:tblHeader w:val="false"/>
        </w:trPr>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2</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Packing</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Method and condition; no damage, mould, infestation or odour; parts, tools, accessories per packing list; materials (poly bag, carton layers/thickness). Wooden pallet HT + IPPC mark (MB not accepted).</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Packaging guideline; ISPM 15; PPWR</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Mi–Ma</w:t>
            </w:r>
          </w:p>
        </w:tc>
        <w:tc>
          <w:tcPr>
            <w:tcW w:type="dxa" w:w="1159"/>
            <w:tcMar>
              <w:top w:type="dxa" w:w="50"/>
              <w:left w:type="dxa" w:w="80"/>
              <w:bottom w:type="dxa" w:w="50"/>
              <w:right w:type="dxa" w:w="80"/>
            </w:tcMar>
            <w:vAlign w:val="top"/>
          </w:tcPr>
          <w:p>
            <w:pPr>
              <w:spacing w:after="30"/>
            </w:pPr>
          </w:p>
        </w:tc>
      </w:tr>
      <w:tr>
        <w:trPr>
          <w:tblHeader w:val="false"/>
        </w:trPr>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3</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Artwork and marking</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Compare with approved artwork: shipping mark; data plate (Section 8.1 elements); CE; rated capacity; importer/EU operator; warnings; instructions in all languages; DoC; Triman (FR); GS mark (GS lots only) matches certificate — GS body logo, ID/certificate number, model; barcode clean, positioned and scanning correctly.</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MD/MR 1.7.3, 1.7.4, 4.3.3</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Cr / Ma</w:t>
            </w:r>
          </w:p>
        </w:tc>
        <w:tc>
          <w:tcPr>
            <w:tcW w:type="dxa" w:w="1159"/>
            <w:tcMar>
              <w:top w:type="dxa" w:w="50"/>
              <w:left w:type="dxa" w:w="80"/>
              <w:bottom w:type="dxa" w:w="50"/>
              <w:right w:type="dxa" w:w="80"/>
            </w:tcMar>
            <w:vAlign w:val="top"/>
          </w:tcPr>
          <w:p>
            <w:pPr>
              <w:spacing w:after="30"/>
            </w:pPr>
          </w:p>
        </w:tc>
      </w:tr>
      <w:tr>
        <w:trPr>
          <w:tblHeader w:val="false"/>
        </w:trPr>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4</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Sample comparison</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Conforms to golden sample and test report: model, capacity, fork dimensions, materials, pump type, wheel material, colour.</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Test report; QSD</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Ma</w:t>
            </w:r>
          </w:p>
        </w:tc>
        <w:tc>
          <w:tcPr>
            <w:tcW w:type="dxa" w:w="1159"/>
            <w:tcMar>
              <w:top w:type="dxa" w:w="50"/>
              <w:left w:type="dxa" w:w="80"/>
              <w:bottom w:type="dxa" w:w="50"/>
              <w:right w:type="dxa" w:w="80"/>
            </w:tcMar>
            <w:vAlign w:val="top"/>
          </w:tcPr>
          <w:p>
            <w:pPr>
              <w:spacing w:after="30"/>
            </w:pPr>
          </w:p>
        </w:tc>
      </w:tr>
      <w:tr>
        <w:trPr>
          <w:tblHeader w:val="false"/>
        </w:trPr>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Measurement</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Per PO/spec, package claims and Annex C; product tolerance table A.5; weight ± 5 %; packing dimensions and weight ± 5 %.</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Spec</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Pending / Ma</w:t>
            </w:r>
          </w:p>
        </w:tc>
        <w:tc>
          <w:tcPr>
            <w:tcW w:type="dxa" w:w="1159"/>
            <w:tcMar>
              <w:top w:type="dxa" w:w="50"/>
              <w:left w:type="dxa" w:w="80"/>
              <w:bottom w:type="dxa" w:w="50"/>
              <w:right w:type="dxa" w:w="80"/>
            </w:tcMar>
            <w:vAlign w:val="top"/>
          </w:tcPr>
          <w:p>
            <w:pPr>
              <w:spacing w:after="30"/>
            </w:pPr>
          </w:p>
        </w:tc>
      </w:tr>
      <w:tr>
        <w:trPr>
          <w:tblHeader w:val="false"/>
        </w:trPr>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6</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Workmanship</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No scratch, flash, dent, crack, stain on visible surfaces; parts properly assembled; screws/nuts/rivets/pins/circlips secure; no missing or wrong accessories; no colour deviation; no sharp points/edges, rust; welds free of cracks, porosity, spatter; no hydraulic oil leakage.</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MD/MR 1.3.4</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Per Annex B</w:t>
            </w:r>
          </w:p>
        </w:tc>
        <w:tc>
          <w:tcPr>
            <w:tcW w:type="dxa" w:w="1159"/>
            <w:tcMar>
              <w:top w:type="dxa" w:w="50"/>
              <w:left w:type="dxa" w:w="80"/>
              <w:bottom w:type="dxa" w:w="50"/>
              <w:right w:type="dxa" w:w="80"/>
            </w:tcMar>
            <w:vAlign w:val="top"/>
          </w:tcPr>
          <w:p>
            <w:pPr>
              <w:spacing w:after="30"/>
            </w:pPr>
          </w:p>
        </w:tc>
      </w:tr>
      <w:tr>
        <w:trPr>
          <w:tblHeader w:val="false"/>
        </w:trPr>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7.1</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Assembly</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Assemble tiller step by step per instructions (pin, chain/rod adjustment). Difficult = Major; impossible or malfunction = Critical.</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MD/MR 1.7.4</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Ma / Cr</w:t>
            </w:r>
          </w:p>
        </w:tc>
        <w:tc>
          <w:tcPr>
            <w:tcW w:type="dxa" w:w="1159"/>
            <w:tcMar>
              <w:top w:type="dxa" w:w="50"/>
              <w:left w:type="dxa" w:w="80"/>
              <w:bottom w:type="dxa" w:w="50"/>
              <w:right w:type="dxa" w:w="80"/>
            </w:tcMar>
            <w:vAlign w:val="top"/>
          </w:tcPr>
          <w:p>
            <w:pPr>
              <w:spacing w:after="30"/>
            </w:pPr>
          </w:p>
        </w:tc>
      </w:tr>
      <w:tr>
        <w:trPr>
          <w:tblHeader w:val="false"/>
        </w:trPr>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7.2</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Control system</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Lift by pumping tiller; neutral position holds; lower by hand lever (and foot pedal if fitted); controls identifiable and return correctly; parking brake locks (if fitted).</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MD/MR 1.2.1, 1.2.2</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Cr</w:t>
            </w:r>
          </w:p>
        </w:tc>
        <w:tc>
          <w:tcPr>
            <w:tcW w:type="dxa" w:w="1159"/>
            <w:tcMar>
              <w:top w:type="dxa" w:w="50"/>
              <w:left w:type="dxa" w:w="80"/>
              <w:bottom w:type="dxa" w:w="50"/>
              <w:right w:type="dxa" w:w="80"/>
            </w:tcMar>
            <w:vAlign w:val="top"/>
          </w:tcPr>
          <w:p>
            <w:pPr>
              <w:spacing w:after="30"/>
            </w:pPr>
          </w:p>
        </w:tc>
      </w:tr>
      <w:tr>
        <w:trPr>
          <w:tblHeader w:val="false"/>
        </w:trPr>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7.3</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Edges and surfaces</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Tactile check of all accessible parts: no sharp edges, angles, rough surfaces.</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MD/MR 1.3.4</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Cr</w:t>
            </w:r>
          </w:p>
        </w:tc>
        <w:tc>
          <w:tcPr>
            <w:tcW w:type="dxa" w:w="1159"/>
            <w:tcMar>
              <w:top w:type="dxa" w:w="50"/>
              <w:left w:type="dxa" w:w="80"/>
              <w:bottom w:type="dxa" w:w="50"/>
              <w:right w:type="dxa" w:w="80"/>
            </w:tcMar>
            <w:vAlign w:val="top"/>
          </w:tcPr>
          <w:p>
            <w:pPr>
              <w:spacing w:after="30"/>
            </w:pPr>
          </w:p>
        </w:tc>
      </w:tr>
      <w:tr>
        <w:trPr>
          <w:tblHeader w:val="false"/>
        </w:trPr>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7.4</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Tiller</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Closed-loop handle or lateral hand protection; grip Ø within 25–35 mm (caliper); span ≥ 120 mm per hand.</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EN ISO 3691-5 Cl. 4.2.2</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Cr</w:t>
            </w:r>
          </w:p>
        </w:tc>
        <w:tc>
          <w:tcPr>
            <w:tcW w:type="dxa" w:w="1159"/>
            <w:tcMar>
              <w:top w:type="dxa" w:w="50"/>
              <w:left w:type="dxa" w:w="80"/>
              <w:bottom w:type="dxa" w:w="50"/>
              <w:right w:type="dxa" w:w="80"/>
            </w:tcMar>
            <w:vAlign w:val="top"/>
          </w:tcPr>
          <w:p>
            <w:pPr>
              <w:spacing w:after="30"/>
            </w:pPr>
          </w:p>
        </w:tc>
      </w:tr>
      <w:tr>
        <w:trPr>
          <w:tblHeader w:val="false"/>
        </w:trPr>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7.5</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Functional verification (Q)</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With rated load at c: lift to max height h3; travel ≥ 10 m on level floor; steer full lock both sides; lower controlled, no jerk/free fall.</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EN ISO 3691-5 Cl. 5.2</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Cr</w:t>
            </w:r>
          </w:p>
        </w:tc>
        <w:tc>
          <w:tcPr>
            <w:tcW w:type="dxa" w:w="1159"/>
            <w:tcMar>
              <w:top w:type="dxa" w:w="50"/>
              <w:left w:type="dxa" w:w="80"/>
              <w:bottom w:type="dxa" w:w="50"/>
              <w:right w:type="dxa" w:w="80"/>
            </w:tcMar>
            <w:vAlign w:val="top"/>
          </w:tcPr>
          <w:p>
            <w:pPr>
              <w:spacing w:after="30"/>
            </w:pPr>
          </w:p>
        </w:tc>
      </w:tr>
      <w:tr>
        <w:trPr>
          <w:tblHeader w:val="false"/>
        </w:trPr>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7.6</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Load holding</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Rated load raised to h3, hold 10 min [verify duration/limit per standard]; record drift; drift within limit.</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EN ISO 3691-5</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Cr</w:t>
            </w:r>
          </w:p>
        </w:tc>
        <w:tc>
          <w:tcPr>
            <w:tcW w:type="dxa" w:w="1159"/>
            <w:tcMar>
              <w:top w:type="dxa" w:w="50"/>
              <w:left w:type="dxa" w:w="80"/>
              <w:bottom w:type="dxa" w:w="50"/>
              <w:right w:type="dxa" w:w="80"/>
            </w:tcMar>
            <w:vAlign w:val="top"/>
          </w:tcPr>
          <w:p>
            <w:pPr>
              <w:spacing w:after="30"/>
            </w:pPr>
          </w:p>
        </w:tc>
      </w:tr>
      <w:tr>
        <w:trPr>
          <w:tblHeader w:val="false"/>
        </w:trPr>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7.7</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Overload device</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Attempt lift at 1.15–1.20 × Q: lifting prevented (where fitted); valve sealed / tool required.</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EN ISO 3691-5 Cl. 4.4.3.3</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Cr</w:t>
            </w:r>
          </w:p>
        </w:tc>
        <w:tc>
          <w:tcPr>
            <w:tcW w:type="dxa" w:w="1159"/>
            <w:tcMar>
              <w:top w:type="dxa" w:w="50"/>
              <w:left w:type="dxa" w:w="80"/>
              <w:bottom w:type="dxa" w:w="50"/>
              <w:right w:type="dxa" w:w="80"/>
            </w:tcMar>
            <w:vAlign w:val="top"/>
          </w:tcPr>
          <w:p>
            <w:pPr>
              <w:spacing w:after="30"/>
            </w:pPr>
          </w:p>
        </w:tc>
      </w:tr>
      <w:tr>
        <w:trPr>
          <w:tblHeader w:val="false"/>
        </w:trPr>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7.8</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Static test (SV/DPI only)</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1.5 × Q centred at c, forks raised, 10 min [verify]; measure fork-tip height before/after: no permanent deformation, crack or leak.</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MD/MR 4.1.2.3, 4.1.3</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Cr</w:t>
            </w:r>
          </w:p>
        </w:tc>
        <w:tc>
          <w:tcPr>
            <w:tcW w:type="dxa" w:w="1159"/>
            <w:tcMar>
              <w:top w:type="dxa" w:w="50"/>
              <w:left w:type="dxa" w:w="80"/>
              <w:bottom w:type="dxa" w:w="50"/>
              <w:right w:type="dxa" w:w="80"/>
            </w:tcMar>
            <w:vAlign w:val="top"/>
          </w:tcPr>
          <w:p>
            <w:pPr>
              <w:spacing w:after="30"/>
            </w:pPr>
          </w:p>
        </w:tc>
      </w:tr>
      <w:tr>
        <w:trPr>
          <w:tblHeader w:val="false"/>
        </w:trPr>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7.9</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Dynamic test</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1.1 × Q: 3 full lift/lower cycles + travel and steering; all functions operate correctly.</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MD/MR 4.1.2.3, 4.1.3</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Cr</w:t>
            </w:r>
          </w:p>
        </w:tc>
        <w:tc>
          <w:tcPr>
            <w:tcW w:type="dxa" w:w="1159"/>
            <w:tcMar>
              <w:top w:type="dxa" w:w="50"/>
              <w:left w:type="dxa" w:w="80"/>
              <w:bottom w:type="dxa" w:w="50"/>
              <w:right w:type="dxa" w:w="80"/>
            </w:tcMar>
            <w:vAlign w:val="top"/>
          </w:tcPr>
          <w:p>
            <w:pPr>
              <w:spacing w:after="30"/>
            </w:pPr>
          </w:p>
        </w:tc>
      </w:tr>
      <w:tr>
        <w:trPr>
          <w:tblHeader w:val="false"/>
        </w:trPr>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7.10</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Crushing / shearing points</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Gaps at tiller pivot, pump linkage, fork rollers, steer wheels: finger gap ≥ 25 mm or guarded; feet protection at steer wheels.</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MD/MR 1.3.7; EN ISO 13854</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Cr</w:t>
            </w:r>
          </w:p>
        </w:tc>
        <w:tc>
          <w:tcPr>
            <w:tcW w:type="dxa" w:w="1159"/>
            <w:tcMar>
              <w:top w:type="dxa" w:w="50"/>
              <w:left w:type="dxa" w:w="80"/>
              <w:bottom w:type="dxa" w:w="50"/>
              <w:right w:type="dxa" w:w="80"/>
            </w:tcMar>
            <w:vAlign w:val="top"/>
          </w:tcPr>
          <w:p>
            <w:pPr>
              <w:spacing w:after="30"/>
            </w:pPr>
          </w:p>
        </w:tc>
      </w:tr>
      <w:tr>
        <w:trPr>
          <w:tblHeader w:val="false"/>
        </w:trPr>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7.11</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Leak check</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After 7.5–7.9: no oil on pump, ram or floor.</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FPC</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Ma (Cr if lowering affected)</w:t>
            </w:r>
          </w:p>
        </w:tc>
        <w:tc>
          <w:tcPr>
            <w:tcW w:type="dxa" w:w="1159"/>
            <w:tcMar>
              <w:top w:type="dxa" w:w="50"/>
              <w:left w:type="dxa" w:w="80"/>
              <w:bottom w:type="dxa" w:w="50"/>
              <w:right w:type="dxa" w:w="80"/>
            </w:tcMar>
            <w:vAlign w:val="top"/>
          </w:tcPr>
          <w:p>
            <w:pPr>
              <w:spacing w:after="30"/>
            </w:pPr>
          </w:p>
        </w:tc>
      </w:tr>
      <w:tr>
        <w:trPr>
          <w:tblHeader w:val="false"/>
        </w:trPr>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7.12</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Smell check</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At ≈ 10 cm: no abnormal odour.</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A.R.E.N.A.</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Ma</w:t>
            </w:r>
          </w:p>
        </w:tc>
        <w:tc>
          <w:tcPr>
            <w:tcW w:type="dxa" w:w="1159"/>
            <w:tcMar>
              <w:top w:type="dxa" w:w="50"/>
              <w:left w:type="dxa" w:w="80"/>
              <w:bottom w:type="dxa" w:w="50"/>
              <w:right w:type="dxa" w:w="80"/>
            </w:tcMar>
            <w:vAlign w:val="top"/>
          </w:tcPr>
          <w:p>
            <w:pPr>
              <w:spacing w:after="30"/>
            </w:pPr>
          </w:p>
        </w:tc>
      </w:tr>
      <w:tr>
        <w:trPr>
          <w:tblHeader w:val="false"/>
        </w:trPr>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7.13</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Marking rub test</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15 s water-soaked cloth, then 15 s with alcohol or hexane: marking remains legible, not easily removable, no curling.</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IEC 60335-1 Cl. 7.14 method</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Ma</w:t>
            </w:r>
          </w:p>
        </w:tc>
        <w:tc>
          <w:tcPr>
            <w:tcW w:type="dxa" w:w="1159"/>
            <w:tcMar>
              <w:top w:type="dxa" w:w="50"/>
              <w:left w:type="dxa" w:w="80"/>
              <w:bottom w:type="dxa" w:w="50"/>
              <w:right w:type="dxa" w:w="80"/>
            </w:tcMar>
            <w:vAlign w:val="top"/>
          </w:tcPr>
          <w:p>
            <w:pPr>
              <w:spacing w:after="30"/>
            </w:pPr>
          </w:p>
        </w:tc>
      </w:tr>
      <w:tr>
        <w:trPr>
          <w:tblHeader w:val="false"/>
        </w:trPr>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7.14</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Coating adhesion</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Metal: 6 cuts, 2 mm spacing, cross-hatch, 3M 610/810 tape pressed 1 min, removed quickly: ≤ 15 % detached (ISO 2409 class ≤ 2). Non-metal: tape only, 0 % detached.</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ISO 2409</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Ma</w:t>
            </w:r>
          </w:p>
        </w:tc>
        <w:tc>
          <w:tcPr>
            <w:tcW w:type="dxa" w:w="1159"/>
            <w:tcMar>
              <w:top w:type="dxa" w:w="50"/>
              <w:left w:type="dxa" w:w="80"/>
              <w:bottom w:type="dxa" w:w="50"/>
              <w:right w:type="dxa" w:w="80"/>
            </w:tcMar>
            <w:vAlign w:val="top"/>
          </w:tcPr>
          <w:p>
            <w:pPr>
              <w:spacing w:after="30"/>
            </w:pPr>
          </w:p>
        </w:tc>
      </w:tr>
      <w:tr>
        <w:trPr>
          <w:tblHeader w:val="false"/>
        </w:trPr>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7.15</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Coating thickness</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Magnetic gauge, 5 points on frame and forks: DFT ≥ [___] µm per QSD.</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ISO 2808</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Ma</w:t>
            </w:r>
          </w:p>
        </w:tc>
        <w:tc>
          <w:tcPr>
            <w:tcW w:type="dxa" w:w="1159"/>
            <w:tcMar>
              <w:top w:type="dxa" w:w="50"/>
              <w:left w:type="dxa" w:w="80"/>
              <w:bottom w:type="dxa" w:w="50"/>
              <w:right w:type="dxa" w:w="80"/>
            </w:tcMar>
            <w:vAlign w:val="top"/>
          </w:tcPr>
          <w:p>
            <w:pPr>
              <w:spacing w:after="30"/>
            </w:pPr>
          </w:p>
        </w:tc>
      </w:tr>
    </w:tbl>
    <w:p>
      <w:pPr>
        <w:spacing w:after="80"/>
      </w:pPr>
    </w:p>
    <w:p>
      <w:pPr>
        <w:pStyle w:val="Heading2"/>
        <w:spacing w:after="120" w:before="200"/>
      </w:pPr>
      <w:r>
        <w:rPr>
          <w:rFonts w:ascii="Arial" w:cs="Arial" w:eastAsia="Arial" w:hAnsi="Arial"/>
          <w:b/>
          <w:bCs/>
          <w:color w:val="1F3864"/>
          <w:sz w:val="24"/>
          <w:szCs w:val="24"/>
        </w:rPr>
        <w:t xml:space="preserve">A.5 Dimensional tolerances (from source)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31"/>
        <w:gridCol w:w="867"/>
        <w:gridCol w:w="867"/>
        <w:gridCol w:w="867"/>
        <w:gridCol w:w="867"/>
        <w:gridCol w:w="867"/>
        <w:gridCol w:w="867"/>
        <w:gridCol w:w="867"/>
        <w:gridCol w:w="867"/>
        <w:gridCol w:w="871"/>
      </w:tblGrid>
      <w:tr>
        <w:trPr>
          <w:tblHeader/>
        </w:trPr>
        <w:tc>
          <w:tcPr>
            <w:tcW w:type="dxa" w:w="1831"/>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Product size (mm)</w:t>
            </w:r>
          </w:p>
        </w:tc>
        <w:tc>
          <w:tcPr>
            <w:tcW w:type="dxa" w:w="867"/>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0.5–3</w:t>
            </w:r>
          </w:p>
        </w:tc>
        <w:tc>
          <w:tcPr>
            <w:tcW w:type="dxa" w:w="867"/>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&gt;3–6</w:t>
            </w:r>
          </w:p>
        </w:tc>
        <w:tc>
          <w:tcPr>
            <w:tcW w:type="dxa" w:w="867"/>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&gt;6–30</w:t>
            </w:r>
          </w:p>
        </w:tc>
        <w:tc>
          <w:tcPr>
            <w:tcW w:type="dxa" w:w="867"/>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&gt;30–120</w:t>
            </w:r>
          </w:p>
        </w:tc>
        <w:tc>
          <w:tcPr>
            <w:tcW w:type="dxa" w:w="867"/>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&gt;120–400</w:t>
            </w:r>
          </w:p>
        </w:tc>
        <w:tc>
          <w:tcPr>
            <w:tcW w:type="dxa" w:w="867"/>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&gt;400–1000</w:t>
            </w:r>
          </w:p>
        </w:tc>
        <w:tc>
          <w:tcPr>
            <w:tcW w:type="dxa" w:w="867"/>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&gt;1000–2000</w:t>
            </w:r>
          </w:p>
        </w:tc>
        <w:tc>
          <w:tcPr>
            <w:tcW w:type="dxa" w:w="867"/>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&gt;2000–3000</w:t>
            </w:r>
          </w:p>
        </w:tc>
        <w:tc>
          <w:tcPr>
            <w:tcW w:type="dxa" w:w="871"/>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&gt;3000–5000</w:t>
            </w:r>
          </w:p>
        </w:tc>
      </w:tr>
      <w:tr>
        <w:trPr>
          <w:tblHeader w:val="false"/>
        </w:trPr>
        <w:tc>
          <w:tcPr>
            <w:tcW w:type="dxa" w:w="1831"/>
            <w:tcMar>
              <w:top w:type="dxa" w:w="50"/>
              <w:left w:type="dxa" w:w="80"/>
              <w:bottom w:type="dxa" w:w="50"/>
              <w:right w:type="dxa" w:w="80"/>
            </w:tcMar>
            <w:vAlign w:val="top"/>
          </w:tcPr>
          <w:p>
            <w:pPr>
              <w:spacing w:after="30"/>
            </w:pPr>
            <w:r>
              <w:rPr>
                <w:rFonts w:ascii="Arial" w:cs="Arial" w:eastAsia="Arial" w:hAnsi="Arial"/>
                <w:sz w:val="17"/>
                <w:szCs w:val="17"/>
              </w:rPr>
              <w:t xml:space="preserve">Tolerance (mm)</w:t>
            </w:r>
          </w:p>
        </w:tc>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±0.1</w:t>
            </w:r>
          </w:p>
        </w:tc>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±0.3</w:t>
            </w:r>
          </w:p>
        </w:tc>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±1</w:t>
            </w:r>
          </w:p>
        </w:tc>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±2</w:t>
            </w:r>
          </w:p>
        </w:tc>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±10</w:t>
            </w:r>
          </w:p>
        </w:tc>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±20</w:t>
            </w:r>
          </w:p>
        </w:tc>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±30</w:t>
            </w:r>
          </w:p>
        </w:tc>
        <w:tc>
          <w:tcPr>
            <w:tcW w:type="dxa" w:w="871"/>
            <w:tcMar>
              <w:top w:type="dxa" w:w="50"/>
              <w:left w:type="dxa" w:w="80"/>
              <w:bottom w:type="dxa" w:w="50"/>
              <w:right w:type="dxa" w:w="80"/>
            </w:tcMar>
            <w:vAlign w:val="top"/>
          </w:tcPr>
          <w:p>
            <w:pPr>
              <w:spacing w:after="30"/>
            </w:pPr>
            <w:r>
              <w:rPr>
                <w:rFonts w:ascii="Arial" w:cs="Arial" w:eastAsia="Arial" w:hAnsi="Arial"/>
                <w:sz w:val="17"/>
                <w:szCs w:val="17"/>
              </w:rPr>
              <w:t xml:space="preserve">±50</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252"/>
        <w:gridCol w:w="1252"/>
        <w:gridCol w:w="1252"/>
        <w:gridCol w:w="1252"/>
        <w:gridCol w:w="1252"/>
        <w:gridCol w:w="1258"/>
      </w:tblGrid>
      <w:tr>
        <w:trPr>
          <w:tblHeader/>
        </w:trPr>
        <w:tc>
          <w:tcPr>
            <w:tcW w:type="dxa" w:w="2120"/>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Packing size (mm)</w:t>
            </w:r>
          </w:p>
        </w:tc>
        <w:tc>
          <w:tcPr>
            <w:tcW w:type="dxa" w:w="1252"/>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≤120</w:t>
            </w:r>
          </w:p>
        </w:tc>
        <w:tc>
          <w:tcPr>
            <w:tcW w:type="dxa" w:w="1252"/>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&gt;120–400</w:t>
            </w:r>
          </w:p>
        </w:tc>
        <w:tc>
          <w:tcPr>
            <w:tcW w:type="dxa" w:w="1252"/>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&gt;400–1000</w:t>
            </w:r>
          </w:p>
        </w:tc>
        <w:tc>
          <w:tcPr>
            <w:tcW w:type="dxa" w:w="1252"/>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&gt;1000–2000</w:t>
            </w:r>
          </w:p>
        </w:tc>
        <w:tc>
          <w:tcPr>
            <w:tcW w:type="dxa" w:w="1252"/>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&gt;2000–3000</w:t>
            </w:r>
          </w:p>
        </w:tc>
        <w:tc>
          <w:tcPr>
            <w:tcW w:type="dxa" w:w="1258"/>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&gt;3000–5000</w:t>
            </w:r>
          </w:p>
        </w:tc>
      </w:tr>
      <w:tr>
        <w:trPr>
          <w:tblHeader w:val="false"/>
        </w:trPr>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Tolerance (mm)</w:t>
            </w:r>
          </w:p>
        </w:tc>
        <w:tc>
          <w:tcPr>
            <w:tcW w:type="dxa" w:w="1252"/>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1252"/>
            <w:tcMar>
              <w:top w:type="dxa" w:w="50"/>
              <w:left w:type="dxa" w:w="80"/>
              <w:bottom w:type="dxa" w:w="50"/>
              <w:right w:type="dxa" w:w="80"/>
            </w:tcMar>
            <w:vAlign w:val="top"/>
          </w:tcPr>
          <w:p>
            <w:pPr>
              <w:spacing w:after="30"/>
            </w:pPr>
            <w:r>
              <w:rPr>
                <w:rFonts w:ascii="Arial" w:cs="Arial" w:eastAsia="Arial" w:hAnsi="Arial"/>
                <w:sz w:val="17"/>
                <w:szCs w:val="17"/>
              </w:rPr>
              <w:t xml:space="preserve">±10</w:t>
            </w:r>
          </w:p>
        </w:tc>
        <w:tc>
          <w:tcPr>
            <w:tcW w:type="dxa" w:w="1252"/>
            <w:tcMar>
              <w:top w:type="dxa" w:w="50"/>
              <w:left w:type="dxa" w:w="80"/>
              <w:bottom w:type="dxa" w:w="50"/>
              <w:right w:type="dxa" w:w="80"/>
            </w:tcMar>
            <w:vAlign w:val="top"/>
          </w:tcPr>
          <w:p>
            <w:pPr>
              <w:spacing w:after="30"/>
            </w:pPr>
            <w:r>
              <w:rPr>
                <w:rFonts w:ascii="Arial" w:cs="Arial" w:eastAsia="Arial" w:hAnsi="Arial"/>
                <w:sz w:val="17"/>
                <w:szCs w:val="17"/>
              </w:rPr>
              <w:t xml:space="preserve">±20</w:t>
            </w:r>
          </w:p>
        </w:tc>
        <w:tc>
          <w:tcPr>
            <w:tcW w:type="dxa" w:w="1252"/>
            <w:tcMar>
              <w:top w:type="dxa" w:w="50"/>
              <w:left w:type="dxa" w:w="80"/>
              <w:bottom w:type="dxa" w:w="50"/>
              <w:right w:type="dxa" w:w="80"/>
            </w:tcMar>
            <w:vAlign w:val="top"/>
          </w:tcPr>
          <w:p>
            <w:pPr>
              <w:spacing w:after="30"/>
            </w:pPr>
            <w:r>
              <w:rPr>
                <w:rFonts w:ascii="Arial" w:cs="Arial" w:eastAsia="Arial" w:hAnsi="Arial"/>
                <w:sz w:val="17"/>
                <w:szCs w:val="17"/>
              </w:rPr>
              <w:t xml:space="preserve">±30</w:t>
            </w:r>
          </w:p>
        </w:tc>
        <w:tc>
          <w:tcPr>
            <w:tcW w:type="dxa" w:w="1252"/>
            <w:tcMar>
              <w:top w:type="dxa" w:w="50"/>
              <w:left w:type="dxa" w:w="80"/>
              <w:bottom w:type="dxa" w:w="50"/>
              <w:right w:type="dxa" w:w="80"/>
            </w:tcMar>
            <w:vAlign w:val="top"/>
          </w:tcPr>
          <w:p>
            <w:pPr>
              <w:spacing w:after="30"/>
            </w:pPr>
            <w:r>
              <w:rPr>
                <w:rFonts w:ascii="Arial" w:cs="Arial" w:eastAsia="Arial" w:hAnsi="Arial"/>
                <w:sz w:val="17"/>
                <w:szCs w:val="17"/>
              </w:rPr>
              <w:t xml:space="preserve">±50</w:t>
            </w:r>
          </w:p>
        </w:tc>
        <w:tc>
          <w:tcPr>
            <w:tcW w:type="dxa" w:w="1258"/>
            <w:tcMar>
              <w:top w:type="dxa" w:w="50"/>
              <w:left w:type="dxa" w:w="80"/>
              <w:bottom w:type="dxa" w:w="50"/>
              <w:right w:type="dxa" w:w="80"/>
            </w:tcMar>
            <w:vAlign w:val="top"/>
          </w:tcPr>
          <w:p>
            <w:pPr>
              <w:spacing w:after="30"/>
            </w:pPr>
            <w:r>
              <w:rPr>
                <w:rFonts w:ascii="Arial" w:cs="Arial" w:eastAsia="Arial" w:hAnsi="Arial"/>
                <w:sz w:val="17"/>
                <w:szCs w:val="17"/>
              </w:rPr>
              <w:t xml:space="preserve">±80</w:t>
            </w:r>
          </w:p>
        </w:tc>
      </w:tr>
    </w:tbl>
    <w:p>
      <w:pPr>
        <w:spacing w:after="80"/>
      </w:pPr>
    </w:p>
    <w:p>
      <w:pPr>
        <w:spacing w:after="120"/>
      </w:pPr>
      <w:r>
        <w:rPr>
          <w:rFonts w:ascii="Arial" w:cs="Arial" w:eastAsia="Arial" w:hAnsi="Arial"/>
          <w:sz w:val="20"/>
          <w:szCs w:val="20"/>
        </w:rPr>
        <w:t xml:space="preserve">Remarks #1: [___]</w:t>
      </w:r>
    </w:p>
    <w:p>
      <w:pPr>
        <w:pStyle w:val="Heading1"/>
        <w:spacing w:after="160" w:before="240"/>
      </w:pPr>
      <w:r>
        <w:rPr>
          <w:rFonts w:ascii="Arial" w:cs="Arial" w:eastAsia="Arial" w:hAnsi="Arial"/>
          <w:b/>
          <w:bCs/>
          <w:color w:val="1F3864"/>
          <w:sz w:val="28"/>
          <w:szCs w:val="28"/>
        </w:rPr>
        <w:t xml:space="preserve">Annex B — Defect Classification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11"/>
        <w:gridCol w:w="1927"/>
        <w:gridCol w:w="1349"/>
        <w:gridCol w:w="1351"/>
      </w:tblGrid>
      <w:tr>
        <w:trPr>
          <w:tblHeader/>
        </w:trPr>
        <w:tc>
          <w:tcPr>
            <w:tcW w:type="dxa" w:w="5011"/>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Defect name</w:t>
            </w:r>
          </w:p>
        </w:tc>
        <w:tc>
          <w:tcPr>
            <w:tcW w:type="dxa" w:w="1927"/>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Zone A</w:t>
            </w:r>
          </w:p>
        </w:tc>
        <w:tc>
          <w:tcPr>
            <w:tcW w:type="dxa" w:w="1349"/>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Zone B</w:t>
            </w:r>
          </w:p>
        </w:tc>
        <w:tc>
          <w:tcPr>
            <w:tcW w:type="dxa" w:w="1351"/>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Zone C</w:t>
            </w: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Poor packing / Đóng gói kém</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Incorrect quantity / Sai số lượng đóng gói</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Major</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Incorrect packaging artworks / Sai thông tin in ấn đóng gói</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Major</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Missing packaging artworks / Thiếu thông tin in ấn đóng gói</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Major</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Poor label / sticker</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Major</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Rubbing product marking</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Major</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Sharp point / Điểm bén nhọn</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Critical</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Sharp edge / Cạnh bén nhọn</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Critical</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Shear and squeeze point / Điểm cắt và chèn ép</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Critical</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Rust / Rỉ sét</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Major</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Minor</w:t>
            </w: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Poor finishing / Hoàn thiện xấu</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Stain / Bị dính sơn, vết ố</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Minor</w:t>
            </w: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Over painting / Sơn chảy</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Minor</w:t>
            </w: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Coating peel off / Bong tróc sơn</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Minor</w:t>
            </w: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Blister / Bị phồng rộp</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Minor</w:t>
            </w: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Spots / Vết đốm</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Discoloration / Phai màu</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Dirty mark / Dấu vết bẩn</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Poor welding / Mối hàn tệ</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Major</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p>
        </w:tc>
        <w:tc>
          <w:tcPr>
            <w:tcW w:type="dxa" w:w="1351"/>
            <w:tcMar>
              <w:top w:type="dxa" w:w="50"/>
              <w:left w:type="dxa" w:w="80"/>
              <w:bottom w:type="dxa" w:w="50"/>
              <w:right w:type="dxa" w:w="80"/>
            </w:tcMar>
            <w:vAlign w:val="top"/>
          </w:tcPr>
          <w:p>
            <w:pPr>
              <w:spacing w:after="30"/>
            </w:pPr>
            <w:r>
              <w:rPr>
                <w:rFonts w:ascii="Arial" w:cs="Arial" w:eastAsia="Arial" w:hAnsi="Arial"/>
                <w:sz w:val="17"/>
                <w:szCs w:val="17"/>
              </w:rPr>
              <w:t xml:space="preserve">Minor</w:t>
            </w: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Burr / Gờ chưa mài giũa</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Rough surface / Bề mặt thô ráp</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Uneven surface / Bề mặt cao thấp không đều</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Deformed / Bị biến dạng</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Minor</w:t>
            </w: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Damaged / Bị hư hỏng</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Minor</w:t>
            </w: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Scratched / Bị trầy xước</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Accept</w:t>
            </w:r>
          </w:p>
        </w:tc>
        <w:tc>
          <w:tcPr>
            <w:tcW w:type="dxa" w:w="1351"/>
            <w:tcMar>
              <w:top w:type="dxa" w:w="50"/>
              <w:left w:type="dxa" w:w="80"/>
              <w:bottom w:type="dxa" w:w="50"/>
              <w:right w:type="dxa" w:w="80"/>
            </w:tcMar>
            <w:vAlign w:val="top"/>
          </w:tcPr>
          <w:p>
            <w:pPr>
              <w:spacing w:after="30"/>
            </w:pPr>
            <w:r>
              <w:rPr>
                <w:rFonts w:ascii="Arial" w:cs="Arial" w:eastAsia="Arial" w:hAnsi="Arial"/>
                <w:sz w:val="17"/>
                <w:szCs w:val="17"/>
              </w:rPr>
              <w:t xml:space="preserve">Accept</w:t>
            </w: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Broken / Bị gãy</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Minor</w:t>
            </w: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Chipped / Bị sứt mẻ</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Minor</w:t>
            </w: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Cracked / Bị nứt</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Minor</w:t>
            </w: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Dent mark / Dấu bị cấn móp</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Warpage / Cong vênh</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Minor</w:t>
            </w: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Wobble / Lung lay, gập gềnh</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Unfitting / Không vừa vặn</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Loose / Lỏng lẻo</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Over tolerance</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Pending</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Incorrect material / Sai nguyên vật liệu</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Major</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Incorrect colour / Sai màu sắc</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Major</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Incorrect specification / Sai thông số kỹ thuật</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Major</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Difficult assembly / Lắp ráp khó</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Major</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Impossible assembly / Không lắp ráp được</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Critical</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Difficult folding / Gấp xếp khó</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Major</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Difficult function / Chức năng sử dụng khó</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Major</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Fail coating rubbing / adhesion test</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Major</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b/>
                <w:bCs/>
                <w:sz w:val="17"/>
                <w:szCs w:val="17"/>
              </w:rPr>
              <w:t xml:space="preserve">NEW</w:t>
            </w:r>
            <w:r>
              <w:rPr>
                <w:rFonts w:ascii="Arial" w:cs="Arial" w:eastAsia="Arial" w:hAnsi="Arial"/>
                <w:sz w:val="17"/>
                <w:szCs w:val="17"/>
              </w:rPr>
              <w:t xml:space="preserve"> Cracked or poor weld on load-bearing frame / fork / Mối hàn chịu lực nứt</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Critical</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b/>
                <w:bCs/>
                <w:sz w:val="17"/>
                <w:szCs w:val="17"/>
              </w:rPr>
              <w:t xml:space="preserve">NEW</w:t>
            </w:r>
            <w:r>
              <w:rPr>
                <w:rFonts w:ascii="Arial" w:cs="Arial" w:eastAsia="Arial" w:hAnsi="Arial"/>
                <w:sz w:val="17"/>
                <w:szCs w:val="17"/>
              </w:rPr>
              <w:t xml:space="preserve"> Cannot lift rated load / Không nâng được tải định mức</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Critical</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b/>
                <w:bCs/>
                <w:sz w:val="17"/>
                <w:szCs w:val="17"/>
              </w:rPr>
              <w:t xml:space="preserve">NEW</w:t>
            </w:r>
            <w:r>
              <w:rPr>
                <w:rFonts w:ascii="Arial" w:cs="Arial" w:eastAsia="Arial" w:hAnsi="Arial"/>
                <w:sz w:val="17"/>
                <w:szCs w:val="17"/>
              </w:rPr>
              <w:t xml:space="preserve"> Uncontrolled lowering or drift beyond limit / Hạ tải không kiểm soát</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Critical</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b/>
                <w:bCs/>
                <w:sz w:val="17"/>
                <w:szCs w:val="17"/>
              </w:rPr>
              <w:t xml:space="preserve">NEW</w:t>
            </w:r>
            <w:r>
              <w:rPr>
                <w:rFonts w:ascii="Arial" w:cs="Arial" w:eastAsia="Arial" w:hAnsi="Arial"/>
                <w:sz w:val="17"/>
                <w:szCs w:val="17"/>
              </w:rPr>
              <w:t xml:space="preserve"> Permanent deformation after static test / Biến dạng vĩnh viễn</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Critical</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b/>
                <w:bCs/>
                <w:sz w:val="17"/>
                <w:szCs w:val="17"/>
              </w:rPr>
              <w:t xml:space="preserve">NEW</w:t>
            </w:r>
            <w:r>
              <w:rPr>
                <w:rFonts w:ascii="Arial" w:cs="Arial" w:eastAsia="Arial" w:hAnsi="Arial"/>
                <w:sz w:val="17"/>
                <w:szCs w:val="17"/>
              </w:rPr>
              <w:t xml:space="preserve"> Overload device missing / not sealed (where required) / Thiếu van quá tải</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Critical</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b/>
                <w:bCs/>
                <w:sz w:val="17"/>
                <w:szCs w:val="17"/>
              </w:rPr>
              <w:t xml:space="preserve">NEW</w:t>
            </w:r>
            <w:r>
              <w:rPr>
                <w:rFonts w:ascii="Arial" w:cs="Arial" w:eastAsia="Arial" w:hAnsi="Arial"/>
                <w:sz w:val="17"/>
                <w:szCs w:val="17"/>
              </w:rPr>
              <w:t xml:space="preserve"> Hydraulic oil leakage / Rò rỉ dầu thủy lực</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Major (Critical if lowering affected)</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b/>
                <w:bCs/>
                <w:sz w:val="17"/>
                <w:szCs w:val="17"/>
              </w:rPr>
              <w:t xml:space="preserve">NEW</w:t>
            </w:r>
            <w:r>
              <w:rPr>
                <w:rFonts w:ascii="Arial" w:cs="Arial" w:eastAsia="Arial" w:hAnsi="Arial"/>
                <w:sz w:val="17"/>
                <w:szCs w:val="17"/>
              </w:rPr>
              <w:t xml:space="preserve"> Parking brake ineffective (if fitted) / Phanh không hiệu quả</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Critical</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b/>
                <w:bCs/>
                <w:sz w:val="17"/>
                <w:szCs w:val="17"/>
              </w:rPr>
              <w:t xml:space="preserve">NEW</w:t>
            </w:r>
            <w:r>
              <w:rPr>
                <w:rFonts w:ascii="Arial" w:cs="Arial" w:eastAsia="Arial" w:hAnsi="Arial"/>
                <w:sz w:val="17"/>
                <w:szCs w:val="17"/>
              </w:rPr>
              <w:t xml:space="preserve"> Missing / incorrect CE marking or data plate / Thiếu nhãn CE, nhãn thông số</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Critical</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b/>
                <w:bCs/>
                <w:sz w:val="17"/>
                <w:szCs w:val="17"/>
              </w:rPr>
              <w:t xml:space="preserve">NEW</w:t>
            </w:r>
            <w:r>
              <w:rPr>
                <w:rFonts w:ascii="Arial" w:cs="Arial" w:eastAsia="Arial" w:hAnsi="Arial"/>
                <w:sz w:val="17"/>
                <w:szCs w:val="17"/>
              </w:rPr>
              <w:t xml:space="preserve"> Rated capacity missing or wrong / Thiếu hoặc sai tải định mức</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Critical</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b/>
                <w:bCs/>
                <w:sz w:val="17"/>
                <w:szCs w:val="17"/>
              </w:rPr>
              <w:t xml:space="preserve">NEW</w:t>
            </w:r>
            <w:r>
              <w:rPr>
                <w:rFonts w:ascii="Arial" w:cs="Arial" w:eastAsia="Arial" w:hAnsi="Arial"/>
                <w:sz w:val="17"/>
                <w:szCs w:val="17"/>
              </w:rPr>
              <w:t xml:space="preserve"> Instructions missing or not in required language / Thiếu HDSD hoặc sai ngôn ngữ</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Critical</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b/>
                <w:bCs/>
                <w:sz w:val="17"/>
                <w:szCs w:val="17"/>
              </w:rPr>
              <w:t xml:space="preserve">NEW</w:t>
            </w:r>
            <w:r>
              <w:rPr>
                <w:rFonts w:ascii="Arial" w:cs="Arial" w:eastAsia="Arial" w:hAnsi="Arial"/>
                <w:sz w:val="17"/>
                <w:szCs w:val="17"/>
              </w:rPr>
              <w:t xml:space="preserve"> Importer / EU operator identification missing / Thiếu thông tin nhà nhập khẩu</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Critical</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b/>
                <w:bCs/>
                <w:sz w:val="17"/>
                <w:szCs w:val="17"/>
              </w:rPr>
              <w:t xml:space="preserve">NEW</w:t>
            </w:r>
            <w:r>
              <w:rPr>
                <w:rFonts w:ascii="Arial" w:cs="Arial" w:eastAsia="Arial" w:hAnsi="Arial"/>
                <w:sz w:val="17"/>
                <w:szCs w:val="17"/>
              </w:rPr>
              <w:t xml:space="preserve"> Missing / loose circlip, pin or axle fastener / Thiếu, lỏng khóa chốt</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Critical</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b/>
                <w:bCs/>
                <w:sz w:val="17"/>
                <w:szCs w:val="17"/>
              </w:rPr>
              <w:t xml:space="preserve">NEW</w:t>
            </w:r>
            <w:r>
              <w:rPr>
                <w:rFonts w:ascii="Arial" w:cs="Arial" w:eastAsia="Arial" w:hAnsi="Arial"/>
                <w:sz w:val="17"/>
                <w:szCs w:val="17"/>
              </w:rPr>
              <w:t xml:space="preserve"> GS mark applied without valid certificate, wrong model/factory, or on non-GS order / Dấu GS không hợp lệ</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Critical</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b/>
                <w:bCs/>
                <w:sz w:val="17"/>
                <w:szCs w:val="17"/>
              </w:rPr>
              <w:t xml:space="preserve">NEW</w:t>
            </w:r>
            <w:r>
              <w:rPr>
                <w:rFonts w:ascii="Arial" w:cs="Arial" w:eastAsia="Arial" w:hAnsi="Arial"/>
                <w:sz w:val="17"/>
                <w:szCs w:val="17"/>
              </w:rPr>
              <w:t xml:space="preserve"> Wheel not rotating freely / Bánh xe quay không trơn</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Major</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b/>
                <w:bCs/>
                <w:sz w:val="17"/>
                <w:szCs w:val="17"/>
              </w:rPr>
              <w:t xml:space="preserve">NEW</w:t>
            </w:r>
            <w:r>
              <w:rPr>
                <w:rFonts w:ascii="Arial" w:cs="Arial" w:eastAsia="Arial" w:hAnsi="Arial"/>
                <w:sz w:val="17"/>
                <w:szCs w:val="17"/>
              </w:rPr>
              <w:t xml:space="preserve"> Wooden pallet without ISPM 15 mark / Pallet gỗ không có dấu IPPC</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Major</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bl>
    <w:p>
      <w:pPr>
        <w:spacing w:after="80"/>
      </w:pPr>
    </w:p>
    <w:p>
      <w:pPr>
        <w:spacing w:after="120"/>
      </w:pPr>
      <w:r>
        <w:rPr>
          <w:rFonts w:ascii="Arial" w:cs="Arial" w:eastAsia="Arial" w:hAnsi="Arial"/>
          <w:i/>
          <w:iCs/>
          <w:sz w:val="18"/>
          <w:szCs w:val="18"/>
        </w:rPr>
        <w:t xml:space="preserve">Reference defect photos: retain the source photo set (poor finishing, poor welding, scratched, coating peel off, rough surface, broken, dent mark) in the QC pack.</w:t>
      </w:r>
    </w:p>
    <w:p>
      <w:pPr>
        <w:pStyle w:val="Heading1"/>
        <w:spacing w:after="160" w:before="240"/>
      </w:pPr>
      <w:r>
        <w:rPr>
          <w:rFonts w:ascii="Arial" w:cs="Arial" w:eastAsia="Arial" w:hAnsi="Arial"/>
          <w:b/>
          <w:bCs/>
          <w:color w:val="1F3864"/>
          <w:sz w:val="28"/>
          <w:szCs w:val="28"/>
        </w:rPr>
        <w:t xml:space="preserve">Annex C — Measurement Data Sheet</w:t>
      </w:r>
    </w:p>
    <w:p>
      <w:pPr>
        <w:spacing w:after="120"/>
      </w:pPr>
      <w:r>
        <w:rPr>
          <w:rFonts w:ascii="Arial" w:cs="Arial" w:eastAsia="Arial" w:hAnsi="Arial"/>
          <w:sz w:val="20"/>
          <w:szCs w:val="20"/>
        </w:rPr>
        <w:t xml:space="preserve">Parameter symbols aligned with the VDI 2198 type sheet for industrial trucks (replaces undefined source letters D/d, H, h, e, s, l, c, W, L, HH).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2409"/>
        <w:gridCol w:w="1252"/>
        <w:gridCol w:w="1252"/>
        <w:gridCol w:w="1060"/>
        <w:gridCol w:w="1638"/>
        <w:gridCol w:w="1160"/>
      </w:tblGrid>
      <w:tr>
        <w:trPr>
          <w:tblHeader/>
        </w:trPr>
        <w:tc>
          <w:tcPr>
            <w:tcW w:type="dxa" w:w="867"/>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Symbol</w:t>
            </w:r>
          </w:p>
        </w:tc>
        <w:tc>
          <w:tcPr>
            <w:tcW w:type="dxa" w:w="2409"/>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Parameter</w:t>
            </w:r>
          </w:p>
        </w:tc>
        <w:tc>
          <w:tcPr>
            <w:tcW w:type="dxa" w:w="1252"/>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Specification</w:t>
            </w:r>
          </w:p>
        </w:tc>
        <w:tc>
          <w:tcPr>
            <w:tcW w:type="dxa" w:w="1252"/>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Claimed on package</w:t>
            </w:r>
          </w:p>
        </w:tc>
        <w:tc>
          <w:tcPr>
            <w:tcW w:type="dxa" w:w="1060"/>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Finding</w:t>
            </w:r>
          </w:p>
        </w:tc>
        <w:tc>
          <w:tcPr>
            <w:tcW w:type="dxa" w:w="1638"/>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Requirement</w:t>
            </w:r>
          </w:p>
        </w:tc>
        <w:tc>
          <w:tcPr>
            <w:tcW w:type="dxa" w:w="1160"/>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Result</w:t>
            </w:r>
          </w:p>
        </w:tc>
      </w:tr>
      <w:tr>
        <w:trPr>
          <w:tblHeader w:val="false"/>
        </w:trPr>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Q</w:t>
            </w:r>
          </w:p>
        </w:tc>
        <w:tc>
          <w:tcPr>
            <w:tcW w:type="dxa" w:w="2409"/>
            <w:tcMar>
              <w:top w:type="dxa" w:w="50"/>
              <w:left w:type="dxa" w:w="80"/>
              <w:bottom w:type="dxa" w:w="50"/>
              <w:right w:type="dxa" w:w="80"/>
            </w:tcMar>
            <w:vAlign w:val="top"/>
          </w:tcPr>
          <w:p>
            <w:pPr>
              <w:spacing w:after="30"/>
            </w:pPr>
            <w:r>
              <w:rPr>
                <w:rFonts w:ascii="Arial" w:cs="Arial" w:eastAsia="Arial" w:hAnsi="Arial"/>
                <w:sz w:val="17"/>
                <w:szCs w:val="17"/>
              </w:rPr>
              <w:t xml:space="preserve">Rated capacity (kg)</w:t>
            </w:r>
          </w:p>
        </w:tc>
        <w:tc>
          <w:tcPr>
            <w:tcW w:type="dxa" w:w="1252"/>
            <w:tcMar>
              <w:top w:type="dxa" w:w="50"/>
              <w:left w:type="dxa" w:w="80"/>
              <w:bottom w:type="dxa" w:w="50"/>
              <w:right w:type="dxa" w:w="80"/>
            </w:tcMar>
            <w:vAlign w:val="top"/>
          </w:tcPr>
          <w:p>
            <w:pPr>
              <w:spacing w:after="30"/>
            </w:pPr>
          </w:p>
        </w:tc>
        <w:tc>
          <w:tcPr>
            <w:tcW w:type="dxa" w:w="1252"/>
            <w:tcMar>
              <w:top w:type="dxa" w:w="50"/>
              <w:left w:type="dxa" w:w="80"/>
              <w:bottom w:type="dxa" w:w="50"/>
              <w:right w:type="dxa" w:w="80"/>
            </w:tcMar>
            <w:vAlign w:val="top"/>
          </w:tcPr>
          <w:p>
            <w:pPr>
              <w:spacing w:after="30"/>
            </w:pPr>
          </w:p>
        </w:tc>
        <w:tc>
          <w:tcPr>
            <w:tcW w:type="dxa" w:w="1060"/>
            <w:tcMar>
              <w:top w:type="dxa" w:w="50"/>
              <w:left w:type="dxa" w:w="80"/>
              <w:bottom w:type="dxa" w:w="50"/>
              <w:right w:type="dxa" w:w="80"/>
            </w:tcMar>
            <w:vAlign w:val="top"/>
          </w:tcPr>
          <w:p>
            <w:pPr>
              <w:spacing w:after="30"/>
            </w:pP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Matches data plate &amp; test report</w:t>
            </w:r>
          </w:p>
        </w:tc>
        <w:tc>
          <w:tcPr>
            <w:tcW w:type="dxa" w:w="1160"/>
            <w:tcMar>
              <w:top w:type="dxa" w:w="50"/>
              <w:left w:type="dxa" w:w="80"/>
              <w:bottom w:type="dxa" w:w="50"/>
              <w:right w:type="dxa" w:w="80"/>
            </w:tcMar>
            <w:vAlign w:val="top"/>
          </w:tcPr>
          <w:p>
            <w:pPr>
              <w:spacing w:after="30"/>
            </w:pPr>
          </w:p>
        </w:tc>
      </w:tr>
      <w:tr>
        <w:trPr>
          <w:tblHeader w:val="false"/>
        </w:trPr>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c</w:t>
            </w:r>
          </w:p>
        </w:tc>
        <w:tc>
          <w:tcPr>
            <w:tcW w:type="dxa" w:w="2409"/>
            <w:tcMar>
              <w:top w:type="dxa" w:w="50"/>
              <w:left w:type="dxa" w:w="80"/>
              <w:bottom w:type="dxa" w:w="50"/>
              <w:right w:type="dxa" w:w="80"/>
            </w:tcMar>
            <w:vAlign w:val="top"/>
          </w:tcPr>
          <w:p>
            <w:pPr>
              <w:spacing w:after="30"/>
            </w:pPr>
            <w:r>
              <w:rPr>
                <w:rFonts w:ascii="Arial" w:cs="Arial" w:eastAsia="Arial" w:hAnsi="Arial"/>
                <w:sz w:val="17"/>
                <w:szCs w:val="17"/>
              </w:rPr>
              <w:t xml:space="preserve">Load centre distance (mm)</w:t>
            </w:r>
          </w:p>
        </w:tc>
        <w:tc>
          <w:tcPr>
            <w:tcW w:type="dxa" w:w="1252"/>
            <w:tcMar>
              <w:top w:type="dxa" w:w="50"/>
              <w:left w:type="dxa" w:w="80"/>
              <w:bottom w:type="dxa" w:w="50"/>
              <w:right w:type="dxa" w:w="80"/>
            </w:tcMar>
            <w:vAlign w:val="top"/>
          </w:tcPr>
          <w:p>
            <w:pPr>
              <w:spacing w:after="30"/>
            </w:pPr>
          </w:p>
        </w:tc>
        <w:tc>
          <w:tcPr>
            <w:tcW w:type="dxa" w:w="1252"/>
            <w:tcMar>
              <w:top w:type="dxa" w:w="50"/>
              <w:left w:type="dxa" w:w="80"/>
              <w:bottom w:type="dxa" w:w="50"/>
              <w:right w:type="dxa" w:w="80"/>
            </w:tcMar>
            <w:vAlign w:val="top"/>
          </w:tcPr>
          <w:p>
            <w:pPr>
              <w:spacing w:after="30"/>
            </w:pPr>
          </w:p>
        </w:tc>
        <w:tc>
          <w:tcPr>
            <w:tcW w:type="dxa" w:w="1060"/>
            <w:tcMar>
              <w:top w:type="dxa" w:w="50"/>
              <w:left w:type="dxa" w:w="80"/>
              <w:bottom w:type="dxa" w:w="50"/>
              <w:right w:type="dxa" w:w="80"/>
            </w:tcMar>
            <w:vAlign w:val="top"/>
          </w:tcPr>
          <w:p>
            <w:pPr>
              <w:spacing w:after="30"/>
            </w:pP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Matches data plate</w:t>
            </w:r>
          </w:p>
        </w:tc>
        <w:tc>
          <w:tcPr>
            <w:tcW w:type="dxa" w:w="1160"/>
            <w:tcMar>
              <w:top w:type="dxa" w:w="50"/>
              <w:left w:type="dxa" w:w="80"/>
              <w:bottom w:type="dxa" w:w="50"/>
              <w:right w:type="dxa" w:w="80"/>
            </w:tcMar>
            <w:vAlign w:val="top"/>
          </w:tcPr>
          <w:p>
            <w:pPr>
              <w:spacing w:after="30"/>
            </w:pPr>
          </w:p>
        </w:tc>
      </w:tr>
      <w:tr>
        <w:trPr>
          <w:tblHeader w:val="false"/>
        </w:trPr>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h3</w:t>
            </w:r>
          </w:p>
        </w:tc>
        <w:tc>
          <w:tcPr>
            <w:tcW w:type="dxa" w:w="2409"/>
            <w:tcMar>
              <w:top w:type="dxa" w:w="50"/>
              <w:left w:type="dxa" w:w="80"/>
              <w:bottom w:type="dxa" w:w="50"/>
              <w:right w:type="dxa" w:w="80"/>
            </w:tcMar>
            <w:vAlign w:val="top"/>
          </w:tcPr>
          <w:p>
            <w:pPr>
              <w:spacing w:after="30"/>
            </w:pPr>
            <w:r>
              <w:rPr>
                <w:rFonts w:ascii="Arial" w:cs="Arial" w:eastAsia="Arial" w:hAnsi="Arial"/>
                <w:sz w:val="17"/>
                <w:szCs w:val="17"/>
              </w:rPr>
              <w:t xml:space="preserve">Lift height (mm)</w:t>
            </w:r>
          </w:p>
        </w:tc>
        <w:tc>
          <w:tcPr>
            <w:tcW w:type="dxa" w:w="1252"/>
            <w:tcMar>
              <w:top w:type="dxa" w:w="50"/>
              <w:left w:type="dxa" w:w="80"/>
              <w:bottom w:type="dxa" w:w="50"/>
              <w:right w:type="dxa" w:w="80"/>
            </w:tcMar>
            <w:vAlign w:val="top"/>
          </w:tcPr>
          <w:p>
            <w:pPr>
              <w:spacing w:after="30"/>
            </w:pPr>
          </w:p>
        </w:tc>
        <w:tc>
          <w:tcPr>
            <w:tcW w:type="dxa" w:w="1252"/>
            <w:tcMar>
              <w:top w:type="dxa" w:w="50"/>
              <w:left w:type="dxa" w:w="80"/>
              <w:bottom w:type="dxa" w:w="50"/>
              <w:right w:type="dxa" w:w="80"/>
            </w:tcMar>
            <w:vAlign w:val="top"/>
          </w:tcPr>
          <w:p>
            <w:pPr>
              <w:spacing w:after="30"/>
            </w:pPr>
          </w:p>
        </w:tc>
        <w:tc>
          <w:tcPr>
            <w:tcW w:type="dxa" w:w="1060"/>
            <w:tcMar>
              <w:top w:type="dxa" w:w="50"/>
              <w:left w:type="dxa" w:w="80"/>
              <w:bottom w:type="dxa" w:w="50"/>
              <w:right w:type="dxa" w:w="80"/>
            </w:tcMar>
            <w:vAlign w:val="top"/>
          </w:tcPr>
          <w:p>
            <w:pPr>
              <w:spacing w:after="30"/>
            </w:pP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Within tolerance</w:t>
            </w:r>
          </w:p>
        </w:tc>
        <w:tc>
          <w:tcPr>
            <w:tcW w:type="dxa" w:w="1160"/>
            <w:tcMar>
              <w:top w:type="dxa" w:w="50"/>
              <w:left w:type="dxa" w:w="80"/>
              <w:bottom w:type="dxa" w:w="50"/>
              <w:right w:type="dxa" w:w="80"/>
            </w:tcMar>
            <w:vAlign w:val="top"/>
          </w:tcPr>
          <w:p>
            <w:pPr>
              <w:spacing w:after="30"/>
            </w:pPr>
          </w:p>
        </w:tc>
      </w:tr>
      <w:tr>
        <w:trPr>
          <w:tblHeader w:val="false"/>
        </w:trPr>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h13</w:t>
            </w:r>
          </w:p>
        </w:tc>
        <w:tc>
          <w:tcPr>
            <w:tcW w:type="dxa" w:w="2409"/>
            <w:tcMar>
              <w:top w:type="dxa" w:w="50"/>
              <w:left w:type="dxa" w:w="80"/>
              <w:bottom w:type="dxa" w:w="50"/>
              <w:right w:type="dxa" w:w="80"/>
            </w:tcMar>
            <w:vAlign w:val="top"/>
          </w:tcPr>
          <w:p>
            <w:pPr>
              <w:spacing w:after="30"/>
            </w:pPr>
            <w:r>
              <w:rPr>
                <w:rFonts w:ascii="Arial" w:cs="Arial" w:eastAsia="Arial" w:hAnsi="Arial"/>
                <w:sz w:val="17"/>
                <w:szCs w:val="17"/>
              </w:rPr>
              <w:t xml:space="preserve">Fork height, lowered (mm)</w:t>
            </w:r>
          </w:p>
        </w:tc>
        <w:tc>
          <w:tcPr>
            <w:tcW w:type="dxa" w:w="1252"/>
            <w:tcMar>
              <w:top w:type="dxa" w:w="50"/>
              <w:left w:type="dxa" w:w="80"/>
              <w:bottom w:type="dxa" w:w="50"/>
              <w:right w:type="dxa" w:w="80"/>
            </w:tcMar>
            <w:vAlign w:val="top"/>
          </w:tcPr>
          <w:p>
            <w:pPr>
              <w:spacing w:after="30"/>
            </w:pPr>
          </w:p>
        </w:tc>
        <w:tc>
          <w:tcPr>
            <w:tcW w:type="dxa" w:w="1252"/>
            <w:tcMar>
              <w:top w:type="dxa" w:w="50"/>
              <w:left w:type="dxa" w:w="80"/>
              <w:bottom w:type="dxa" w:w="50"/>
              <w:right w:type="dxa" w:w="80"/>
            </w:tcMar>
            <w:vAlign w:val="top"/>
          </w:tcPr>
          <w:p>
            <w:pPr>
              <w:spacing w:after="30"/>
            </w:pPr>
          </w:p>
        </w:tc>
        <w:tc>
          <w:tcPr>
            <w:tcW w:type="dxa" w:w="1060"/>
            <w:tcMar>
              <w:top w:type="dxa" w:w="50"/>
              <w:left w:type="dxa" w:w="80"/>
              <w:bottom w:type="dxa" w:w="50"/>
              <w:right w:type="dxa" w:w="80"/>
            </w:tcMar>
            <w:vAlign w:val="top"/>
          </w:tcPr>
          <w:p>
            <w:pPr>
              <w:spacing w:after="30"/>
            </w:pP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Within tolerance</w:t>
            </w:r>
          </w:p>
        </w:tc>
        <w:tc>
          <w:tcPr>
            <w:tcW w:type="dxa" w:w="1160"/>
            <w:tcMar>
              <w:top w:type="dxa" w:w="50"/>
              <w:left w:type="dxa" w:w="80"/>
              <w:bottom w:type="dxa" w:w="50"/>
              <w:right w:type="dxa" w:w="80"/>
            </w:tcMar>
            <w:vAlign w:val="top"/>
          </w:tcPr>
          <w:p>
            <w:pPr>
              <w:spacing w:after="30"/>
            </w:pPr>
          </w:p>
        </w:tc>
      </w:tr>
      <w:tr>
        <w:trPr>
          <w:tblHeader w:val="false"/>
        </w:trPr>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h14</w:t>
            </w:r>
          </w:p>
        </w:tc>
        <w:tc>
          <w:tcPr>
            <w:tcW w:type="dxa" w:w="2409"/>
            <w:tcMar>
              <w:top w:type="dxa" w:w="50"/>
              <w:left w:type="dxa" w:w="80"/>
              <w:bottom w:type="dxa" w:w="50"/>
              <w:right w:type="dxa" w:w="80"/>
            </w:tcMar>
            <w:vAlign w:val="top"/>
          </w:tcPr>
          <w:p>
            <w:pPr>
              <w:spacing w:after="30"/>
            </w:pPr>
            <w:r>
              <w:rPr>
                <w:rFonts w:ascii="Arial" w:cs="Arial" w:eastAsia="Arial" w:hAnsi="Arial"/>
                <w:sz w:val="17"/>
                <w:szCs w:val="17"/>
              </w:rPr>
              <w:t xml:space="preserve">Tiller height in operating position (mm)</w:t>
            </w:r>
          </w:p>
        </w:tc>
        <w:tc>
          <w:tcPr>
            <w:tcW w:type="dxa" w:w="1252"/>
            <w:tcMar>
              <w:top w:type="dxa" w:w="50"/>
              <w:left w:type="dxa" w:w="80"/>
              <w:bottom w:type="dxa" w:w="50"/>
              <w:right w:type="dxa" w:w="80"/>
            </w:tcMar>
            <w:vAlign w:val="top"/>
          </w:tcPr>
          <w:p>
            <w:pPr>
              <w:spacing w:after="30"/>
            </w:pPr>
          </w:p>
        </w:tc>
        <w:tc>
          <w:tcPr>
            <w:tcW w:type="dxa" w:w="1252"/>
            <w:tcMar>
              <w:top w:type="dxa" w:w="50"/>
              <w:left w:type="dxa" w:w="80"/>
              <w:bottom w:type="dxa" w:w="50"/>
              <w:right w:type="dxa" w:w="80"/>
            </w:tcMar>
            <w:vAlign w:val="top"/>
          </w:tcPr>
          <w:p>
            <w:pPr>
              <w:spacing w:after="30"/>
            </w:pPr>
          </w:p>
        </w:tc>
        <w:tc>
          <w:tcPr>
            <w:tcW w:type="dxa" w:w="1060"/>
            <w:tcMar>
              <w:top w:type="dxa" w:w="50"/>
              <w:left w:type="dxa" w:w="80"/>
              <w:bottom w:type="dxa" w:w="50"/>
              <w:right w:type="dxa" w:w="80"/>
            </w:tcMar>
            <w:vAlign w:val="top"/>
          </w:tcPr>
          <w:p>
            <w:pPr>
              <w:spacing w:after="30"/>
            </w:pP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Within tolerance</w:t>
            </w:r>
          </w:p>
        </w:tc>
        <w:tc>
          <w:tcPr>
            <w:tcW w:type="dxa" w:w="1160"/>
            <w:tcMar>
              <w:top w:type="dxa" w:w="50"/>
              <w:left w:type="dxa" w:w="80"/>
              <w:bottom w:type="dxa" w:w="50"/>
              <w:right w:type="dxa" w:w="80"/>
            </w:tcMar>
            <w:vAlign w:val="top"/>
          </w:tcPr>
          <w:p>
            <w:pPr>
              <w:spacing w:after="30"/>
            </w:pPr>
          </w:p>
        </w:tc>
      </w:tr>
      <w:tr>
        <w:trPr>
          <w:tblHeader w:val="false"/>
        </w:trPr>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l1 / l2</w:t>
            </w:r>
          </w:p>
        </w:tc>
        <w:tc>
          <w:tcPr>
            <w:tcW w:type="dxa" w:w="2409"/>
            <w:tcMar>
              <w:top w:type="dxa" w:w="50"/>
              <w:left w:type="dxa" w:w="80"/>
              <w:bottom w:type="dxa" w:w="50"/>
              <w:right w:type="dxa" w:w="80"/>
            </w:tcMar>
            <w:vAlign w:val="top"/>
          </w:tcPr>
          <w:p>
            <w:pPr>
              <w:spacing w:after="30"/>
            </w:pPr>
            <w:r>
              <w:rPr>
                <w:rFonts w:ascii="Arial" w:cs="Arial" w:eastAsia="Arial" w:hAnsi="Arial"/>
                <w:sz w:val="17"/>
                <w:szCs w:val="17"/>
              </w:rPr>
              <w:t xml:space="preserve">Overall length / length to fork face (mm)</w:t>
            </w:r>
          </w:p>
        </w:tc>
        <w:tc>
          <w:tcPr>
            <w:tcW w:type="dxa" w:w="1252"/>
            <w:tcMar>
              <w:top w:type="dxa" w:w="50"/>
              <w:left w:type="dxa" w:w="80"/>
              <w:bottom w:type="dxa" w:w="50"/>
              <w:right w:type="dxa" w:w="80"/>
            </w:tcMar>
            <w:vAlign w:val="top"/>
          </w:tcPr>
          <w:p>
            <w:pPr>
              <w:spacing w:after="30"/>
            </w:pPr>
          </w:p>
        </w:tc>
        <w:tc>
          <w:tcPr>
            <w:tcW w:type="dxa" w:w="1252"/>
            <w:tcMar>
              <w:top w:type="dxa" w:w="50"/>
              <w:left w:type="dxa" w:w="80"/>
              <w:bottom w:type="dxa" w:w="50"/>
              <w:right w:type="dxa" w:w="80"/>
            </w:tcMar>
            <w:vAlign w:val="top"/>
          </w:tcPr>
          <w:p>
            <w:pPr>
              <w:spacing w:after="30"/>
            </w:pPr>
          </w:p>
        </w:tc>
        <w:tc>
          <w:tcPr>
            <w:tcW w:type="dxa" w:w="1060"/>
            <w:tcMar>
              <w:top w:type="dxa" w:w="50"/>
              <w:left w:type="dxa" w:w="80"/>
              <w:bottom w:type="dxa" w:w="50"/>
              <w:right w:type="dxa" w:w="80"/>
            </w:tcMar>
            <w:vAlign w:val="top"/>
          </w:tcPr>
          <w:p>
            <w:pPr>
              <w:spacing w:after="30"/>
            </w:pP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Within tolerance</w:t>
            </w:r>
          </w:p>
        </w:tc>
        <w:tc>
          <w:tcPr>
            <w:tcW w:type="dxa" w:w="1160"/>
            <w:tcMar>
              <w:top w:type="dxa" w:w="50"/>
              <w:left w:type="dxa" w:w="80"/>
              <w:bottom w:type="dxa" w:w="50"/>
              <w:right w:type="dxa" w:w="80"/>
            </w:tcMar>
            <w:vAlign w:val="top"/>
          </w:tcPr>
          <w:p>
            <w:pPr>
              <w:spacing w:after="30"/>
            </w:pPr>
          </w:p>
        </w:tc>
      </w:tr>
      <w:tr>
        <w:trPr>
          <w:tblHeader w:val="false"/>
        </w:trPr>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b1 / b5</w:t>
            </w:r>
          </w:p>
        </w:tc>
        <w:tc>
          <w:tcPr>
            <w:tcW w:type="dxa" w:w="2409"/>
            <w:tcMar>
              <w:top w:type="dxa" w:w="50"/>
              <w:left w:type="dxa" w:w="80"/>
              <w:bottom w:type="dxa" w:w="50"/>
              <w:right w:type="dxa" w:w="80"/>
            </w:tcMar>
            <w:vAlign w:val="top"/>
          </w:tcPr>
          <w:p>
            <w:pPr>
              <w:spacing w:after="30"/>
            </w:pPr>
            <w:r>
              <w:rPr>
                <w:rFonts w:ascii="Arial" w:cs="Arial" w:eastAsia="Arial" w:hAnsi="Arial"/>
                <w:sz w:val="17"/>
                <w:szCs w:val="17"/>
              </w:rPr>
              <w:t xml:space="preserve">Overall width / width across forks (mm)</w:t>
            </w:r>
          </w:p>
        </w:tc>
        <w:tc>
          <w:tcPr>
            <w:tcW w:type="dxa" w:w="1252"/>
            <w:tcMar>
              <w:top w:type="dxa" w:w="50"/>
              <w:left w:type="dxa" w:w="80"/>
              <w:bottom w:type="dxa" w:w="50"/>
              <w:right w:type="dxa" w:w="80"/>
            </w:tcMar>
            <w:vAlign w:val="top"/>
          </w:tcPr>
          <w:p>
            <w:pPr>
              <w:spacing w:after="30"/>
            </w:pPr>
          </w:p>
        </w:tc>
        <w:tc>
          <w:tcPr>
            <w:tcW w:type="dxa" w:w="1252"/>
            <w:tcMar>
              <w:top w:type="dxa" w:w="50"/>
              <w:left w:type="dxa" w:w="80"/>
              <w:bottom w:type="dxa" w:w="50"/>
              <w:right w:type="dxa" w:w="80"/>
            </w:tcMar>
            <w:vAlign w:val="top"/>
          </w:tcPr>
          <w:p>
            <w:pPr>
              <w:spacing w:after="30"/>
            </w:pPr>
          </w:p>
        </w:tc>
        <w:tc>
          <w:tcPr>
            <w:tcW w:type="dxa" w:w="1060"/>
            <w:tcMar>
              <w:top w:type="dxa" w:w="50"/>
              <w:left w:type="dxa" w:w="80"/>
              <w:bottom w:type="dxa" w:w="50"/>
              <w:right w:type="dxa" w:w="80"/>
            </w:tcMar>
            <w:vAlign w:val="top"/>
          </w:tcPr>
          <w:p>
            <w:pPr>
              <w:spacing w:after="30"/>
            </w:pP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Within tolerance</w:t>
            </w:r>
          </w:p>
        </w:tc>
        <w:tc>
          <w:tcPr>
            <w:tcW w:type="dxa" w:w="1160"/>
            <w:tcMar>
              <w:top w:type="dxa" w:w="50"/>
              <w:left w:type="dxa" w:w="80"/>
              <w:bottom w:type="dxa" w:w="50"/>
              <w:right w:type="dxa" w:w="80"/>
            </w:tcMar>
            <w:vAlign w:val="top"/>
          </w:tcPr>
          <w:p>
            <w:pPr>
              <w:spacing w:after="30"/>
            </w:pPr>
          </w:p>
        </w:tc>
      </w:tr>
      <w:tr>
        <w:trPr>
          <w:tblHeader w:val="false"/>
        </w:trPr>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s / e / l</w:t>
            </w:r>
          </w:p>
        </w:tc>
        <w:tc>
          <w:tcPr>
            <w:tcW w:type="dxa" w:w="2409"/>
            <w:tcMar>
              <w:top w:type="dxa" w:w="50"/>
              <w:left w:type="dxa" w:w="80"/>
              <w:bottom w:type="dxa" w:w="50"/>
              <w:right w:type="dxa" w:w="80"/>
            </w:tcMar>
            <w:vAlign w:val="top"/>
          </w:tcPr>
          <w:p>
            <w:pPr>
              <w:spacing w:after="30"/>
            </w:pPr>
            <w:r>
              <w:rPr>
                <w:rFonts w:ascii="Arial" w:cs="Arial" w:eastAsia="Arial" w:hAnsi="Arial"/>
                <w:sz w:val="17"/>
                <w:szCs w:val="17"/>
              </w:rPr>
              <w:t xml:space="preserve">Fork thickness / width / length (mm)</w:t>
            </w:r>
          </w:p>
        </w:tc>
        <w:tc>
          <w:tcPr>
            <w:tcW w:type="dxa" w:w="1252"/>
            <w:tcMar>
              <w:top w:type="dxa" w:w="50"/>
              <w:left w:type="dxa" w:w="80"/>
              <w:bottom w:type="dxa" w:w="50"/>
              <w:right w:type="dxa" w:w="80"/>
            </w:tcMar>
            <w:vAlign w:val="top"/>
          </w:tcPr>
          <w:p>
            <w:pPr>
              <w:spacing w:after="30"/>
            </w:pPr>
          </w:p>
        </w:tc>
        <w:tc>
          <w:tcPr>
            <w:tcW w:type="dxa" w:w="1252"/>
            <w:tcMar>
              <w:top w:type="dxa" w:w="50"/>
              <w:left w:type="dxa" w:w="80"/>
              <w:bottom w:type="dxa" w:w="50"/>
              <w:right w:type="dxa" w:w="80"/>
            </w:tcMar>
            <w:vAlign w:val="top"/>
          </w:tcPr>
          <w:p>
            <w:pPr>
              <w:spacing w:after="30"/>
            </w:pPr>
          </w:p>
        </w:tc>
        <w:tc>
          <w:tcPr>
            <w:tcW w:type="dxa" w:w="1060"/>
            <w:tcMar>
              <w:top w:type="dxa" w:w="50"/>
              <w:left w:type="dxa" w:w="80"/>
              <w:bottom w:type="dxa" w:w="50"/>
              <w:right w:type="dxa" w:w="80"/>
            </w:tcMar>
            <w:vAlign w:val="top"/>
          </w:tcPr>
          <w:p>
            <w:pPr>
              <w:spacing w:after="30"/>
            </w:pP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Within tolerance</w:t>
            </w:r>
          </w:p>
        </w:tc>
        <w:tc>
          <w:tcPr>
            <w:tcW w:type="dxa" w:w="1160"/>
            <w:tcMar>
              <w:top w:type="dxa" w:w="50"/>
              <w:left w:type="dxa" w:w="80"/>
              <w:bottom w:type="dxa" w:w="50"/>
              <w:right w:type="dxa" w:w="80"/>
            </w:tcMar>
            <w:vAlign w:val="top"/>
          </w:tcPr>
          <w:p>
            <w:pPr>
              <w:spacing w:after="30"/>
            </w:pPr>
          </w:p>
        </w:tc>
      </w:tr>
      <w:tr>
        <w:trPr>
          <w:tblHeader w:val="false"/>
        </w:trPr>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D1 / D2</w:t>
            </w:r>
          </w:p>
        </w:tc>
        <w:tc>
          <w:tcPr>
            <w:tcW w:type="dxa" w:w="2409"/>
            <w:tcMar>
              <w:top w:type="dxa" w:w="50"/>
              <w:left w:type="dxa" w:w="80"/>
              <w:bottom w:type="dxa" w:w="50"/>
              <w:right w:type="dxa" w:w="80"/>
            </w:tcMar>
            <w:vAlign w:val="top"/>
          </w:tcPr>
          <w:p>
            <w:pPr>
              <w:spacing w:after="30"/>
            </w:pPr>
            <w:r>
              <w:rPr>
                <w:rFonts w:ascii="Arial" w:cs="Arial" w:eastAsia="Arial" w:hAnsi="Arial"/>
                <w:sz w:val="17"/>
                <w:szCs w:val="17"/>
              </w:rPr>
              <w:t xml:space="preserve">Steer wheel / load roller diameter (mm)</w:t>
            </w:r>
          </w:p>
        </w:tc>
        <w:tc>
          <w:tcPr>
            <w:tcW w:type="dxa" w:w="1252"/>
            <w:tcMar>
              <w:top w:type="dxa" w:w="50"/>
              <w:left w:type="dxa" w:w="80"/>
              <w:bottom w:type="dxa" w:w="50"/>
              <w:right w:type="dxa" w:w="80"/>
            </w:tcMar>
            <w:vAlign w:val="top"/>
          </w:tcPr>
          <w:p>
            <w:pPr>
              <w:spacing w:after="30"/>
            </w:pPr>
          </w:p>
        </w:tc>
        <w:tc>
          <w:tcPr>
            <w:tcW w:type="dxa" w:w="1252"/>
            <w:tcMar>
              <w:top w:type="dxa" w:w="50"/>
              <w:left w:type="dxa" w:w="80"/>
              <w:bottom w:type="dxa" w:w="50"/>
              <w:right w:type="dxa" w:w="80"/>
            </w:tcMar>
            <w:vAlign w:val="top"/>
          </w:tcPr>
          <w:p>
            <w:pPr>
              <w:spacing w:after="30"/>
            </w:pPr>
          </w:p>
        </w:tc>
        <w:tc>
          <w:tcPr>
            <w:tcW w:type="dxa" w:w="1060"/>
            <w:tcMar>
              <w:top w:type="dxa" w:w="50"/>
              <w:left w:type="dxa" w:w="80"/>
              <w:bottom w:type="dxa" w:w="50"/>
              <w:right w:type="dxa" w:w="80"/>
            </w:tcMar>
            <w:vAlign w:val="top"/>
          </w:tcPr>
          <w:p>
            <w:pPr>
              <w:spacing w:after="30"/>
            </w:pP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Within tolerance</w:t>
            </w:r>
          </w:p>
        </w:tc>
        <w:tc>
          <w:tcPr>
            <w:tcW w:type="dxa" w:w="1160"/>
            <w:tcMar>
              <w:top w:type="dxa" w:w="50"/>
              <w:left w:type="dxa" w:w="80"/>
              <w:bottom w:type="dxa" w:w="50"/>
              <w:right w:type="dxa" w:w="80"/>
            </w:tcMar>
            <w:vAlign w:val="top"/>
          </w:tcPr>
          <w:p>
            <w:pPr>
              <w:spacing w:after="30"/>
            </w:pPr>
          </w:p>
        </w:tc>
      </w:tr>
      <w:tr>
        <w:trPr>
          <w:tblHeader w:val="false"/>
        </w:trPr>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2409"/>
            <w:tcMar>
              <w:top w:type="dxa" w:w="50"/>
              <w:left w:type="dxa" w:w="80"/>
              <w:bottom w:type="dxa" w:w="50"/>
              <w:right w:type="dxa" w:w="80"/>
            </w:tcMar>
            <w:vAlign w:val="top"/>
          </w:tcPr>
          <w:p>
            <w:pPr>
              <w:spacing w:after="30"/>
            </w:pPr>
            <w:r>
              <w:rPr>
                <w:rFonts w:ascii="Arial" w:cs="Arial" w:eastAsia="Arial" w:hAnsi="Arial"/>
                <w:sz w:val="17"/>
                <w:szCs w:val="17"/>
              </w:rPr>
              <w:t xml:space="preserve">Grip Ø / span (mm)</w:t>
            </w:r>
          </w:p>
        </w:tc>
        <w:tc>
          <w:tcPr>
            <w:tcW w:type="dxa" w:w="1252"/>
            <w:tcMar>
              <w:top w:type="dxa" w:w="50"/>
              <w:left w:type="dxa" w:w="80"/>
              <w:bottom w:type="dxa" w:w="50"/>
              <w:right w:type="dxa" w:w="80"/>
            </w:tcMar>
            <w:vAlign w:val="top"/>
          </w:tcPr>
          <w:p>
            <w:pPr>
              <w:spacing w:after="30"/>
            </w:pPr>
          </w:p>
        </w:tc>
        <w:tc>
          <w:tcPr>
            <w:tcW w:type="dxa" w:w="1252"/>
            <w:tcMar>
              <w:top w:type="dxa" w:w="50"/>
              <w:left w:type="dxa" w:w="80"/>
              <w:bottom w:type="dxa" w:w="50"/>
              <w:right w:type="dxa" w:w="80"/>
            </w:tcMar>
            <w:vAlign w:val="top"/>
          </w:tcPr>
          <w:p>
            <w:pPr>
              <w:spacing w:after="30"/>
            </w:pPr>
          </w:p>
        </w:tc>
        <w:tc>
          <w:tcPr>
            <w:tcW w:type="dxa" w:w="1060"/>
            <w:tcMar>
              <w:top w:type="dxa" w:w="50"/>
              <w:left w:type="dxa" w:w="80"/>
              <w:bottom w:type="dxa" w:w="50"/>
              <w:right w:type="dxa" w:w="80"/>
            </w:tcMar>
            <w:vAlign w:val="top"/>
          </w:tcPr>
          <w:p>
            <w:pPr>
              <w:spacing w:after="30"/>
            </w:pP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25–35 / ≥ 120</w:t>
            </w:r>
          </w:p>
        </w:tc>
        <w:tc>
          <w:tcPr>
            <w:tcW w:type="dxa" w:w="1160"/>
            <w:tcMar>
              <w:top w:type="dxa" w:w="50"/>
              <w:left w:type="dxa" w:w="80"/>
              <w:bottom w:type="dxa" w:w="50"/>
              <w:right w:type="dxa" w:w="80"/>
            </w:tcMar>
            <w:vAlign w:val="top"/>
          </w:tcPr>
          <w:p>
            <w:pPr>
              <w:spacing w:after="30"/>
            </w:pPr>
          </w:p>
        </w:tc>
      </w:tr>
      <w:tr>
        <w:trPr>
          <w:tblHeader w:val="false"/>
        </w:trPr>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2409"/>
            <w:tcMar>
              <w:top w:type="dxa" w:w="50"/>
              <w:left w:type="dxa" w:w="80"/>
              <w:bottom w:type="dxa" w:w="50"/>
              <w:right w:type="dxa" w:w="80"/>
            </w:tcMar>
            <w:vAlign w:val="top"/>
          </w:tcPr>
          <w:p>
            <w:pPr>
              <w:spacing w:after="30"/>
            </w:pPr>
            <w:r>
              <w:rPr>
                <w:rFonts w:ascii="Arial" w:cs="Arial" w:eastAsia="Arial" w:hAnsi="Arial"/>
                <w:sz w:val="17"/>
                <w:szCs w:val="17"/>
              </w:rPr>
              <w:t xml:space="preserve">Unladen mass (kg)</w:t>
            </w:r>
          </w:p>
        </w:tc>
        <w:tc>
          <w:tcPr>
            <w:tcW w:type="dxa" w:w="1252"/>
            <w:tcMar>
              <w:top w:type="dxa" w:w="50"/>
              <w:left w:type="dxa" w:w="80"/>
              <w:bottom w:type="dxa" w:w="50"/>
              <w:right w:type="dxa" w:w="80"/>
            </w:tcMar>
            <w:vAlign w:val="top"/>
          </w:tcPr>
          <w:p>
            <w:pPr>
              <w:spacing w:after="30"/>
            </w:pPr>
          </w:p>
        </w:tc>
        <w:tc>
          <w:tcPr>
            <w:tcW w:type="dxa" w:w="1252"/>
            <w:tcMar>
              <w:top w:type="dxa" w:w="50"/>
              <w:left w:type="dxa" w:w="80"/>
              <w:bottom w:type="dxa" w:w="50"/>
              <w:right w:type="dxa" w:w="80"/>
            </w:tcMar>
            <w:vAlign w:val="top"/>
          </w:tcPr>
          <w:p>
            <w:pPr>
              <w:spacing w:after="30"/>
            </w:pPr>
          </w:p>
        </w:tc>
        <w:tc>
          <w:tcPr>
            <w:tcW w:type="dxa" w:w="1060"/>
            <w:tcMar>
              <w:top w:type="dxa" w:w="50"/>
              <w:left w:type="dxa" w:w="80"/>
              <w:bottom w:type="dxa" w:w="50"/>
              <w:right w:type="dxa" w:w="80"/>
            </w:tcMar>
            <w:vAlign w:val="top"/>
          </w:tcPr>
          <w:p>
            <w:pPr>
              <w:spacing w:after="30"/>
            </w:pP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 5 %; matches data plate</w:t>
            </w:r>
          </w:p>
        </w:tc>
        <w:tc>
          <w:tcPr>
            <w:tcW w:type="dxa" w:w="1160"/>
            <w:tcMar>
              <w:top w:type="dxa" w:w="50"/>
              <w:left w:type="dxa" w:w="80"/>
              <w:bottom w:type="dxa" w:w="50"/>
              <w:right w:type="dxa" w:w="80"/>
            </w:tcMar>
            <w:vAlign w:val="top"/>
          </w:tcPr>
          <w:p>
            <w:pPr>
              <w:spacing w:after="30"/>
            </w:pPr>
          </w:p>
        </w:tc>
      </w:tr>
      <w:tr>
        <w:trPr>
          <w:tblHeader w:val="false"/>
        </w:trPr>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2409"/>
            <w:tcMar>
              <w:top w:type="dxa" w:w="50"/>
              <w:left w:type="dxa" w:w="80"/>
              <w:bottom w:type="dxa" w:w="50"/>
              <w:right w:type="dxa" w:w="80"/>
            </w:tcMar>
            <w:vAlign w:val="top"/>
          </w:tcPr>
          <w:p>
            <w:pPr>
              <w:spacing w:after="30"/>
            </w:pPr>
            <w:r>
              <w:rPr>
                <w:rFonts w:ascii="Arial" w:cs="Arial" w:eastAsia="Arial" w:hAnsi="Arial"/>
                <w:sz w:val="17"/>
                <w:szCs w:val="17"/>
              </w:rPr>
              <w:t xml:space="preserve">Packing dimensions (mm)</w:t>
            </w:r>
          </w:p>
        </w:tc>
        <w:tc>
          <w:tcPr>
            <w:tcW w:type="dxa" w:w="1252"/>
            <w:tcMar>
              <w:top w:type="dxa" w:w="50"/>
              <w:left w:type="dxa" w:w="80"/>
              <w:bottom w:type="dxa" w:w="50"/>
              <w:right w:type="dxa" w:w="80"/>
            </w:tcMar>
            <w:vAlign w:val="top"/>
          </w:tcPr>
          <w:p>
            <w:pPr>
              <w:spacing w:after="30"/>
            </w:pPr>
          </w:p>
        </w:tc>
        <w:tc>
          <w:tcPr>
            <w:tcW w:type="dxa" w:w="1252"/>
            <w:tcMar>
              <w:top w:type="dxa" w:w="50"/>
              <w:left w:type="dxa" w:w="80"/>
              <w:bottom w:type="dxa" w:w="50"/>
              <w:right w:type="dxa" w:w="80"/>
            </w:tcMar>
            <w:vAlign w:val="top"/>
          </w:tcPr>
          <w:p>
            <w:pPr>
              <w:spacing w:after="30"/>
            </w:pPr>
          </w:p>
        </w:tc>
        <w:tc>
          <w:tcPr>
            <w:tcW w:type="dxa" w:w="1060"/>
            <w:tcMar>
              <w:top w:type="dxa" w:w="50"/>
              <w:left w:type="dxa" w:w="80"/>
              <w:bottom w:type="dxa" w:w="50"/>
              <w:right w:type="dxa" w:w="80"/>
            </w:tcMar>
            <w:vAlign w:val="top"/>
          </w:tcPr>
          <w:p>
            <w:pPr>
              <w:spacing w:after="30"/>
            </w:pP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Conform to package claim</w:t>
            </w:r>
          </w:p>
        </w:tc>
        <w:tc>
          <w:tcPr>
            <w:tcW w:type="dxa" w:w="1160"/>
            <w:tcMar>
              <w:top w:type="dxa" w:w="50"/>
              <w:left w:type="dxa" w:w="80"/>
              <w:bottom w:type="dxa" w:w="50"/>
              <w:right w:type="dxa" w:w="80"/>
            </w:tcMar>
            <w:vAlign w:val="top"/>
          </w:tcPr>
          <w:p>
            <w:pPr>
              <w:spacing w:after="30"/>
            </w:pPr>
          </w:p>
        </w:tc>
      </w:tr>
      <w:tr>
        <w:trPr>
          <w:tblHeader w:val="false"/>
        </w:trPr>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2409"/>
            <w:tcMar>
              <w:top w:type="dxa" w:w="50"/>
              <w:left w:type="dxa" w:w="80"/>
              <w:bottom w:type="dxa" w:w="50"/>
              <w:right w:type="dxa" w:w="80"/>
            </w:tcMar>
            <w:vAlign w:val="top"/>
          </w:tcPr>
          <w:p>
            <w:pPr>
              <w:spacing w:after="30"/>
            </w:pPr>
            <w:r>
              <w:rPr>
                <w:rFonts w:ascii="Arial" w:cs="Arial" w:eastAsia="Arial" w:hAnsi="Arial"/>
                <w:sz w:val="17"/>
                <w:szCs w:val="17"/>
              </w:rPr>
              <w:t xml:space="preserve">Packing gross weight (kg)</w:t>
            </w:r>
          </w:p>
        </w:tc>
        <w:tc>
          <w:tcPr>
            <w:tcW w:type="dxa" w:w="1252"/>
            <w:tcMar>
              <w:top w:type="dxa" w:w="50"/>
              <w:left w:type="dxa" w:w="80"/>
              <w:bottom w:type="dxa" w:w="50"/>
              <w:right w:type="dxa" w:w="80"/>
            </w:tcMar>
            <w:vAlign w:val="top"/>
          </w:tcPr>
          <w:p>
            <w:pPr>
              <w:spacing w:after="30"/>
            </w:pPr>
          </w:p>
        </w:tc>
        <w:tc>
          <w:tcPr>
            <w:tcW w:type="dxa" w:w="1252"/>
            <w:tcMar>
              <w:top w:type="dxa" w:w="50"/>
              <w:left w:type="dxa" w:w="80"/>
              <w:bottom w:type="dxa" w:w="50"/>
              <w:right w:type="dxa" w:w="80"/>
            </w:tcMar>
            <w:vAlign w:val="top"/>
          </w:tcPr>
          <w:p>
            <w:pPr>
              <w:spacing w:after="30"/>
            </w:pPr>
          </w:p>
        </w:tc>
        <w:tc>
          <w:tcPr>
            <w:tcW w:type="dxa" w:w="1060"/>
            <w:tcMar>
              <w:top w:type="dxa" w:w="50"/>
              <w:left w:type="dxa" w:w="80"/>
              <w:bottom w:type="dxa" w:w="50"/>
              <w:right w:type="dxa" w:w="80"/>
            </w:tcMar>
            <w:vAlign w:val="top"/>
          </w:tcPr>
          <w:p>
            <w:pPr>
              <w:spacing w:after="30"/>
            </w:pP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 5 %</w:t>
            </w:r>
          </w:p>
        </w:tc>
        <w:tc>
          <w:tcPr>
            <w:tcW w:type="dxa" w:w="1160"/>
            <w:tcMar>
              <w:top w:type="dxa" w:w="50"/>
              <w:left w:type="dxa" w:w="80"/>
              <w:bottom w:type="dxa" w:w="50"/>
              <w:right w:type="dxa" w:w="80"/>
            </w:tcMar>
            <w:vAlign w:val="top"/>
          </w:tcPr>
          <w:p>
            <w:pPr>
              <w:spacing w:after="30"/>
            </w:pPr>
          </w:p>
        </w:tc>
      </w:tr>
      <w:tr>
        <w:trPr>
          <w:tblHeader w:val="false"/>
        </w:trPr>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2409"/>
            <w:tcMar>
              <w:top w:type="dxa" w:w="50"/>
              <w:left w:type="dxa" w:w="80"/>
              <w:bottom w:type="dxa" w:w="50"/>
              <w:right w:type="dxa" w:w="80"/>
            </w:tcMar>
            <w:vAlign w:val="top"/>
          </w:tcPr>
          <w:p>
            <w:pPr>
              <w:spacing w:after="30"/>
            </w:pPr>
            <w:r>
              <w:rPr>
                <w:rFonts w:ascii="Arial" w:cs="Arial" w:eastAsia="Arial" w:hAnsi="Arial"/>
                <w:sz w:val="17"/>
                <w:szCs w:val="17"/>
              </w:rPr>
              <w:t xml:space="preserve">Barcode</w:t>
            </w:r>
          </w:p>
        </w:tc>
        <w:tc>
          <w:tcPr>
            <w:tcW w:type="dxa" w:w="1252"/>
            <w:tcMar>
              <w:top w:type="dxa" w:w="50"/>
              <w:left w:type="dxa" w:w="80"/>
              <w:bottom w:type="dxa" w:w="50"/>
              <w:right w:type="dxa" w:w="80"/>
            </w:tcMar>
            <w:vAlign w:val="top"/>
          </w:tcPr>
          <w:p>
            <w:pPr>
              <w:spacing w:after="30"/>
            </w:pPr>
          </w:p>
        </w:tc>
        <w:tc>
          <w:tcPr>
            <w:tcW w:type="dxa" w:w="1252"/>
            <w:tcMar>
              <w:top w:type="dxa" w:w="50"/>
              <w:left w:type="dxa" w:w="80"/>
              <w:bottom w:type="dxa" w:w="50"/>
              <w:right w:type="dxa" w:w="80"/>
            </w:tcMar>
            <w:vAlign w:val="top"/>
          </w:tcPr>
          <w:p>
            <w:pPr>
              <w:spacing w:after="30"/>
            </w:pPr>
          </w:p>
        </w:tc>
        <w:tc>
          <w:tcPr>
            <w:tcW w:type="dxa" w:w="1060"/>
            <w:tcMar>
              <w:top w:type="dxa" w:w="50"/>
              <w:left w:type="dxa" w:w="80"/>
              <w:bottom w:type="dxa" w:w="50"/>
              <w:right w:type="dxa" w:w="80"/>
            </w:tcMar>
            <w:vAlign w:val="top"/>
          </w:tcPr>
          <w:p>
            <w:pPr>
              <w:spacing w:after="30"/>
            </w:pP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Correct with spec &amp; print</w:t>
            </w:r>
          </w:p>
        </w:tc>
        <w:tc>
          <w:tcPr>
            <w:tcW w:type="dxa" w:w="1160"/>
            <w:tcMar>
              <w:top w:type="dxa" w:w="50"/>
              <w:left w:type="dxa" w:w="80"/>
              <w:bottom w:type="dxa" w:w="50"/>
              <w:right w:type="dxa" w:w="80"/>
            </w:tcMar>
            <w:vAlign w:val="top"/>
          </w:tcPr>
          <w:p>
            <w:pPr>
              <w:spacing w:after="30"/>
            </w:pPr>
          </w:p>
        </w:tc>
      </w:tr>
    </w:tbl>
    <w:p>
      <w:pPr>
        <w:spacing w:after="80"/>
      </w:pPr>
    </w:p>
    <w:p>
      <w:pPr>
        <w:pStyle w:val="Heading1"/>
        <w:spacing w:after="160" w:before="240"/>
      </w:pPr>
      <w:r>
        <w:rPr>
          <w:rFonts w:ascii="Arial" w:cs="Arial" w:eastAsia="Arial" w:hAnsi="Arial"/>
          <w:b/>
          <w:bCs/>
          <w:color w:val="1F3864"/>
          <w:sz w:val="28"/>
          <w:szCs w:val="28"/>
        </w:rPr>
        <w:t xml:space="preserve">Annex D — Packaging Disposal Data (PPWR)</w:t>
      </w:r>
    </w:p>
    <w:p>
      <w:pPr>
        <w:spacing w:after="120"/>
      </w:pPr>
      <w:r>
        <w:rPr>
          <w:rFonts w:ascii="Arial" w:cs="Arial" w:eastAsia="Arial" w:hAnsi="Arial"/>
          <w:sz w:val="20"/>
          <w:szCs w:val="20"/>
        </w:rPr>
        <w:t xml:space="preserve">Required for every SKU: ☐ N/A ☐ Pending ☐ Yes. Weight in grams per material.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1156"/>
        <w:gridCol w:w="1156"/>
        <w:gridCol w:w="1349"/>
        <w:gridCol w:w="1156"/>
        <w:gridCol w:w="963"/>
        <w:gridCol w:w="963"/>
        <w:gridCol w:w="1161"/>
      </w:tblGrid>
      <w:tr>
        <w:trPr>
          <w:tblHeader/>
        </w:trPr>
        <w:tc>
          <w:tcPr>
            <w:tcW w:type="dxa" w:w="1734"/>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Level</w:t>
            </w:r>
          </w:p>
        </w:tc>
        <w:tc>
          <w:tcPr>
            <w:tcW w:type="dxa" w:w="1156"/>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Units / pack</w:t>
            </w:r>
          </w:p>
        </w:tc>
        <w:tc>
          <w:tcPr>
            <w:tcW w:type="dxa" w:w="1156"/>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Paper, cardboard</w:t>
            </w:r>
          </w:p>
        </w:tc>
        <w:tc>
          <w:tcPr>
            <w:tcW w:type="dxa" w:w="1349"/>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Plastic foil / bags</w:t>
            </w:r>
          </w:p>
        </w:tc>
        <w:tc>
          <w:tcPr>
            <w:tcW w:type="dxa" w:w="1156"/>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Plastic straps</w:t>
            </w:r>
          </w:p>
        </w:tc>
        <w:tc>
          <w:tcPr>
            <w:tcW w:type="dxa" w:w="963"/>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Metal</w:t>
            </w:r>
          </w:p>
        </w:tc>
        <w:tc>
          <w:tcPr>
            <w:tcW w:type="dxa" w:w="963"/>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EPS</w:t>
            </w:r>
          </w:p>
        </w:tc>
        <w:tc>
          <w:tcPr>
            <w:tcW w:type="dxa" w:w="1161"/>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Wood</w:t>
            </w:r>
          </w:p>
        </w:tc>
      </w:tr>
      <w:tr>
        <w:trPr>
          <w:tblHeader w:val="false"/>
        </w:trPr>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Primary (sales unit)</w:t>
            </w:r>
          </w:p>
        </w:tc>
        <w:tc>
          <w:tcPr>
            <w:tcW w:type="dxa" w:w="1156"/>
            <w:tcMar>
              <w:top w:type="dxa" w:w="50"/>
              <w:left w:type="dxa" w:w="80"/>
              <w:bottom w:type="dxa" w:w="50"/>
              <w:right w:type="dxa" w:w="80"/>
            </w:tcMar>
            <w:vAlign w:val="top"/>
          </w:tcPr>
          <w:p>
            <w:pPr>
              <w:spacing w:after="30"/>
            </w:pPr>
          </w:p>
        </w:tc>
        <w:tc>
          <w:tcPr>
            <w:tcW w:type="dxa" w:w="1156"/>
            <w:tcMar>
              <w:top w:type="dxa" w:w="50"/>
              <w:left w:type="dxa" w:w="80"/>
              <w:bottom w:type="dxa" w:w="50"/>
              <w:right w:type="dxa" w:w="80"/>
            </w:tcMar>
            <w:vAlign w:val="top"/>
          </w:tcPr>
          <w:p>
            <w:pPr>
              <w:spacing w:after="30"/>
            </w:pPr>
          </w:p>
        </w:tc>
        <w:tc>
          <w:tcPr>
            <w:tcW w:type="dxa" w:w="1349"/>
            <w:tcMar>
              <w:top w:type="dxa" w:w="50"/>
              <w:left w:type="dxa" w:w="80"/>
              <w:bottom w:type="dxa" w:w="50"/>
              <w:right w:type="dxa" w:w="80"/>
            </w:tcMar>
            <w:vAlign w:val="top"/>
          </w:tcPr>
          <w:p>
            <w:pPr>
              <w:spacing w:after="30"/>
            </w:pPr>
          </w:p>
        </w:tc>
        <w:tc>
          <w:tcPr>
            <w:tcW w:type="dxa" w:w="1156"/>
            <w:tcMar>
              <w:top w:type="dxa" w:w="50"/>
              <w:left w:type="dxa" w:w="80"/>
              <w:bottom w:type="dxa" w:w="50"/>
              <w:right w:type="dxa" w:w="80"/>
            </w:tcMar>
            <w:vAlign w:val="top"/>
          </w:tcPr>
          <w:p>
            <w:pPr>
              <w:spacing w:after="30"/>
            </w:pPr>
          </w:p>
        </w:tc>
        <w:tc>
          <w:tcPr>
            <w:tcW w:type="dxa" w:w="963"/>
            <w:tcMar>
              <w:top w:type="dxa" w:w="50"/>
              <w:left w:type="dxa" w:w="80"/>
              <w:bottom w:type="dxa" w:w="50"/>
              <w:right w:type="dxa" w:w="80"/>
            </w:tcMar>
            <w:vAlign w:val="top"/>
          </w:tcPr>
          <w:p>
            <w:pPr>
              <w:spacing w:after="30"/>
            </w:pPr>
          </w:p>
        </w:tc>
        <w:tc>
          <w:tcPr>
            <w:tcW w:type="dxa" w:w="963"/>
            <w:tcMar>
              <w:top w:type="dxa" w:w="50"/>
              <w:left w:type="dxa" w:w="80"/>
              <w:bottom w:type="dxa" w:w="50"/>
              <w:right w:type="dxa" w:w="80"/>
            </w:tcMar>
            <w:vAlign w:val="top"/>
          </w:tcPr>
          <w:p>
            <w:pPr>
              <w:spacing w:after="30"/>
            </w:pPr>
          </w:p>
        </w:tc>
        <w:tc>
          <w:tcPr>
            <w:tcW w:type="dxa" w:w="1161"/>
            <w:tcMar>
              <w:top w:type="dxa" w:w="50"/>
              <w:left w:type="dxa" w:w="80"/>
              <w:bottom w:type="dxa" w:w="50"/>
              <w:right w:type="dxa" w:w="80"/>
            </w:tcMar>
            <w:vAlign w:val="top"/>
          </w:tcPr>
          <w:p>
            <w:pPr>
              <w:spacing w:after="30"/>
            </w:pPr>
          </w:p>
        </w:tc>
      </w:tr>
      <w:tr>
        <w:trPr>
          <w:tblHeader w:val="false"/>
        </w:trPr>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Transport unit</w:t>
            </w:r>
          </w:p>
        </w:tc>
        <w:tc>
          <w:tcPr>
            <w:tcW w:type="dxa" w:w="1156"/>
            <w:tcMar>
              <w:top w:type="dxa" w:w="50"/>
              <w:left w:type="dxa" w:w="80"/>
              <w:bottom w:type="dxa" w:w="50"/>
              <w:right w:type="dxa" w:w="80"/>
            </w:tcMar>
            <w:vAlign w:val="top"/>
          </w:tcPr>
          <w:p>
            <w:pPr>
              <w:spacing w:after="30"/>
            </w:pPr>
          </w:p>
        </w:tc>
        <w:tc>
          <w:tcPr>
            <w:tcW w:type="dxa" w:w="1156"/>
            <w:tcMar>
              <w:top w:type="dxa" w:w="50"/>
              <w:left w:type="dxa" w:w="80"/>
              <w:bottom w:type="dxa" w:w="50"/>
              <w:right w:type="dxa" w:w="80"/>
            </w:tcMar>
            <w:vAlign w:val="top"/>
          </w:tcPr>
          <w:p>
            <w:pPr>
              <w:spacing w:after="30"/>
            </w:pPr>
          </w:p>
        </w:tc>
        <w:tc>
          <w:tcPr>
            <w:tcW w:type="dxa" w:w="1349"/>
            <w:tcMar>
              <w:top w:type="dxa" w:w="50"/>
              <w:left w:type="dxa" w:w="80"/>
              <w:bottom w:type="dxa" w:w="50"/>
              <w:right w:type="dxa" w:w="80"/>
            </w:tcMar>
            <w:vAlign w:val="top"/>
          </w:tcPr>
          <w:p>
            <w:pPr>
              <w:spacing w:after="30"/>
            </w:pPr>
          </w:p>
        </w:tc>
        <w:tc>
          <w:tcPr>
            <w:tcW w:type="dxa" w:w="1156"/>
            <w:tcMar>
              <w:top w:type="dxa" w:w="50"/>
              <w:left w:type="dxa" w:w="80"/>
              <w:bottom w:type="dxa" w:w="50"/>
              <w:right w:type="dxa" w:w="80"/>
            </w:tcMar>
            <w:vAlign w:val="top"/>
          </w:tcPr>
          <w:p>
            <w:pPr>
              <w:spacing w:after="30"/>
            </w:pPr>
          </w:p>
        </w:tc>
        <w:tc>
          <w:tcPr>
            <w:tcW w:type="dxa" w:w="963"/>
            <w:tcMar>
              <w:top w:type="dxa" w:w="50"/>
              <w:left w:type="dxa" w:w="80"/>
              <w:bottom w:type="dxa" w:w="50"/>
              <w:right w:type="dxa" w:w="80"/>
            </w:tcMar>
            <w:vAlign w:val="top"/>
          </w:tcPr>
          <w:p>
            <w:pPr>
              <w:spacing w:after="30"/>
            </w:pPr>
          </w:p>
        </w:tc>
        <w:tc>
          <w:tcPr>
            <w:tcW w:type="dxa" w:w="963"/>
            <w:tcMar>
              <w:top w:type="dxa" w:w="50"/>
              <w:left w:type="dxa" w:w="80"/>
              <w:bottom w:type="dxa" w:w="50"/>
              <w:right w:type="dxa" w:w="80"/>
            </w:tcMar>
            <w:vAlign w:val="top"/>
          </w:tcPr>
          <w:p>
            <w:pPr>
              <w:spacing w:after="30"/>
            </w:pPr>
          </w:p>
        </w:tc>
        <w:tc>
          <w:tcPr>
            <w:tcW w:type="dxa" w:w="1161"/>
            <w:tcMar>
              <w:top w:type="dxa" w:w="50"/>
              <w:left w:type="dxa" w:w="80"/>
              <w:bottom w:type="dxa" w:w="50"/>
              <w:right w:type="dxa" w:w="80"/>
            </w:tcMar>
            <w:vAlign w:val="top"/>
          </w:tcPr>
          <w:p>
            <w:pPr>
              <w:spacing w:after="30"/>
            </w:pPr>
          </w:p>
        </w:tc>
      </w:tr>
    </w:tbl>
    <w:p>
      <w:pPr>
        <w:spacing w:after="80"/>
      </w:pPr>
    </w:p>
    <w:p>
      <w:pPr>
        <w:spacing w:after="120"/>
      </w:pPr>
      <w:r>
        <w:rPr>
          <w:rFonts w:ascii="Arial" w:cs="Arial" w:eastAsia="Arial" w:hAnsi="Arial"/>
          <w:sz w:val="20"/>
          <w:szCs w:val="20"/>
        </w:rPr>
        <w:t xml:space="preserve">Batteries / lamps / EEE table: </w:t>
      </w:r>
      <w:r>
        <w:rPr>
          <w:rFonts w:ascii="Arial" w:cs="Arial" w:eastAsia="Arial" w:hAnsi="Arial"/>
          <w:b/>
          <w:bCs/>
          <w:sz w:val="20"/>
          <w:szCs w:val="20"/>
        </w:rPr>
        <w:t xml:space="preserve">N/A</w:t>
      </w:r>
      <w:r>
        <w:rPr>
          <w:rFonts w:ascii="Arial" w:cs="Arial" w:eastAsia="Arial" w:hAnsi="Arial"/>
          <w:sz w:val="20"/>
          <w:szCs w:val="20"/>
        </w:rPr>
        <w:t xml:space="preserve"> (manual truck without electrical equipment). Re-assess if a scale or electric lift variant is added.</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A.R.E.N.A. Vietnam — Controlled when approved · Page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of </w:t>
    </w:r>
    <w:r>
      <w:rPr>
        <w:rFonts w:ascii="Arial" w:cs="Arial" w:eastAsia="Arial" w:hAnsi="Arial"/>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6"/>
        <w:szCs w:val="16"/>
      </w:rPr>
      <w:t xml:space="preserve">MCG-DIY-HT-PT-001 v1.1 · Manual Hand Pallet Truck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3864"/>
      <w:sz w:val="28"/>
      <w:szCs w:val="28"/>
    </w:rPr>
  </w:style>
  <w:style w:type="paragraph" w:styleId="Heading2">
    <w:name w:val="Heading 2"/>
    <w:basedOn w:val="Normal"/>
    <w:next w:val="Normal"/>
    <w:qFormat/>
    <w:pPr>
      <w:outlineLvl w:val="1"/>
    </w:pPr>
    <w:rPr>
      <w:rFonts w:ascii="Arial" w:cs="Arial" w:eastAsia="Arial" w:hAnsi="Arial"/>
      <w:b/>
      <w:bCs/>
      <w:color w:val="1F3864"/>
      <w:sz w:val="24"/>
      <w:szCs w:val="24"/>
    </w:rPr>
  </w:style>
  <w:style w:type="paragraph" w:styleId="Heading3">
    <w:name w:val="Heading 3"/>
    <w:basedOn w:val="Normal"/>
    <w:next w:val="Normal"/>
    <w:qFormat/>
    <w:pPr>
      <w:outlineLvl w:val="2"/>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MCG Manual Hand Pallet Truck</dc:title>
  <dc:creator>A.R.E.N.A. Vietnam QA</dc:creator>
  <cp:lastModifiedBy>Un-named</cp:lastModifiedBy>
  <cp:revision>1</cp:revision>
  <dcterms:created xsi:type="dcterms:W3CDTF">2026-10-14T19:46:45.780Z</dcterms:created>
  <dcterms:modified xsi:type="dcterms:W3CDTF">2026-10-14T19:46:45.781Z</dcterms:modified>
</cp:coreProperties>
</file>

<file path=docProps/custom.xml><?xml version="1.0" encoding="utf-8"?>
<Properties xmlns="http://schemas.openxmlformats.org/officeDocument/2006/custom-properties" xmlns:vt="http://schemas.openxmlformats.org/officeDocument/2006/docPropsVTypes"/>
</file>