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C9A227"/>
          <w:spacing w:val="60"/>
          <w:sz w:val="24"/>
          <w:szCs w:val="24"/>
        </w:rPr>
        <w:t xml:space="preserve">A.R.E.N.A. VIETNAM</w:t>
      </w:r>
    </w:p>
    <w:p>
      <w:pPr>
        <w:pBdr>
          <w:bottom w:val="single" w:color="1F3864" w:sz="12" w:space="6"/>
        </w:pBdr>
        <w:spacing w:after="240"/>
      </w:pPr>
      <w:r>
        <w:rPr>
          <w:b/>
          <w:bCs/>
          <w:color w:val="1F3864"/>
          <w:sz w:val="52"/>
          <w:szCs w:val="52"/>
        </w:rPr>
        <w:t xml:space="preserve">Quality Specialist (QS) Onboarding Training Manual</w:t>
      </w:r>
    </w:p>
    <w:p>
      <w:pPr>
        <w:spacing w:after="100"/>
      </w:pPr>
      <w:r>
        <w:rPr>
          <w:color w:val="595959"/>
          <w:sz w:val="26"/>
          <w:szCs w:val="26"/>
        </w:rPr>
        <w:t xml:space="preserve">Quality &amp; Product Compliance — GARDEN · DIY · DECO · AUTO · BUILDING</w:t>
      </w:r>
    </w:p>
    <w:p>
      <w:pPr>
        <w:spacing w:after="100"/>
      </w:pPr>
      <w:r>
        <w:rPr>
          <w:color w:val="595959"/>
          <w:sz w:val="22"/>
          <w:szCs w:val="22"/>
        </w:rPr>
        <w:t xml:space="preserve">Target markets: EU-27 · EEA-3 (IS, LI, NO) · Switzerland · Canada · United States</w:t>
      </w:r>
    </w:p>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Document no.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ARENA-VN-QA-TRN-001 [TBC]</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Revision</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00 — first issue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Issue date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 October 2026</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Document owner</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Compliance &amp; Quality Assurance Director (CQAD)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Audience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Newly appointed Quality Specialists (QS); refresher for existing QC/QA staff</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b/>
                <w:bCs/>
                <w:sz w:val="18"/>
                <w:szCs w:val="18"/>
              </w:rPr>
              <w:t xml:space="preserve">Status</w:t>
            </w:r>
          </w:p>
        </w:tc>
        <w:tc>
          <w:tcPr>
            <w:tcW w:type="dxa" w:w="7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DRAFT FOR APPROVAL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b/>
                <w:bCs/>
                <w:sz w:val="18"/>
                <w:szCs w:val="18"/>
              </w:rPr>
              <w:t xml:space="preserve">Regulatory baseline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Legislation as known at 15 Oct 2026 — items flagged ⚑ VERIFY are subject to recent amendment or pending acts</w:t>
            </w:r>
          </w:p>
        </w:tc>
      </w:tr>
    </w:tbl>
    <w:p>
      <w:pPr>
        <w:spacing w:after="60"/>
      </w:pPr>
    </w:p>
    <w:p>
      <w:r>
        <w:br w:type="page"/>
      </w:r>
    </w:p>
    <w:p>
      <w:pPr>
        <w:pStyle w:val="Heading2"/>
      </w:pPr>
      <w: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38"/>
        <w:gridCol w:w="180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Signature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Date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Prepared by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Reviewed by (QA Manager)</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[TBC]</w:t>
            </w:r>
          </w:p>
        </w:tc>
        <w:tc>
          <w:tcPr>
            <w:tcW w:type="dxa" w:w="2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Approved by (CQAD)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Lybachbill</w:t>
            </w:r>
          </w:p>
        </w:tc>
        <w:tc>
          <w:tcPr>
            <w:tcW w:type="dxa" w:w="2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638"/>
        <w:gridCol w:w="18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Rev.</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Description of change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Author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2026-10-15</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First issue. Includes dedicated modules for Batteries (EU) 2023/1542, PPE (EU) 2016/425 and CPR (EU) 2024/3110.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 office</w:t>
            </w:r>
          </w:p>
        </w:tc>
      </w:tr>
    </w:tbl>
    <w:p>
      <w:pPr>
        <w:spacing w:after="60"/>
      </w:pP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Purpose, scope and how to use this manual</w:t>
      </w:r>
    </w:p>
    <w:p>
      <w:pPr>
        <w:pStyle w:val="Heading2"/>
      </w:pPr>
      <w:r>
        <w:t xml:space="preserve">1.1 Purpose</w:t>
      </w:r>
    </w:p>
    <w:p>
      <w:pPr>
        <w:spacing w:after="100"/>
      </w:pPr>
      <w:r>
        <w:t xml:space="preserve">This manual gives a newly appointed Quality Specialist (QS) the knowledge, process discipline and evidence standards required to secure product quality and regulatory compliance for goods sourced by A.R.E.N.A. Vietnam on behalf of its Allies. On completion, the QS must be able to work independently on standard (non-high-risk) projects and to recognise when to escalate to the CQAD.</w:t>
      </w:r>
    </w:p>
    <w:p>
      <w:pPr>
        <w:pStyle w:val="Heading2"/>
      </w:pPr>
      <w:r>
        <w:t xml:space="preserve">1.2 Scope</w:t>
      </w:r>
    </w:p>
    <w:p>
      <w:pPr>
        <w:pStyle w:val="ListParagraph"/>
        <w:numPr>
          <w:ilvl w:val="0"/>
          <w:numId w:val="2"/>
        </w:numPr>
        <w:spacing w:after="60"/>
      </w:pPr>
      <w:r>
        <w:t xml:space="preserve"/>
      </w:r>
      <w:r>
        <w:rPr>
          <w:b/>
          <w:bCs/>
        </w:rPr>
        <w:t xml:space="preserve">Product categories:</w:t>
      </w:r>
      <w:r>
        <w:t xml:space="preserve"> GARDEN, DIY, DECO, AUTO, BUILDING — including powered tools, battery products, PPE, construction products, decorative and furniture items, and car accessories.</w:t>
      </w:r>
    </w:p>
    <w:p>
      <w:pPr>
        <w:pStyle w:val="ListParagraph"/>
        <w:numPr>
          <w:ilvl w:val="0"/>
          <w:numId w:val="2"/>
        </w:numPr>
        <w:spacing w:after="60"/>
      </w:pPr>
      <w:r>
        <w:t xml:space="preserve"/>
      </w:r>
      <w:r>
        <w:rPr>
          <w:b/>
          <w:bCs/>
        </w:rPr>
        <w:t xml:space="preserve">Markets:</w:t>
      </w:r>
      <w:r>
        <w:t xml:space="preserve"> EU-27, EEA-3 (Iceland, Liechtenstein, Norway), Switzerland, Canada, United States.</w:t>
      </w:r>
    </w:p>
    <w:p>
      <w:pPr>
        <w:pStyle w:val="ListParagraph"/>
        <w:numPr>
          <w:ilvl w:val="0"/>
          <w:numId w:val="2"/>
        </w:numPr>
        <w:spacing w:after="60"/>
      </w:pPr>
      <w:r>
        <w:t xml:space="preserve"/>
      </w:r>
      <w:r>
        <w:rPr>
          <w:b/>
          <w:bCs/>
        </w:rPr>
        <w:t xml:space="preserve">Lifecycle:</w:t>
      </w:r>
      <w:r>
        <w:t xml:space="preserve"> from RFx and supplier selection through development, mass production, shipment and post-market follow-up.</w:t>
      </w:r>
    </w:p>
    <w:p>
      <w:pPr>
        <w:pStyle w:val="ListParagraph"/>
        <w:numPr>
          <w:ilvl w:val="0"/>
          <w:numId w:val="2"/>
        </w:numPr>
        <w:spacing w:after="60"/>
      </w:pPr>
      <w:r>
        <w:t xml:space="preserve"/>
      </w:r>
      <w:r>
        <w:rPr>
          <w:b/>
          <w:bCs/>
        </w:rPr>
        <w:t xml:space="preserve">Out of scope:</w:t>
      </w:r>
      <w:r>
        <w:t xml:space="preserve"> medical devices, food, cosmetics, pharmaceuticals, vehicles and their type-approved components (e-mark/UNECE parts are referenced only for awareness).</w:t>
      </w:r>
    </w:p>
    <w:p>
      <w:pPr>
        <w:pStyle w:val="Heading2"/>
      </w:pPr>
      <w:r>
        <w:t xml:space="preserve">1.3 Training programme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700"/>
        <w:gridCol w:w="900"/>
        <w:gridCol w:w="18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Module</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Content (chapter)</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Method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Hours</w:t>
            </w:r>
          </w:p>
        </w:tc>
        <w:tc>
          <w:tcPr>
            <w:tcW w:type="dxa" w:w="1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Assessment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Role, organisation, RACI (§2)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Briefing with CQAD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M2</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End-to-end Q&amp;C process (§3)</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Classroom + live project walk-through</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Quiz Part 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horizontal &amp; product legislation (§4.1–4.13)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Classroom + case studies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16</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Quiz Part B</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M4</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Battery, PPE and CPR deep-dives (§4.6–4.8)</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Classroom + document review exercise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Practical P2, P3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Switzerland, US, Canada (§4.14–4.16)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Classroom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Quiz Part C</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M6</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Technical documents &amp; validation (§5)</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Desk exercise on real files</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Practical P1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Inspections, audits, golden samples (§6)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Shadowing 3 inspections + 1 audit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24</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Practical P4</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M8</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Non-conformity, RCA, CAPA, 8D (§7)</w:t>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Workshop</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Practical P5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 management, records (§8–9)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Desk exercise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Total</w:t>
            </w:r>
            <w:r>
              <w:rPr>
                <w:sz w:val="18"/>
                <w:szCs w:val="18"/>
              </w:rPr>
              <w:t xml:space="preserve"/>
            </w:r>
          </w:p>
        </w:tc>
        <w:tc>
          <w:tcPr>
            <w:tcW w:type="dxa" w:w="2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71</w:t>
            </w:r>
            <w:r>
              <w:rPr>
                <w:sz w:val="18"/>
                <w:szCs w:val="18"/>
              </w:rPr>
              <w:t xml:space="preserve"/>
            </w:r>
          </w:p>
        </w:tc>
        <w:tc>
          <w:tcPr>
            <w:tcW w:type="dxa" w:w="18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Final sign-off (§11)</w:t>
            </w:r>
          </w:p>
        </w:tc>
      </w:tr>
    </w:tbl>
    <w:p>
      <w:pPr>
        <w:spacing w:after="60"/>
      </w:pPr>
    </w:p>
    <w:p>
      <w:pPr>
        <w:pStyle w:val="Heading2"/>
      </w:pPr>
      <w:r>
        <w:t xml:space="preserve">1.4 Conventions</w:t>
      </w:r>
    </w:p>
    <w:p>
      <w:pPr>
        <w:pStyle w:val="ListParagraph"/>
        <w:numPr>
          <w:ilvl w:val="0"/>
          <w:numId w:val="2"/>
        </w:numPr>
        <w:spacing w:after="60"/>
      </w:pPr>
      <w:r>
        <w:t xml:space="preserve"/>
      </w:r>
      <w:r>
        <w:rPr>
          <w:b/>
          <w:bCs/>
        </w:rPr>
        <w:t xml:space="preserve">Must / shall</w:t>
      </w:r>
      <w:r>
        <w:t xml:space="preserve"> — mandatory internal requirement or legal obligation. </w:t>
      </w:r>
      <w:r>
        <w:rPr>
          <w:b/>
          <w:bCs/>
        </w:rPr>
        <w:t xml:space="preserve">Should</w:t>
      </w:r>
      <w:r>
        <w:t xml:space="preserve"> — recommended good practice.</w:t>
      </w:r>
    </w:p>
    <w:p>
      <w:pPr>
        <w:pStyle w:val="ListParagraph"/>
        <w:numPr>
          <w:ilvl w:val="0"/>
          <w:numId w:val="2"/>
        </w:numPr>
        <w:spacing w:after="60"/>
      </w:pPr>
      <w:r>
        <w:t xml:space="preserve"/>
      </w:r>
      <w:r>
        <w:rPr>
          <w:b/>
          <w:bCs/>
        </w:rPr>
        <w:t xml:space="preserve">⚑ VERIFY</w:t>
      </w:r>
      <w:r>
        <w:t xml:space="preserve"> — date or requirement recently amended (e.g. EU Omnibus “stop-the-clock” acts) or dependent on pending implementing/delegated acts. Always check the current consolidated text on EUR-Lex before relying on it in a customer deliverable.</w:t>
      </w:r>
    </w:p>
    <w:p>
      <w:pPr>
        <w:pStyle w:val="ListParagraph"/>
        <w:numPr>
          <w:ilvl w:val="0"/>
          <w:numId w:val="2"/>
        </w:numPr>
        <w:spacing w:after="60"/>
      </w:pPr>
      <w:r>
        <w:t xml:space="preserve"/>
      </w:r>
      <w:r>
        <w:rPr>
          <w:b/>
          <w:bCs/>
        </w:rPr>
        <w:t xml:space="preserve">[TBC]</w:t>
      </w:r>
      <w:r>
        <w:t xml:space="preserve"> — internal reference (document number, system, person) to be completed by the QA office.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Golden rule  </w:t>
            </w:r>
            <w:r>
              <w:rPr>
                <w:sz w:val="19"/>
                <w:szCs w:val="19"/>
              </w:rPr>
              <w:t xml:space="preserve">The QS never “assumes” compliance. Every claim — material, test, marking, declaration — must be traceable to dated, model-specific, verifiable evidence. No evidence = not compliant.</w:t>
            </w:r>
          </w:p>
        </w:tc>
      </w:tr>
    </w:tbl>
    <w:p>
      <w:pPr>
        <w:spacing w:after="60"/>
      </w:pPr>
    </w:p>
    <w:p>
      <w:pPr>
        <w:pStyle w:val="Heading1"/>
        <w:pageBreakBefore/>
      </w:pPr>
      <w:r>
        <w:t xml:space="preserve">2. The Quality Specialist role</w:t>
      </w:r>
    </w:p>
    <w:p>
      <w:pPr>
        <w:pStyle w:val="Heading2"/>
      </w:pPr>
      <w:r>
        <w:t xml:space="preserve">2.1 Mission</w:t>
      </w:r>
    </w:p>
    <w:p>
      <w:pPr>
        <w:spacing w:after="100"/>
      </w:pPr>
      <w:r>
        <w:t xml:space="preserve">Ensure that every item shipped is safe, compliant with the legislation of each destination market, conforms to the approved specification and golden sample, and is supported by a complete technical file that will withstand market-surveillance scrutiny.</w:t>
      </w:r>
    </w:p>
    <w:p>
      <w:pPr>
        <w:pStyle w:val="Heading2"/>
      </w:pPr>
      <w:r>
        <w:t xml:space="preserve">2.2 Key responsibilities</w:t>
      </w:r>
    </w:p>
    <w:p>
      <w:pPr>
        <w:pStyle w:val="ListParagraph"/>
        <w:numPr>
          <w:ilvl w:val="0"/>
          <w:numId w:val="2"/>
        </w:numPr>
        <w:spacing w:after="60"/>
      </w:pPr>
      <w:r>
        <w:t xml:space="preserve">Classify each item (new / repeat / modified) and determine the applicable legislation and standards per market.</w:t>
      </w:r>
    </w:p>
    <w:p>
      <w:pPr>
        <w:pStyle w:val="ListParagraph"/>
        <w:numPr>
          <w:ilvl w:val="0"/>
          <w:numId w:val="2"/>
        </w:numPr>
        <w:spacing w:after="60"/>
      </w:pPr>
      <w:r>
        <w:t xml:space="preserve">Draft and maintain the Quality Specification Document (QSD), Quality Control Plan (QCP) and Compliance Product Test Plan (CPTP).</w:t>
      </w:r>
    </w:p>
    <w:p>
      <w:pPr>
        <w:pStyle w:val="ListParagraph"/>
        <w:numPr>
          <w:ilvl w:val="0"/>
          <w:numId w:val="2"/>
        </w:numPr>
        <w:spacing w:after="60"/>
      </w:pPr>
      <w:r>
        <w:t xml:space="preserve">Request, review and validate supplier documents: test reports, certificates, DoC/DoP(C), SDS, material declarations, BOM, user instructions, artwork.</w:t>
      </w:r>
    </w:p>
    <w:p>
      <w:pPr>
        <w:pStyle w:val="ListParagraph"/>
        <w:numPr>
          <w:ilvl w:val="0"/>
          <w:numId w:val="2"/>
        </w:numPr>
        <w:spacing w:after="60"/>
      </w:pPr>
      <w:r>
        <w:t xml:space="preserve">Approve, seal and monitor golden samples; manage their validity.</w:t>
      </w:r>
    </w:p>
    <w:p>
      <w:pPr>
        <w:pStyle w:val="ListParagraph"/>
        <w:numPr>
          <w:ilvl w:val="0"/>
          <w:numId w:val="2"/>
        </w:numPr>
        <w:spacing w:after="60"/>
      </w:pPr>
      <w:r>
        <w:t xml:space="preserve">Plan and perform or supervise inspections (PPI, DUPRO, FRI, loading) and production-line / FPC audits.</w:t>
      </w:r>
    </w:p>
    <w:p>
      <w:pPr>
        <w:pStyle w:val="ListParagraph"/>
        <w:numPr>
          <w:ilvl w:val="0"/>
          <w:numId w:val="2"/>
        </w:numPr>
        <w:spacing w:after="60"/>
      </w:pPr>
      <w:r>
        <w:t xml:space="preserve">Issue non-conformity reports; drive containment, RCA and CAPA (8D where required) to verified closure.</w:t>
      </w:r>
    </w:p>
    <w:p>
      <w:pPr>
        <w:pStyle w:val="ListParagraph"/>
        <w:numPr>
          <w:ilvl w:val="0"/>
          <w:numId w:val="2"/>
        </w:numPr>
        <w:spacing w:after="60"/>
      </w:pPr>
      <w:r>
        <w:t xml:space="preserve">Maintain the Technical Construction File (TCF) per item and keep it current with any change of design, material, supplier or standard.</w:t>
      </w:r>
    </w:p>
    <w:p>
      <w:pPr>
        <w:pStyle w:val="ListParagraph"/>
        <w:numPr>
          <w:ilvl w:val="0"/>
          <w:numId w:val="2"/>
        </w:numPr>
        <w:spacing w:after="60"/>
      </w:pPr>
      <w:r>
        <w:t xml:space="preserve">Collect supply-chain data for EUDR, CBAM, Battery and PPWR obligations and hand it to the Ally’s responsible economic operator.</w:t>
      </w:r>
    </w:p>
    <w:p>
      <w:pPr>
        <w:pStyle w:val="ListParagraph"/>
        <w:numPr>
          <w:ilvl w:val="0"/>
          <w:numId w:val="2"/>
        </w:numPr>
        <w:spacing w:after="60"/>
      </w:pPr>
      <w:r>
        <w:t xml:space="preserve">Report KPIs and escalate risks to the CQAD.</w:t>
      </w:r>
    </w:p>
    <w:p>
      <w:pPr>
        <w:pStyle w:val="Heading2"/>
      </w:pPr>
      <w:r>
        <w:t xml:space="preserve">2.3 Authority and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1800"/>
        <w:gridCol w:w="22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Decision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QA Manager</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Accept FRI result within AQL</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Decides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Informed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Reject FRI / hold shipment</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Recommends &amp; issues report</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Confirms</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Informed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Concession / deviation release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Prepares request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Reviews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(with Ally written approval)</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Critical defect or safety non-compliance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Stops, contains, escalates within 4 h</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Informed</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Decides</w:t>
            </w:r>
            <w:r>
              <w:rPr>
                <w:sz w:val="18"/>
                <w:szCs w:val="18"/>
              </w:rPr>
              <w:t xml:space="preserve">; manages Ally / authority contact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 golden sample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Proposes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Approves for high-risk items</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Accept test report / certificate</w:t>
            </w:r>
          </w:p>
        </w:tc>
        <w:tc>
          <w:tcPr>
            <w:tcW w:type="dxa" w:w="2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Validates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Spot-checks</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Approves Cat III PPE, CPR system 1/1+, Annex IV / Part A machinery</w:t>
            </w:r>
          </w:p>
        </w:tc>
      </w:tr>
    </w:tbl>
    <w:p>
      <w:pPr>
        <w:spacing w:after="60"/>
      </w:pPr>
    </w:p>
    <w:p>
      <w:pPr>
        <w:pStyle w:val="Heading2"/>
      </w:pPr>
      <w:r>
        <w:t xml:space="preserve">2.4 RACI — core processes</w:t>
      </w:r>
    </w:p>
    <w:p>
      <w:pPr>
        <w:spacing w:after="100"/>
      </w:pPr>
      <w:r>
        <w:t xml:space="preserve">R = Responsible, A = Accountable, C = Consulted, I = Informed.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000"/>
        <w:gridCol w:w="1200"/>
        <w:gridCol w:w="1300"/>
        <w:gridCol w:w="1000"/>
        <w:gridCol w:w="900"/>
        <w:gridCol w:w="1600"/>
      </w:tblGrid>
      <w:tr>
        <w:trPr>
          <w:tblHeader/>
        </w:trPr>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Process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Sourcing / Merch.</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Supplier</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Lab / NB</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Ally</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Applicable legislation &amp; test plan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QSD / QCP</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Testing &amp; certification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 (pays/executes)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Technical file / DoC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 (review)</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 (drafts)</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 (as manufacturer/importer)</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Golden sample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Inspections &amp; audits</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 (3rd party)</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NCR / CAPA / 8D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w:t>
            </w:r>
          </w:p>
        </w:tc>
      </w:tr>
      <w:tr>
        <w:trPr>
          <w:cantSplit/>
        </w:trPr>
        <w:tc>
          <w:tcPr>
            <w:tcW w:type="dxa" w:w="2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 CBAM data</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 (collect)</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1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 (provide)</w:t>
            </w:r>
          </w:p>
        </w:tc>
        <w:tc>
          <w:tcPr>
            <w:tcW w:type="dxa" w:w="1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1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 (submit DDS / CBAM decl.)</w:t>
            </w:r>
          </w:p>
        </w:tc>
      </w:tr>
    </w:tbl>
    <w:p>
      <w:pPr>
        <w:spacing w:after="60"/>
      </w:pPr>
    </w:p>
    <w:p>
      <w:pPr>
        <w:pStyle w:val="Heading2"/>
      </w:pPr>
      <w:r>
        <w:t xml:space="preserve">2.5 Personal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38"/>
        <w:gridCol w:w="3000"/>
      </w:tblGrid>
      <w:tr>
        <w:trPr>
          <w:tblHeader/>
        </w:trPr>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Target</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Technical file completeness at FRI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100 % (no FRI booked on incomplete TCF)</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Test report validation lead time</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3 working days</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first-pass rate (portfolio)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Market complaints / recalls attributable to missed requirement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0</w:t>
            </w:r>
          </w:p>
        </w:tc>
      </w:tr>
      <w:tr>
        <w:trPr>
          <w:cantSplit/>
        </w:trPr>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NCR closure on time (CAPA verified)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r>
        <w:trPr>
          <w:cantSplit/>
        </w:trPr>
        <w:tc>
          <w:tcPr>
            <w:tcW w:type="dxa" w:w="6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Golden samples within validity</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w:t>
            </w:r>
          </w:p>
        </w:tc>
      </w:tr>
    </w:tbl>
    <w:p>
      <w:pPr>
        <w:spacing w:after="60"/>
      </w:pPr>
    </w:p>
    <w:p>
      <w:pPr>
        <w:pStyle w:val="Heading1"/>
        <w:pageBreakBefore/>
      </w:pPr>
      <w:r>
        <w:t xml:space="preserve">3. End-to-end quality &amp; compliance process</w:t>
      </w:r>
    </w:p>
    <w:p>
      <w:pPr>
        <w:spacing w:after="100"/>
      </w:pPr>
      <w:r>
        <w:t xml:space="preserve">The QS owns quality gates G0–G6. A gate is passed only when its records are complete in the item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638"/>
        <w:gridCol w:w="29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Stage / gate</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 activities</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Key outputs / records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G0 — RFx &amp; feasibility</w:t>
            </w:r>
            <w:r>
              <w:rPr>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Review Ally brief; classify item new / repeat / modified; identify legislation &amp; standards per market; flag high-risk (Cat III PPE, battery, CPR AVCP 1/1+, Annex I-A machinery, children’s products).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Compliance pathway note; preliminary test budget; supplier capability questions in RFx</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G1 — Supplier selection</w:t>
            </w:r>
            <w:r>
              <w:rPr>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 evaluation (desk + on-site); production-line capability; social/environmental prerequisites; FPC for construction products.</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 evaluation report; audit score; approved supplier list entry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G2 — Specification</w:t>
            </w:r>
            <w:r>
              <w:rPr>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Draft QSD (dimensions, materials, performance, marking, packaging); CPTP (tests per market); QCP (control points, AQL).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QSD, CPTP, QCP signed by supplier</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G3 — Development &amp; testing</w:t>
            </w:r>
            <w:r>
              <w:rPr>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Pre-production samples; book accredited lab or Notified Body; validate reports; review user instructions &amp; artwork.</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Validated test reports; certificates; DoC / DoPC drafts; approved artwork</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G4 — Golden sample</w:t>
            </w:r>
            <w:r>
              <w:rPr>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Approve &amp; seal golden sample set (Ally / supplier / A.R.E.N.A.); record validity.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Golden sample record, photos, seal numbers</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G5 — Production</w:t>
            </w:r>
            <w:r>
              <w:rPr>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PPI (materials/components), DUPRO at 20–30 %, process audits, batch traceability.</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Inspection reports; NCRs; traceability data (batch, date code)</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G6 — Shipment release</w:t>
            </w:r>
            <w:r>
              <w:rPr>
                <w:sz w:val="18"/>
                <w:szCs w:val="18"/>
              </w:rPr>
              <w:t xml:space="preserve"/>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per ISO 2859-1; loading supervision if required; final TCF check; EUDR/CBAM/Battery data hand-over.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report; release note; complete TCF; DDS reference / CBAM data</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Post-market</w:t>
            </w:r>
            <w:r>
              <w:rPr>
                <w:sz w:val="18"/>
                <w:szCs w:val="18"/>
              </w:rPr>
              <w:t xml:space="preserve"/>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Complaints, returns, authority requests, Safety Gate alerts; trigger RCA/CAPA; update TCF on any change.</w:t>
            </w:r>
          </w:p>
        </w:tc>
        <w:tc>
          <w:tcPr>
            <w:tcW w:type="dxa" w:w="2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Complaint log; 8D; TCF revision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Change control  </w:t>
            </w:r>
            <w:r>
              <w:rPr>
                <w:sz w:val="19"/>
                <w:szCs w:val="19"/>
              </w:rPr>
              <w:t xml:space="preserve">Any change of material, component, sub-supplier, factory, design or applicable standard after G4 reopens G2–G4 for the affected requirements. Suppliers must notify changes in writing before implementation — this is a contractual QSD clause.</w:t>
            </w:r>
          </w:p>
        </w:tc>
      </w:tr>
    </w:tbl>
    <w:p>
      <w:pPr>
        <w:spacing w:after="60"/>
      </w:pPr>
    </w:p>
    <w:p>
      <w:pPr>
        <w:pStyle w:val="Heading1"/>
        <w:pageBreakBefore/>
      </w:pPr>
      <w:r>
        <w:t xml:space="preserve">4. Regulatory framework</w:t>
      </w:r>
    </w:p>
    <w:p>
      <w:pPr>
        <w:pStyle w:val="Heading2"/>
      </w:pPr>
      <w:r>
        <w:t xml:space="preserve">4.1 Method: determining the applicable legislation</w:t>
      </w:r>
    </w:p>
    <w:p>
      <w:pPr>
        <w:pStyle w:val="ListParagraph"/>
        <w:numPr>
          <w:ilvl w:val="0"/>
          <w:numId w:val="3"/>
        </w:numPr>
        <w:spacing w:after="60"/>
      </w:pPr>
      <w:r>
        <w:t xml:space="preserve">Define the product precisely: function, energy source (mains / battery / manual / fuel), intended user (consumer / professional / child), intended use and foreseeable misuse.</w:t>
      </w:r>
    </w:p>
    <w:p>
      <w:pPr>
        <w:pStyle w:val="ListParagraph"/>
        <w:numPr>
          <w:ilvl w:val="0"/>
          <w:numId w:val="3"/>
        </w:numPr>
        <w:spacing w:after="60"/>
      </w:pPr>
      <w:r>
        <w:t xml:space="preserve">Screen against every product-specific Union harmonisation act (Machinery, LVD, EMC, RED, Batteries, PPE, CPR, Toys, ATEX, Gas Appliances, Ecodesign, Food Contact…). One product can fall under several acts — the DoC must list all of them.</w:t>
      </w:r>
    </w:p>
    <w:p>
      <w:pPr>
        <w:pStyle w:val="ListParagraph"/>
        <w:numPr>
          <w:ilvl w:val="0"/>
          <w:numId w:val="3"/>
        </w:numPr>
        <w:spacing w:after="60"/>
      </w:pPr>
      <w:r>
        <w:t xml:space="preserve">Apply horizontal rules in all cases: GPSR (where not fully covered by specific law), REACH / POPs / RoHS, packaging (PPWR), WEEE / batteries EPR.</w:t>
      </w:r>
    </w:p>
    <w:p>
      <w:pPr>
        <w:pStyle w:val="ListParagraph"/>
        <w:numPr>
          <w:ilvl w:val="0"/>
          <w:numId w:val="3"/>
        </w:numPr>
        <w:spacing w:after="60"/>
      </w:pPr>
      <w:r>
        <w:t xml:space="preserve">Apply supply-chain due-diligence rules by material / CN code: EUDR (wood, rubber, etc.), CBAM (iron, steel, aluminium…).</w:t>
      </w:r>
    </w:p>
    <w:p>
      <w:pPr>
        <w:pStyle w:val="ListParagraph"/>
        <w:numPr>
          <w:ilvl w:val="0"/>
          <w:numId w:val="3"/>
        </w:numPr>
        <w:spacing w:after="60"/>
      </w:pPr>
      <w:r>
        <w:t xml:space="preserve">Identify harmonised standards cited in the OJEU for presumption of conformity; where none, use state-of-the-art standards plus a documented risk assessment.</w:t>
      </w:r>
    </w:p>
    <w:p>
      <w:pPr>
        <w:pStyle w:val="ListParagraph"/>
        <w:numPr>
          <w:ilvl w:val="0"/>
          <w:numId w:val="3"/>
        </w:numPr>
        <w:spacing w:after="60"/>
      </w:pPr>
      <w:r>
        <w:t xml:space="preserve">Determine the conformity-assessment route (Module A / B+C / B+C2 / B+D / AVCP system) and whether a Notified Body is required.</w:t>
      </w:r>
    </w:p>
    <w:p>
      <w:pPr>
        <w:pStyle w:val="ListParagraph"/>
        <w:numPr>
          <w:ilvl w:val="0"/>
          <w:numId w:val="3"/>
        </w:numPr>
        <w:spacing w:after="60"/>
      </w:pPr>
      <w:r>
        <w:t xml:space="preserve">Repeat for Switzerland, US and Canada (§4.14–4.16).</w:t>
      </w:r>
    </w:p>
    <w:p>
      <w:pPr>
        <w:pStyle w:val="Heading2"/>
      </w:pPr>
      <w:r>
        <w:t xml:space="preserve">4.2 Category × legislation matrix (EU)</w:t>
      </w:r>
    </w:p>
    <w:p>
      <w:pPr>
        <w:spacing w:after="100"/>
      </w:pPr>
      <w:r>
        <w:t xml:space="preserve">● = typically applicable · ○ = applicable to some items · — = rarely applicable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200"/>
        <w:gridCol w:w="1200"/>
        <w:gridCol w:w="1200"/>
        <w:gridCol w:w="1200"/>
        <w:gridCol w:w="1200"/>
      </w:tblGrid>
      <w:tr>
        <w:trPr>
          <w:tblHeader/>
        </w:trPr>
        <w:tc>
          <w:tcPr>
            <w:tcW w:type="dxa" w:w="3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Act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GARDEN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DIY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DECO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AUTO</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BUILDING</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GPSR (EU) 2023/988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Machinery 2006/42/EC → (EU) 2023/1230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LVD 2014/35/EU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EMC 2014/30/EU</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RED 2014/53/EU</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RoHS 2011/65/EU · WEEE 2012/19/EU</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Batteries (EU) 2023/1542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PPE (EU) 2016/425</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CPR (EU) 305/2011 → (EU) 2024/3110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Toys 2009/48/EC → (EU) 2025/2509</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 POPs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Food contact (EC) 1935/2004</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Packaging (EU) 2025/40 (PPWR)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(EU) 2023/1115</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(EU) 2023/956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t>
            </w:r>
          </w:p>
        </w:tc>
      </w:tr>
      <w:tr>
        <w:trPr>
          <w:cantSplit/>
        </w:trPr>
        <w:tc>
          <w:tcPr>
            <w:tcW w:type="dxa" w:w="3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Ecodesign / ESPR (EU) 2024/1781</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t>
            </w:r>
          </w:p>
        </w:tc>
      </w:tr>
    </w:tbl>
    <w:p>
      <w:pPr>
        <w:spacing w:after="60"/>
      </w:pPr>
    </w:p>
    <w:p>
      <w:pPr>
        <w:pStyle w:val="Heading2"/>
      </w:pPr>
      <w:r>
        <w:t xml:space="preserve">4.3 General Product Safety Regulation (GPSR)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Regulation (EU) 2023/988 — applicable since 13 Dec 2024</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Scope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 consumer products placed on the EU market, to the extent that specific Union law does not cover the same risk or objective (safety net). Also applies to online sales.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Key obligations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Internal risk assessment and technical documentation (Art. 9) — kept 10 years.</w:t>
            </w:r>
          </w:p>
          <w:p>
            <w:pPr>
              <w:spacing w:after="40"/>
            </w:pPr>
            <w:r>
              <w:rPr>
                <w:sz w:val="18"/>
                <w:szCs w:val="18"/>
              </w:rPr>
              <w:t xml:space="preserve">Responsible economic operator established in the EU (Art. 16) named on product, packaging, parcel or accompanying document.</w:t>
            </w:r>
          </w:p>
          <w:p>
            <w:pPr>
              <w:spacing w:after="40"/>
            </w:pPr>
            <w:r>
              <w:rPr>
                <w:sz w:val="18"/>
                <w:szCs w:val="18"/>
              </w:rPr>
              <w:t xml:space="preserve">Product identification: type, batch or serial number; manufacturer name, postal and electronic address.</w:t>
            </w:r>
          </w:p>
          <w:p>
            <w:pPr>
              <w:spacing w:after="40"/>
            </w:pPr>
            <w:r>
              <w:rPr>
                <w:sz w:val="18"/>
                <w:szCs w:val="18"/>
              </w:rPr>
              <w:t xml:space="preserve">Instructions and safety information in the language(s) of the Member State.</w:t>
            </w:r>
          </w:p>
          <w:p>
            <w:pPr>
              <w:spacing w:after="40"/>
            </w:pPr>
            <w:r>
              <w:rPr>
                <w:sz w:val="18"/>
                <w:szCs w:val="18"/>
              </w:rPr>
              <w:t xml:space="preserve">Accident notification via the Safety Business Gateway; corrective actions and recalls (Art. 35–37).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Risk assessment present and item-specific; traceability marking on product (not only on packaging, unless size/nature prevents it); EU operator address correct; translated warnings approved.</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pitfalls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Batch code only on carton; generic risk assessment copied across items; e-commerce listings missing warnings and operator data.</w:t>
            </w:r>
          </w:p>
        </w:tc>
      </w:tr>
    </w:tbl>
    <w:p>
      <w:pPr>
        <w:spacing w:after="60"/>
      </w:pPr>
    </w:p>
    <w:p>
      <w:pPr>
        <w:pStyle w:val="Heading2"/>
      </w:pPr>
      <w:r>
        <w:t xml:space="preserve">4.4 Machinery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Directive 2006/42/EC → Regulation (EU) 2023/1230 (applies from 20 Jan 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Scope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Powered garden &amp; DIY equipment: lawnmowers, trimmers, hedge cutters, chainsaws, drills, saws, sanders, pressure washers, pumps, log splitters, garden shredders; partly completed machinery.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Key obligations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Essential Health &amp; Safety Requirements (Annex III of the new Regulation / Annex I of the Directive); risk assessment.</w:t>
            </w:r>
          </w:p>
          <w:p>
            <w:pPr>
              <w:spacing w:after="40"/>
            </w:pPr>
            <w:r>
              <w:rPr>
                <w:sz w:val="18"/>
                <w:szCs w:val="18"/>
              </w:rPr>
              <w:t xml:space="preserve">Technical file; instructions (digital format allowed under the new Regulation, paper on request); EU DoC; CE marking.</w:t>
            </w:r>
          </w:p>
          <w:p>
            <w:pPr>
              <w:spacing w:after="40"/>
            </w:pPr>
            <w:r>
              <w:rPr>
                <w:sz w:val="18"/>
                <w:szCs w:val="18"/>
              </w:rPr>
              <w:t xml:space="preserve">Noise: Outdoor Noise Directive 2000/14/EC (guaranteed sound power level marking for listed outdoor equipment, e.g. lawnmowers, hedge trimmers).</w:t>
            </w:r>
          </w:p>
          <w:p>
            <w:pPr>
              <w:spacing w:after="40"/>
            </w:pPr>
            <w:r>
              <w:rPr>
                <w:sz w:val="18"/>
                <w:szCs w:val="18"/>
              </w:rPr>
              <w:t xml:space="preserve">Engine-powered: emissions under Regulation (EU) 2016/1628 (NRMM).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Conformity route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Generally Module A (internal control) with harmonised standards (EN 62841 series for hand-held/transportable electric tools; EN ISO 5395 lawnmowers; EN 50636 battery garden machines; EN ISO 11681 chainsaws). Annex I Part A (new Reg.) items — e.g. certain chainsaws/wood-working machines — need a Notified Body ⚑ VERIFY per item.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Transition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Products placed on the market up to 19 Jan 2027 may use the Directive; from 20 Jan 2027 the Regulation applies. New DoC references, cybersecurity and AI-safety-function provisions must be planned now for items shipping in 2027.</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 reports to current EN version; noise &amp; vibration values declared in the manual match the reports; DoC lists Machinery + EMC (+ RED/RoHS/Batteries if relevant).</w:t>
            </w:r>
          </w:p>
        </w:tc>
      </w:tr>
    </w:tbl>
    <w:p>
      <w:pPr>
        <w:spacing w:after="60"/>
      </w:pPr>
    </w:p>
    <w:p>
      <w:pPr>
        <w:pStyle w:val="Heading2"/>
      </w:pPr>
      <w:r>
        <w:t xml:space="preserve">4.5 Electrical: LVD, EMC, RED, RoHS, WEEE, Ecodesign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Act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Scope (examples)</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Key points for the QS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LVD 2014/35/EU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Mains equipment 50–1000 V AC / 75–1500 V DC: lamps, chargers, heaters, fountains/pumps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Module A; EN 60335 series, EN 60598 (luminaires), EN IEC 62368-1. Battery chargers are under LVD even if the tool is under Machinery.</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EMC 2014/30/EU</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Any electrical/electronic product</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Module A; EN IEC 55014-1/-2 (tools, appliances), EN IEC 55015 (lighting), EN IEC 61000-3-2/-3.</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RED 2014/53/EU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Products with radio: Bluetooth tools, remote-controlled devices, smart lighting, robotic mowers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Covers safety and EMC too (DoC cites RED, not LVD/EMC). Cybersecurity delegated act (EU) 2022/30 applicable since 1 Aug 2025 — EN 18031-1/-2/-3 for internet-connected equipment (cited with restrictions ⚑ VERIFY). Common-charger rules (USB-C) for listed small devices.</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RoHS 2011/65/EU</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All EEE including battery tools</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Pb, Hg, Cd, Cr VI, PBB, PBDE, 4 phthalates; DoC must cite RoHS; EN IEC 63000 technical documentation.</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WEEE 2012/19/EU</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 EEE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Crossed-out wheeled-bin symbol; producer registration per Member State (Ally’s responsibility); ensure the symbol is on product.</w:t>
            </w:r>
          </w:p>
        </w:tc>
      </w:tr>
      <w:tr>
        <w:trPr>
          <w:cantSplit/>
        </w:trPr>
        <w:tc>
          <w:tcPr>
            <w:tcW w:type="dxa" w:w="21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Ecodesign 2009/125/EC → ESPR (EU) 2024/1781</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Light sources (EU) 2019/2020, external power supplies (EU) 2019/1782, energy labelling (EU) 2019/2015</w:t>
            </w:r>
          </w:p>
        </w:tc>
        <w:tc>
          <w:tcPr>
            <w:tcW w:type="dxa" w:w="4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EPREL registration for labelled products; ESPR delegated acts and the Digital Product Passport will follow per product group ⚑ VERIFY.</w:t>
            </w:r>
          </w:p>
        </w:tc>
      </w:tr>
    </w:tbl>
    <w:p>
      <w:pPr>
        <w:spacing w:after="60"/>
      </w:pPr>
    </w:p>
    <w:p>
      <w:pPr>
        <w:pStyle w:val="Heading2"/>
      </w:pPr>
      <w:r>
        <w:t xml:space="preserve">4.6 Batteries — Regulation (EU) 2023/1542</w:t>
      </w:r>
    </w:p>
    <w:p>
      <w:pPr>
        <w:spacing w:after="100"/>
      </w:pPr>
      <w:r>
        <w:t xml:space="preserve">Battery products are central to our GARDEN, DIY and AUTO ranges (cordless tool packs, robotic mowers, LED solar lights, jump starters, car batteries). The Regulation replaced Directive 2006/66/EC and applies since 18 Feb 2024, with obligations phased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Batteries Regulation (EU) 2023/1542</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Battery categories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Portable</w:t>
            </w:r>
            <w:r>
              <w:rPr>
                <w:sz w:val="18"/>
                <w:szCs w:val="18"/>
              </w:rPr>
              <w:t xml:space="preserve"> — sealed, ≤ 5 kg, not designed for industrial use, not LMT/EV/SLI (e.g. most power-tool packs, AA/AAA, button cells, solar-light cells).</w:t>
            </w:r>
          </w:p>
          <w:p>
            <w:pPr>
              <w:spacing w:after="40"/>
            </w:pPr>
            <w:r>
              <w:rPr>
                <w:sz w:val="18"/>
                <w:szCs w:val="18"/>
              </w:rPr>
              <w:t xml:space="preserve"/>
            </w:r>
            <w:r>
              <w:rPr>
                <w:b/>
                <w:bCs/>
                <w:sz w:val="18"/>
                <w:szCs w:val="18"/>
              </w:rPr>
              <w:t xml:space="preserve">LMT</w:t>
            </w:r>
            <w:r>
              <w:rPr>
                <w:sz w:val="18"/>
                <w:szCs w:val="18"/>
              </w:rPr>
              <w:t xml:space="preserve"> — light means of transport (e-bikes, e-scooters), ≤ 25 kg.</w:t>
            </w:r>
          </w:p>
          <w:p>
            <w:pPr>
              <w:spacing w:after="40"/>
            </w:pPr>
            <w:r>
              <w:rPr>
                <w:sz w:val="18"/>
                <w:szCs w:val="18"/>
              </w:rPr>
              <w:t xml:space="preserve"/>
            </w:r>
            <w:r>
              <w:rPr>
                <w:b/>
                <w:bCs/>
                <w:sz w:val="18"/>
                <w:szCs w:val="18"/>
              </w:rPr>
              <w:t xml:space="preserve">SLI</w:t>
            </w:r>
            <w:r>
              <w:rPr>
                <w:sz w:val="18"/>
                <w:szCs w:val="18"/>
              </w:rPr>
              <w:t xml:space="preserve"> — starting, lighting, ignition for vehicles (AUTO range).</w:t>
            </w:r>
          </w:p>
          <w:p>
            <w:pPr>
              <w:spacing w:after="40"/>
            </w:pPr>
            <w:r>
              <w:rPr>
                <w:sz w:val="18"/>
                <w:szCs w:val="18"/>
              </w:rPr>
              <w:t xml:space="preserve"/>
            </w:r>
            <w:r>
              <w:rPr>
                <w:b/>
                <w:bCs/>
                <w:sz w:val="18"/>
                <w:szCs w:val="18"/>
              </w:rPr>
              <w:t xml:space="preserve">Industrial</w:t>
            </w:r>
            <w:r>
              <w:rPr>
                <w:sz w:val="18"/>
                <w:szCs w:val="18"/>
              </w:rPr>
              <w:t xml:space="preserve"> and </w:t>
            </w:r>
            <w:r>
              <w:rPr>
                <w:b/>
                <w:bCs/>
                <w:sz w:val="18"/>
                <w:szCs w:val="18"/>
              </w:rPr>
              <w:t xml:space="preserve">EV</w:t>
            </w:r>
            <w:r>
              <w:rPr>
                <w:sz w:val="18"/>
                <w:szCs w:val="18"/>
              </w:rPr>
              <w:t xml:space="preserve"> — incl. home energy storage.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Substance restrictions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Hg ≤ 0.0005 % (all); Cd ≤ 0.002 % (portable); Pb ≤ 0.01 % (portable, from 18 Aug 2024; zinc-air button cells derogated until 18 Aug 2028). Plus REACH Annex XVII.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Conformity &amp; 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 marking and EU DoC from 18 Aug 2024. Module A (internal control) for most batteries; Module D1/G for batteries subject to carbon-footprint, recycled-content or performance requirements per Annex VIII. A battery inside a tool: the tool’s DoC also cites (EU) 2023/1542.</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Labelling (Art. 13–14)</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Separate-collection symbol (crossed-out wheeled bin) — from 18 Aug 2025; chemical symbols Hg/Cd/Pb where thresholds exceeded.</w:t>
            </w:r>
          </w:p>
          <w:p>
            <w:pPr>
              <w:spacing w:after="40"/>
            </w:pPr>
            <w:r>
              <w:rPr>
                <w:sz w:val="18"/>
                <w:szCs w:val="18"/>
              </w:rPr>
              <w:t xml:space="preserve">General information label (manufacturer, category, chemistry, weight, capacity, date of manufacture, hazardous substances other than Hg/Cd/Pb, critical raw materials) — from </w:t>
            </w:r>
            <w:r>
              <w:rPr>
                <w:b/>
                <w:bCs/>
                <w:sz w:val="18"/>
                <w:szCs w:val="18"/>
              </w:rPr>
              <w:t xml:space="preserve">18 Aug 2026</w:t>
            </w:r>
            <w:r>
              <w:rPr>
                <w:sz w:val="18"/>
                <w:szCs w:val="18"/>
              </w:rPr>
              <w:t xml:space="preserve">.</w:t>
            </w:r>
          </w:p>
          <w:p>
            <w:pPr>
              <w:spacing w:after="40"/>
            </w:pPr>
            <w:r>
              <w:rPr>
                <w:sz w:val="18"/>
                <w:szCs w:val="18"/>
              </w:rPr>
              <w:t xml:space="preserve">Capacity label for portable &amp; SLI; minimum average duration for non-rechargeable portable batteries.</w:t>
            </w:r>
          </w:p>
          <w:p>
            <w:pPr>
              <w:spacing w:after="40"/>
            </w:pPr>
            <w:r>
              <w:rPr>
                <w:sz w:val="18"/>
                <w:szCs w:val="18"/>
              </w:rPr>
              <w:t xml:space="preserve">QR code giving access to the information — from </w:t>
            </w:r>
            <w:r>
              <w:rPr>
                <w:b/>
                <w:bCs/>
                <w:sz w:val="18"/>
                <w:szCs w:val="18"/>
              </w:rPr>
              <w:t xml:space="preserve">18 Feb 2027</w:t>
            </w:r>
            <w:r>
              <w:rPr>
                <w:sz w:val="18"/>
                <w:szCs w:val="18"/>
              </w:rPr>
              <w:t xml:space="preserv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Design obligations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Portable batteries in appliances must be </w:t>
            </w:r>
            <w:r>
              <w:rPr>
                <w:b/>
                <w:bCs/>
                <w:sz w:val="18"/>
                <w:szCs w:val="18"/>
              </w:rPr>
              <w:t xml:space="preserve">removable and replaceable by the end-user</w:t>
            </w:r>
            <w:r>
              <w:rPr>
                <w:sz w:val="18"/>
                <w:szCs w:val="18"/>
              </w:rPr>
              <w:t xml:space="preserve"> with commercially available tools from </w:t>
            </w:r>
            <w:r>
              <w:rPr>
                <w:b/>
                <w:bCs/>
                <w:sz w:val="18"/>
                <w:szCs w:val="18"/>
              </w:rPr>
              <w:t xml:space="preserve">18 Feb 2027</w:t>
            </w:r>
            <w:r>
              <w:rPr>
                <w:sz w:val="18"/>
                <w:szCs w:val="18"/>
              </w:rPr>
              <w:t xml:space="preserve"> (Art. 11; limited exemptions). LMT batteries replaceable by an independent professional. Impact on tool housing design — raise at G2 for 2027 launches.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Performance &amp; durability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Annex III parameters for portable general-purpose batteries and LMT/industrial/EV; delegated acts set minimum values ⚑ VERIFY.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Battery passport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LMT, industrial &gt; 2 kWh and EV batteries — from 18 Feb 2027 (via QR code).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Due diligence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Supply-chain due diligence for cobalt, lithium, natural graphite, nickel — postponed to </w:t>
            </w:r>
            <w:r>
              <w:rPr>
                <w:b/>
                <w:bCs/>
                <w:sz w:val="18"/>
                <w:szCs w:val="18"/>
              </w:rPr>
              <w:t xml:space="preserve">18 Aug 2027</w:t>
            </w:r>
            <w:r>
              <w:rPr>
                <w:sz w:val="18"/>
                <w:szCs w:val="18"/>
              </w:rPr>
              <w:t xml:space="preserve"> by Omnibus ⚑ VERIFY; applies above turnover threshold.</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EPR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Producer registration in each Member State (from 18 Aug 2025) and take-back financing — Ally’s obligation; QS supplies battery data (category, chemistry, weight).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Transport safety (not CE, but mandatory)</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Lithium cells/batteries: UN 38.3 test summary (UN Manual of Tests and Criteria) for shipping; IEC 62133-2 safety; power-tool packs EN 62841-1 Annex K / EN IEC 62841-1 + EN 50604-1 for LMT.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Cell and pack test reports (IEC 62133-2, UN 38.3 incl. test summary); Hg/Cd/Pb chemical report per cell type; label artwork with all phased elements; removability assessment for 2027 items; DoC citing the Regulation.</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pitfalls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Cell supplier change without new UN 38.3; label missing date of manufacture; battery weight/capacity on label inconsistent with test report; non-removable integrated packs in products launching 2027.</w:t>
            </w:r>
          </w:p>
        </w:tc>
      </w:tr>
    </w:tbl>
    <w:p>
      <w:pPr>
        <w:spacing w:after="60"/>
      </w:pPr>
    </w:p>
    <w:p>
      <w:pPr>
        <w:pStyle w:val="Heading2"/>
      </w:pPr>
      <w:r>
        <w:t xml:space="preserve">4.7 Personal Protective Equipment — Regulation (EU) 2016/425</w:t>
      </w:r>
    </w:p>
    <w:p>
      <w:pPr>
        <w:spacing w:after="100"/>
      </w:pPr>
      <w:r>
        <w:t xml:space="preserve">Relevant for DIY and GARDEN accessories: work and gardening gloves, safety glasses, hearing protection, knee pads, dust masks, hi-visibility vests, safety footwear, fall-arrest equipment.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PPE Regulation (EU) 2016/425 — applies since 21 Apr 2018</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Definition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Equipment designed and manufactured to be worn or held by a person for protection against one or more risks to health or safety. A product </w:t>
            </w:r>
            <w:r>
              <w:rPr>
                <w:b/>
                <w:bCs/>
                <w:sz w:val="18"/>
                <w:szCs w:val="18"/>
              </w:rPr>
              <w:t xml:space="preserve">claimed</w:t>
            </w:r>
            <w:r>
              <w:rPr>
                <w:sz w:val="18"/>
                <w:szCs w:val="18"/>
              </w:rPr>
              <w:t xml:space="preserve"> to protect is PPE — marketing wording decides the category (e.g. “protective” gardening gloves).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Risk categories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Category I</w:t>
            </w:r>
            <w:r>
              <w:rPr>
                <w:sz w:val="18"/>
                <w:szCs w:val="18"/>
              </w:rPr>
              <w:t xml:space="preserve"> — minimal risks only (superficial mechanical injury, contact with water/cleaning agents of weak action, hot surfaces ≤ 50 °C, sunlight for eye protection).</w:t>
            </w:r>
          </w:p>
          <w:p>
            <w:pPr>
              <w:spacing w:after="40"/>
            </w:pPr>
            <w:r>
              <w:rPr>
                <w:sz w:val="18"/>
                <w:szCs w:val="18"/>
              </w:rPr>
              <w:t xml:space="preserve"/>
            </w:r>
            <w:r>
              <w:rPr>
                <w:b/>
                <w:bCs/>
                <w:sz w:val="18"/>
                <w:szCs w:val="18"/>
              </w:rPr>
              <w:t xml:space="preserve">Category II</w:t>
            </w:r>
            <w:r>
              <w:rPr>
                <w:sz w:val="18"/>
                <w:szCs w:val="18"/>
              </w:rPr>
              <w:t xml:space="preserve"> — risks not in Cat I or III (e.g. mechanical-risk gloves EN 388, safety eyewear, knee pads, hi-vis).</w:t>
            </w:r>
          </w:p>
          <w:p>
            <w:pPr>
              <w:spacing w:after="40"/>
            </w:pPr>
            <w:r>
              <w:rPr>
                <w:sz w:val="18"/>
                <w:szCs w:val="18"/>
              </w:rPr>
              <w:t xml:space="preserve"/>
            </w:r>
            <w:r>
              <w:rPr>
                <w:b/>
                <w:bCs/>
                <w:sz w:val="18"/>
                <w:szCs w:val="18"/>
              </w:rPr>
              <w:t xml:space="preserve">Category III</w:t>
            </w:r>
            <w:r>
              <w:rPr>
                <w:sz w:val="18"/>
                <w:szCs w:val="18"/>
              </w:rPr>
              <w:t xml:space="preserve"> — risks of very serious consequences: harmful substances, respiratory protection, falls from height, harmful noise, chainsaw cuts, electric shock, heat ≥ 100 °C, cold ≤ -50 °C, drowning, bullet/knife wounds, harmful biological agents.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Conformity route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 I: Module A (internal control).</w:t>
            </w:r>
          </w:p>
          <w:p>
            <w:pPr>
              <w:spacing w:after="40"/>
            </w:pPr>
            <w:r>
              <w:rPr>
                <w:sz w:val="18"/>
                <w:szCs w:val="18"/>
              </w:rPr>
              <w:t xml:space="preserve">Cat II: Module B (EU type-examination by Notified Body) + Module C (internal production control).</w:t>
            </w:r>
          </w:p>
          <w:p>
            <w:pPr>
              <w:spacing w:after="40"/>
            </w:pPr>
            <w:r>
              <w:rPr>
                <w:sz w:val="18"/>
                <w:szCs w:val="18"/>
              </w:rPr>
              <w:t xml:space="preserve">Cat III: Module B + </w:t>
            </w:r>
            <w:r>
              <w:rPr>
                <w:b/>
                <w:bCs/>
                <w:sz w:val="18"/>
                <w:szCs w:val="18"/>
              </w:rPr>
              <w:t xml:space="preserve">Module C2</w:t>
            </w:r>
            <w:r>
              <w:rPr>
                <w:sz w:val="18"/>
                <w:szCs w:val="18"/>
              </w:rPr>
              <w:t xml:space="preserve"> (supervised product checks at random intervals) or </w:t>
            </w:r>
            <w:r>
              <w:rPr>
                <w:b/>
                <w:bCs/>
                <w:sz w:val="18"/>
                <w:szCs w:val="18"/>
              </w:rPr>
              <w:t xml:space="preserve">Module D</w:t>
            </w:r>
            <w:r>
              <w:rPr>
                <w:sz w:val="18"/>
                <w:szCs w:val="18"/>
              </w:rPr>
              <w:t xml:space="preserve"> (QA of production process) — Notified Body number follows the CE mark.</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EU type-examination certificate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Max. validity </w:t>
            </w:r>
            <w:r>
              <w:rPr>
                <w:b/>
                <w:bCs/>
                <w:sz w:val="18"/>
                <w:szCs w:val="18"/>
              </w:rPr>
              <w:t xml:space="preserve">5 years</w:t>
            </w:r>
            <w:r>
              <w:rPr>
                <w:sz w:val="18"/>
                <w:szCs w:val="18"/>
              </w:rPr>
              <w:t xml:space="preserve">; check scope (model, sizes, materials), NB number and status in NANDO, and that the certificate is not withdrawn/expired at shipment date.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standards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EN ISO 21420 (general gloves) · EN 388 (mechanical) · EN ISO 374-1/-5 (chemical/micro-organisms) · EN 407 (heat) · EN ISO 16321-1 / EN 166 (eye) · EN 352-1/-2 (hearing — Cat III) · EN 149 FFP1-3 (Cat III) · EN 14404 (knee pads) · EN ISO 20471 (hi-vis) · EN ISO 20345 (safety footwear) · EN 381 / EN ISO 11393 (chainsaw protective clothing — Cat III).</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Marking &amp; information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 (+ NB number for Cat III), manufacturer and EU operator address, model/type, size; pictograms and performance levels as per standard; instructions in the Member State language (Annex II 1.4); full EU DoC or internet address of the DoC.</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Category justified against claims on packaging/listing; EU-TEC valid and covers the exact article; Module C2/D certificate for Cat III; size range and performance levels on product match the certificate; user information leaflet in all languages.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pitfalls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“Garden gloves” marketed with cut-protection claims but sold as Cat I; expired EU-TEC (issued under old Directive 89/686); NB number missing on Cat III marking; hearing protectors without Module C2/D surveillance.</w:t>
            </w:r>
          </w:p>
        </w:tc>
      </w:tr>
    </w:tbl>
    <w:p>
      <w:pPr>
        <w:spacing w:after="60"/>
      </w:pPr>
    </w:p>
    <w:p>
      <w:pPr>
        <w:pStyle w:val="Heading2"/>
      </w:pPr>
      <w:r>
        <w:t xml:space="preserve">4.8 Construction Products Regulation (CPR)</w:t>
      </w:r>
    </w:p>
    <w:p>
      <w:pPr>
        <w:spacing w:after="100"/>
      </w:pPr>
      <w:r>
        <w:t xml:space="preserve">Essential for the BUILDING range and part of GARDEN/DIY: decking and fencing products, paving, tiles, adhesives, insulation, sealants, doors/windows, sanitary appliances, cables installed in buildings, structural timber, fixings and anchors.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Regulation (EU) 305/2011 → Regulation (EU) 2024/3110 (new CPR)</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Status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New CPR (EU) 2024/3110 entered into force 7 Jan 2025 and applies from </w:t>
            </w:r>
            <w:r>
              <w:rPr>
                <w:b/>
                <w:bCs/>
                <w:sz w:val="18"/>
                <w:szCs w:val="18"/>
              </w:rPr>
              <w:t xml:space="preserve">8 Jan 2026</w:t>
            </w:r>
            <w:r>
              <w:rPr>
                <w:sz w:val="18"/>
                <w:szCs w:val="18"/>
              </w:rPr>
              <w:t xml:space="preserve">. The old CPR 305/2011 is repealed but continues to apply to product families whose harmonised standards (hENs) have not yet been replaced by new standards cited under the new CPR; a long transitional period applies (up to 2040) ⚑ VERIFY per product family.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When the CPR applies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 product covered by a hEN or European Assessment Document (EAD), placed on the market for permanent incorporation in construction works. If covered: </w:t>
            </w:r>
            <w:r>
              <w:rPr>
                <w:b/>
                <w:bCs/>
                <w:sz w:val="18"/>
                <w:szCs w:val="18"/>
              </w:rPr>
              <w:t xml:space="preserve">DoP (old CPR) or DoPC — Declaration of Performance and Conformity (new CPR)</w:t>
            </w:r>
            <w:r>
              <w:rPr>
                <w:sz w:val="18"/>
                <w:szCs w:val="18"/>
              </w:rPr>
              <w:t xml:space="preserve"> and CE marking are mandatory.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AVCP systems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System 1+</w:t>
            </w:r>
            <w:r>
              <w:rPr>
                <w:sz w:val="18"/>
                <w:szCs w:val="18"/>
              </w:rPr>
              <w:t xml:space="preserve"> — NB: product certification incl. audit testing of samples (e.g. cables of reaction-to-fire class B1ca, B2ca, Cca).</w:t>
            </w:r>
          </w:p>
          <w:p>
            <w:pPr>
              <w:spacing w:after="40"/>
            </w:pPr>
            <w:r>
              <w:rPr>
                <w:sz w:val="18"/>
                <w:szCs w:val="18"/>
              </w:rPr>
              <w:t xml:space="preserve"/>
            </w:r>
            <w:r>
              <w:rPr>
                <w:b/>
                <w:bCs/>
                <w:sz w:val="18"/>
                <w:szCs w:val="18"/>
              </w:rPr>
              <w:t xml:space="preserve">System 1</w:t>
            </w:r>
            <w:r>
              <w:rPr>
                <w:sz w:val="18"/>
                <w:szCs w:val="18"/>
              </w:rPr>
              <w:t xml:space="preserve"> — NB: product certification, initial inspection of factory and FPC, continuous surveillance (e.g. fire-resisting doors, certain fire-stopping products).</w:t>
            </w:r>
          </w:p>
          <w:p>
            <w:pPr>
              <w:spacing w:after="40"/>
            </w:pPr>
            <w:r>
              <w:rPr>
                <w:sz w:val="18"/>
                <w:szCs w:val="18"/>
              </w:rPr>
              <w:t xml:space="preserve"/>
            </w:r>
            <w:r>
              <w:rPr>
                <w:b/>
                <w:bCs/>
                <w:sz w:val="18"/>
                <w:szCs w:val="18"/>
              </w:rPr>
              <w:t xml:space="preserve">System 2+</w:t>
            </w:r>
            <w:r>
              <w:rPr>
                <w:sz w:val="18"/>
                <w:szCs w:val="18"/>
              </w:rPr>
              <w:t xml:space="preserve"> — NB certifies the </w:t>
            </w:r>
            <w:r>
              <w:rPr>
                <w:b/>
                <w:bCs/>
                <w:sz w:val="18"/>
                <w:szCs w:val="18"/>
              </w:rPr>
              <w:t xml:space="preserve">FPC</w:t>
            </w:r>
            <w:r>
              <w:rPr>
                <w:sz w:val="18"/>
                <w:szCs w:val="18"/>
              </w:rPr>
              <w:t xml:space="preserve"> (e.g. graded structural timber EN 14081-1, structural steel components EN 1090-1, aggregates for structural use).</w:t>
            </w:r>
          </w:p>
          <w:p>
            <w:pPr>
              <w:spacing w:after="40"/>
            </w:pPr>
            <w:r>
              <w:rPr>
                <w:sz w:val="18"/>
                <w:szCs w:val="18"/>
              </w:rPr>
              <w:t xml:space="preserve"/>
            </w:r>
            <w:r>
              <w:rPr>
                <w:b/>
                <w:bCs/>
                <w:sz w:val="18"/>
                <w:szCs w:val="18"/>
              </w:rPr>
              <w:t xml:space="preserve">System 3</w:t>
            </w:r>
            <w:r>
              <w:rPr>
                <w:sz w:val="18"/>
                <w:szCs w:val="18"/>
              </w:rPr>
              <w:t xml:space="preserve"> — notified lab determines product-type (e.g. many sanitary products, floorings for reaction to fire).</w:t>
            </w:r>
          </w:p>
          <w:p>
            <w:pPr>
              <w:spacing w:after="40"/>
            </w:pPr>
            <w:r>
              <w:rPr>
                <w:sz w:val="18"/>
                <w:szCs w:val="18"/>
              </w:rPr>
              <w:t xml:space="preserve"/>
            </w:r>
            <w:r>
              <w:rPr>
                <w:b/>
                <w:bCs/>
                <w:sz w:val="18"/>
                <w:szCs w:val="18"/>
              </w:rPr>
              <w:t xml:space="preserve">System 4</w:t>
            </w:r>
            <w:r>
              <w:rPr>
                <w:sz w:val="18"/>
                <w:szCs w:val="18"/>
              </w:rPr>
              <w:t xml:space="preserve"> — manufacturer only (e.g. many doors, tiles without fire requirement).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Manufacturer duties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Factory Production Control (FPC) in all systems; product-type determination; DoP/DoPC; CE marking with essential characteristics; technical documentation kept 10 years; instructions and safety information. New CPR adds: environmental sustainability characteristics (GWP first, phased by delegated acts), product information in digital form, Digital Product Passport later ⚑ VERIFY.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DoP / DoPC content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Unique product-type identification code; intended use(s) per hEN/EAD; AVCP system; NB number &amp; certificate; declared performance of </w:t>
            </w:r>
            <w:r>
              <w:rPr>
                <w:b/>
                <w:bCs/>
                <w:sz w:val="18"/>
                <w:szCs w:val="18"/>
              </w:rPr>
              <w:t xml:space="preserve">essential characteristics</w:t>
            </w:r>
            <w:r>
              <w:rPr>
                <w:sz w:val="18"/>
                <w:szCs w:val="18"/>
              </w:rPr>
              <w:t xml:space="preserve"> (no ‘NPD’ for characteristics required by the national rules of the destination country); signature, place and date.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hENs (examples)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EN 14342 wood flooring · EN 14411 ceramic tiles · EN 12004 tile adhesives · EN 14351-1 windows/external doors · EN 14592 dowel-type fasteners · EN 14081-1 structural timber · EN 1339/1338 paving · EN 15651 sealants · EN 13162–13171 thermal insulation · EN 50575 cables (reaction to fire) · EN 997 / EN 14688 sanitary appliances.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Confirm product is in a hEN/EAD scope; AVCP system correct; NB certificate (system 1+/1/2+) valid with FPC surveillance current; DoP/DoPC matches CE label and test reports (ITT/product-type determination); FPC procedures audited at the factory (§6.5).</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Common pitfalls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Treating a construction product as ‘consumer product’ under GPSR only; DoP declaring ‘NPD’ for reaction to fire; ITT reports from a non-notified lab for system 3; CE label without essential characteristics; supplier unaware of DoP→DoPC transition.</w:t>
            </w:r>
          </w:p>
        </w:tc>
      </w:tr>
    </w:tbl>
    <w:p>
      <w:pPr>
        <w:spacing w:after="60"/>
      </w:pPr>
    </w:p>
    <w:p>
      <w:pPr>
        <w:pStyle w:val="Heading2"/>
      </w:pPr>
      <w:r>
        <w:t xml:space="preserve">4.9 Toys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Directive 2009/48/EC → Regulation (EU) 2025/2509</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Relevance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DECO and GARDEN items that may be considered toys (children’s garden tools, decorative figures, Christmas decorations attractive to children, sandpits, swings). Decide via the toy definition (designed or intended for play by children &lt; 14 years) and the Commission guidance documents.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Key points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EN 71 series; chemical limits incl. nitrosamines, allergenic fragrances; new Regulation (published Dec 2025) introduces a Digital Product Passport and a general ban of CMR/endocrine-disruptor/PFAS substances, with a multi-year transition ⚑ VERIFY application date.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Escalation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Any toy or borderline item → CQAD decision before G2.</w:t>
            </w:r>
          </w:p>
        </w:tc>
      </w:tr>
    </w:tbl>
    <w:p>
      <w:pPr>
        <w:spacing w:after="60"/>
      </w:pPr>
    </w:p>
    <w:p>
      <w:pPr>
        <w:pStyle w:val="Heading2"/>
      </w:pPr>
      <w:r>
        <w:t xml:space="preserve">4.10 Chemicals and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2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Instrument</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Typical relevance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REACH (EC) 1907/2006 — Art. 33</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SVHC (Candidate List) &gt; 0.1 % w/w in any article → inform recipients; SCIP notification under Waste Framework Directive.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 categories; PVC, rubber, coatings, cables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REACH Annex XVII</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Restrictions: PAHs in rubber/plastic accessible parts (entry 50: 1 mg/kg; 0.5 mg/kg for toys/childcare); lead in PVC (entry 63); nickel release (entry 27); phthalates (entry 51); Cr VI in leather (entry 47); azo dyes (entry 43); formaldehyde emission from articles (entry 77 — 0.062 mg/m³ for furniture and wood-based articles from </w:t>
            </w:r>
            <w:r>
              <w:rPr>
                <w:b/>
                <w:bCs/>
                <w:sz w:val="18"/>
                <w:szCs w:val="18"/>
              </w:rPr>
              <w:t xml:space="preserve">6 Aug 2026</w:t>
            </w:r>
            <w:r>
              <w:rPr>
                <w:sz w:val="18"/>
                <w:szCs w:val="18"/>
              </w:rPr>
              <w:t xml:space="preserve">; road vehicles from 6 Aug 2027); microplastics (entry 78); PFHxA (entry 79) ⚑ VERIFY dates per use.</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Tool handles, garden hoses, gloves, furniture, wood panels, car mats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POPs (EU) 2019/1021</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Prohibition of SCCPs, PFOA, PFOS, decaBDE etc.</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Rubber, cables, coatings, textiles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CLP (EC) 1272/2008</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Classification, labelling and packaging of mixtures; revised by (EU) 2024/2865 (label formatting, online sales) ⚑ VERIFY.</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Adhesives, sealants, cleaners, paint, car-care fluids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Biocidal Products (EU) 528/2012</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Treated articles (e.g. antibacterial claims, treated wood) need approved active substances and labelling.</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Garden furniture, treated timber, mats</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Food contact (EC) 1935/2004 + (EU) 10/2011</w:t>
            </w:r>
          </w:p>
        </w:tc>
        <w:tc>
          <w:tcPr>
            <w:tcW w:type="dxa" w:w="4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DoC for FCM, migration tests, GMP (EC) 2023/2006.</w:t>
            </w:r>
          </w:p>
        </w:tc>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Garden/BBQ, drinkware in DECO</w:t>
            </w:r>
          </w:p>
        </w:tc>
      </w:tr>
    </w:tbl>
    <w:p>
      <w:pPr>
        <w:spacing w:after="60"/>
      </w:pPr>
    </w:p>
    <w:p>
      <w:pPr>
        <w:pStyle w:val="Heading2"/>
      </w:pPr>
      <w:r>
        <w:t xml:space="preserve">4.11 Packaging — PPWR (EU) 2025/40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Packaging and Packaging Waste Regulation (EU) 2025/40</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Status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Applies from </w:t>
            </w:r>
            <w:r>
              <w:rPr>
                <w:b/>
                <w:bCs/>
                <w:sz w:val="18"/>
                <w:szCs w:val="18"/>
              </w:rPr>
              <w:t xml:space="preserve">12 Aug 2026</w:t>
            </w:r>
            <w:r>
              <w:rPr>
                <w:sz w:val="18"/>
                <w:szCs w:val="18"/>
              </w:rPr>
              <w:t xml:space="preserve">, replacing Directive 94/62/EC; obligations phased up to 2040.</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Main obligations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Heavy metals (Pb+Cd+Hg+Cr VI) ≤ 100 mg/kg in packaging — applies now.</w:t>
            </w:r>
          </w:p>
          <w:p>
            <w:pPr>
              <w:spacing w:after="40"/>
            </w:pPr>
            <w:r>
              <w:rPr>
                <w:sz w:val="18"/>
                <w:szCs w:val="18"/>
              </w:rPr>
              <w:t xml:space="preserve">Substances of concern minimisation; PFAS restriction for food-contact packaging from 12 Aug 2026.</w:t>
            </w:r>
          </w:p>
          <w:p>
            <w:pPr>
              <w:spacing w:after="40"/>
            </w:pPr>
            <w:r>
              <w:rPr>
                <w:sz w:val="18"/>
                <w:szCs w:val="18"/>
              </w:rPr>
              <w:t xml:space="preserve">Harmonised sorting labels from 12 Aug 2028 (+ implementing act) ⚑ VERIFY; recyclability performance grades from 2030; recycled content in plastic packaging from 2030; empty space ratio ≤ 50 % for grouped/transport/e-commerce packaging from 2030.</w:t>
            </w:r>
          </w:p>
          <w:p>
            <w:pPr>
              <w:spacing w:after="40"/>
            </w:pPr>
            <w:r>
              <w:rPr>
                <w:sz w:val="18"/>
                <w:szCs w:val="18"/>
              </w:rPr>
              <w:t xml:space="preserve">EU DoC and technical documentation for packaging (Module A).</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evidence check</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Heavy-metal test or declaration per packaging component; material identification; plan for labelling transition; supplier packaging spec in QSD.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Link  </w:t>
            </w:r>
            <w:r>
              <w:rPr>
                <w:sz w:val="19"/>
                <w:szCs w:val="19"/>
              </w:rPr>
              <w:t xml:space="preserve">Use the export-packaging and PPWR document generators in the A.R.E.N.A. skill library to produce the packaging DoC and technical documentation.</w:t>
            </w:r>
          </w:p>
        </w:tc>
      </w:tr>
    </w:tbl>
    <w:p>
      <w:pPr>
        <w:spacing w:after="60"/>
      </w:pPr>
    </w:p>
    <w:p>
      <w:pPr>
        <w:pStyle w:val="Heading2"/>
      </w:pPr>
      <w:r>
        <w:t xml:space="preserve">4.12 EU Deforestation Regulation — EUDR (EU) 2023/1115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EUDR</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Scope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Relevant commodities and derived products in Annex I: </w:t>
            </w:r>
            <w:r>
              <w:rPr>
                <w:b/>
                <w:bCs/>
                <w:sz w:val="18"/>
                <w:szCs w:val="18"/>
              </w:rPr>
              <w:t xml:space="preserve">wood</w:t>
            </w:r>
            <w:r>
              <w:rPr>
                <w:sz w:val="18"/>
                <w:szCs w:val="18"/>
              </w:rPr>
              <w:t xml:space="preserve"> (furniture, decking, tool handles, frames, paper &amp; cardboard packaging when it is a product, charcoal), </w:t>
            </w:r>
            <w:r>
              <w:rPr>
                <w:b/>
                <w:bCs/>
                <w:sz w:val="18"/>
                <w:szCs w:val="18"/>
              </w:rPr>
              <w:t xml:space="preserve">rubber</w:t>
            </w:r>
            <w:r>
              <w:rPr>
                <w:sz w:val="18"/>
                <w:szCs w:val="18"/>
              </w:rPr>
              <w:t xml:space="preserve"> (tyres, mats, hoses, gloves), cattle (leather), cocoa, coffee, oil palm, soya.</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Application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30 Dec 2026 for large and medium operators; 30 Jun 2027 for micro and small operators (after the 2025 amendments) ⚑ VERIFY — a review of further simplification is pending.</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Obligations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Products must be deforestation-free (after 31 Dec 2020), legally produced, and covered by a Due Diligence Statement (DDS) in the EU Information System. Requires </w:t>
            </w:r>
            <w:r>
              <w:rPr>
                <w:b/>
                <w:bCs/>
                <w:sz w:val="18"/>
                <w:szCs w:val="18"/>
              </w:rPr>
              <w:t xml:space="preserve">geolocation of all plots of land</w:t>
            </w:r>
            <w:r>
              <w:rPr>
                <w:sz w:val="18"/>
                <w:szCs w:val="18"/>
              </w:rPr>
              <w:t xml:space="preserve">, species, quantity, supplier and customer data; risk assessment and mitigation; records kept 5 years.</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role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Collect geolocation (GeoJSON), species (scientific name), harvest country, legality documents (FSC/PEFC chain of custody is supportive but not sufficient), and batch-level traceability from forest to finished item; screen plots (e.g. WHISP); hand data to the Ally (operator).</w:t>
            </w:r>
          </w:p>
        </w:tc>
      </w:tr>
    </w:tbl>
    <w:p>
      <w:pPr>
        <w:spacing w:after="60"/>
      </w:pPr>
    </w:p>
    <w:p>
      <w:pPr>
        <w:pStyle w:val="Heading2"/>
      </w:pPr>
      <w:r>
        <w:t xml:space="preserve">4.13 Carbon Border Adjustment Mechanism — CBAM (EU) 2023/956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9638"/>
            <w:gridSpan w:val="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CBAM</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Scope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Imports of iron &amp; steel, aluminium, cement, fertilisers, hydrogen, electricity (Annex I CN codes) — including many DIY/BUILDING articles such as screws and bolts (CN 7318), steel structures (7308), aluminium structures (7610), other articles of iron/steel (7326) ⚑ VERIFY each CN code.</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Status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Transitional (reporting) period ended 31 Dec 2025. </w:t>
            </w:r>
            <w:r>
              <w:rPr>
                <w:b/>
                <w:bCs/>
                <w:sz w:val="18"/>
                <w:szCs w:val="18"/>
              </w:rPr>
              <w:t xml:space="preserve">Definitive period since 1 Jan 2026</w:t>
            </w:r>
            <w:r>
              <w:rPr>
                <w:sz w:val="18"/>
                <w:szCs w:val="18"/>
              </w:rPr>
              <w:t xml:space="preserve">: only authorised CBAM declarants may import above the de-minimis threshold of </w:t>
            </w:r>
            <w:r>
              <w:rPr>
                <w:b/>
                <w:bCs/>
                <w:sz w:val="18"/>
                <w:szCs w:val="18"/>
              </w:rPr>
              <w:t xml:space="preserve">50 t per year</w:t>
            </w:r>
            <w:r>
              <w:rPr>
                <w:sz w:val="18"/>
                <w:szCs w:val="18"/>
              </w:rPr>
              <w:t xml:space="preserve"> of CBAM goods (simplification Regulation (EU) 2025/2083); annual declaration and surrender of CBAM certificates for 2026 imports in 2027 ⚑ VERIFY.</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QS role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Obtain actual embedded-emissions data from producers using the Commission Communication Template; check CN codes, production routes, precursors and electricity; flag use of default values (cost impact).</w:t>
            </w:r>
          </w:p>
        </w:tc>
      </w:tr>
      <w:tr>
        <w:trPr>
          <w:cantSplit w:val="false"/>
        </w:trPr>
        <w:tc>
          <w:tcPr>
            <w:tcW w:type="dxa" w:w="2300"/>
            <w:tcBorders>
              <w:top w:val="single" w:color="BFBFBF" w:sz="4"/>
              <w:left w:val="single" w:color="BFBFBF" w:sz="4"/>
              <w:bottom w:val="single" w:color="BFBFBF" w:sz="4"/>
              <w:right w:val="single" w:color="BFBFBF" w:sz="4"/>
            </w:tcBorders>
            <w:shd w:fill="E8EDF5" w:color="auto" w:val="clear"/>
            <w:tcMar>
              <w:top w:type="dxa" w:w="60"/>
              <w:left w:type="dxa" w:w="100"/>
              <w:bottom w:type="dxa" w:w="60"/>
              <w:right w:type="dxa" w:w="100"/>
            </w:tcMar>
            <w:vAlign w:val="top"/>
          </w:tcPr>
          <w:p>
            <w:pPr>
              <w:spacing w:after="40"/>
            </w:pPr>
            <w:r>
              <w:rPr>
                <w:b/>
                <w:bCs/>
                <w:sz w:val="18"/>
                <w:szCs w:val="18"/>
              </w:rPr>
              <w:t xml:space="preserve">Tool</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Use the </w:t>
            </w:r>
            <w:r>
              <w:rPr>
                <w:b/>
                <w:bCs/>
                <w:sz w:val="18"/>
                <w:szCs w:val="18"/>
              </w:rPr>
              <w:t xml:space="preserve">CBAM Communication Console</w:t>
            </w:r>
            <w:r>
              <w:rPr>
                <w:sz w:val="18"/>
                <w:szCs w:val="18"/>
              </w:rPr>
              <w:t xml:space="preserve"> in this repository (index.html) for scope check, cell-by-cell guidance and the SEE calculation.</w:t>
            </w:r>
          </w:p>
        </w:tc>
      </w:tr>
    </w:tbl>
    <w:p>
      <w:pPr>
        <w:spacing w:after="60"/>
      </w:pPr>
    </w:p>
    <w:p>
      <w:pPr>
        <w:pStyle w:val="Heading2"/>
      </w:pPr>
      <w:r>
        <w:t xml:space="preserve">4.14 EEA-3 and Switzerland</w:t>
      </w:r>
    </w:p>
    <w:p>
      <w:pPr>
        <w:pStyle w:val="ListParagraph"/>
        <w:numPr>
          <w:ilvl w:val="0"/>
          <w:numId w:val="2"/>
        </w:numPr>
        <w:spacing w:after="60"/>
      </w:pPr>
      <w:r>
        <w:t xml:space="preserve"/>
      </w:r>
      <w:r>
        <w:rPr>
          <w:b/>
          <w:bCs/>
        </w:rPr>
        <w:t xml:space="preserve">EEA-3 (IS, LI, NO):</w:t>
      </w:r>
      <w:r>
        <w:t xml:space="preserve"> EU product legislation applies via the EEA Agreement once incorporated — usually the same requirements; check incorporation status for very recent acts (e.g. PPWR, new CPR) ⚑ VERIFY.</w:t>
      </w:r>
    </w:p>
    <w:p>
      <w:pPr>
        <w:pStyle w:val="ListParagraph"/>
        <w:numPr>
          <w:ilvl w:val="0"/>
          <w:numId w:val="2"/>
        </w:numPr>
        <w:spacing w:after="60"/>
      </w:pPr>
      <w:r>
        <w:t xml:space="preserve"/>
      </w:r>
      <w:r>
        <w:rPr>
          <w:b/>
          <w:bCs/>
        </w:rPr>
        <w:t xml:space="preserve">Switzerland:</w:t>
      </w:r>
      <w:r>
        <w:t xml:space="preserve"> Product Safety Act (PrSG/LSPro) and sector ordinances aligned with EU directives; EU–CH MRA covers many sectors (but no longer Medical Devices). Chemicals under ChemRRV/ORRChim (not REACH directly); batteries under ChemRRV Annex 2.15 — not the EU Battery Regulation. CE-marked products are generally accepted; labelling in DE/FR/IT according to the language region.</w:t>
      </w:r>
    </w:p>
    <w:p>
      <w:pPr>
        <w:pStyle w:val="ListParagraph"/>
        <w:numPr>
          <w:ilvl w:val="0"/>
          <w:numId w:val="2"/>
        </w:numPr>
        <w:spacing w:after="60"/>
      </w:pPr>
      <w:r>
        <w:t xml:space="preserve">Swiss authorised representative / importer address required where the CH ordinance requires it (e.g. some machinery and PPE via PrSV) ⚑ VERIFY per product.</w:t>
      </w:r>
    </w:p>
    <w:p>
      <w:pPr>
        <w:pStyle w:val="Heading2"/>
      </w:pPr>
      <w:r>
        <w:t xml:space="preserve">4.15 United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Topic</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CPSC / CPSA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 duty to report defects (Section 15(b)); General Certificate of Conformity (GCC) for products subject to a CPSC rule; Children’s Product Certificate (CPC) with CPSC-accepted lab for children’s products.</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CPSIA</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Lead in substrate ≤ 100 ppm, lead in paint/surface coatings ≤ 90 ppm (children’s products); phthalates ≤ 0.1 %; tracking labels.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Batteries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Reese’s Law 16 CFR 1263 (button/coin cells: secure compartments, warnings, child-resistant packaging); UL 2054/UL 62133; UN 38.3 for transport; CEC/DOE battery charger efficiency.</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Electrical</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OSHA NRTL listing (UL/ETL/CSA-US) required in workplaces and by retailers in practice: UL 62841 tools, UL 1598/8750 lighting, UL 1310 class 2 power units.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Radio / EMC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FCC Part 15 (SDoC for unintentional radiators; certification for intentional radiators — FCC ID).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Chemicals</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California Prop 65 (clear and reasonable warning, short-form rules updated 2025 ⚑ VERIFY); TSCA Title VI formaldehyde (composite wood — TSCA Title VI label); TSCA PFAS reporting; state PFAS/flame-retardant laws (ME, MN, NY, WA…).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Wood / forced labour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Lacey Act (PPQ 505 declaration — genus, species, country of harvest); UFLPA (rebuttable presumption for Xinjiang inputs) — trace cotton, PVC, aluminium, polysilicon.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PPE</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OSHA references ANSI/ISEA standards (Z87.1 eyewear, ISEA 105 gloves); NIOSH approval for respirators.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Labelling</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Country-of-origin marking (19 CFR 134); FTC rules (Made in USA, textile).</w:t>
            </w:r>
          </w:p>
        </w:tc>
      </w:tr>
    </w:tbl>
    <w:p>
      <w:pPr>
        <w:spacing w:after="60"/>
      </w:pPr>
    </w:p>
    <w:p>
      <w:pPr>
        <w:pStyle w:val="Heading2"/>
      </w:pPr>
      <w:r>
        <w:t xml:space="preserve">4.16 Canada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Topic</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CCPSA</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Canada Consumer Product Safety Act: general prohibition on dangers to human health; mandatory incident reporting within 2 days; documentation for traceability (6 years).</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Regulations (SOR)</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Surface Coating Materials SOR/2016-193; Lead in Consumer Products SOR/2018-83; Phthalates SOR/2016-188; Consumer Chemicals and Containers Regulations 2001 (CCCR) for adhesives, car-care chemicals; Formaldehyde Emissions from Composite Wood Products SOR/2021-148; Toys SOR/2011-17; Corded Window Coverings SOR/2019-97.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Electrical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Certification by an SCC-accredited body (CSA, cUL, cETL) mandatory under provincial electrical codes.</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Radio / EMC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ISED: ICES-003 (digital apparatus), RSS standards and IC certification number for radio.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Labelling</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Consumer Packaging and Labelling Act — bilingual (English/French) mandatory information; Textile Labelling Act.</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Batteries</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Provincial EPR / stewardship programs; TDG for transport (UN 38.3).</w:t>
            </w:r>
          </w:p>
        </w:tc>
      </w:tr>
    </w:tbl>
    <w:p>
      <w:pPr>
        <w:spacing w:after="60"/>
      </w:pPr>
    </w:p>
    <w:p>
      <w:pPr>
        <w:pStyle w:val="Heading1"/>
        <w:pageBreakBefore/>
      </w:pPr>
      <w:r>
        <w:t xml:space="preserve">5. Core quality &amp; compliance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1700"/>
        <w:gridCol w:w="21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Document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Purpose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Owner</w:t>
            </w:r>
          </w:p>
        </w:tc>
        <w:tc>
          <w:tcPr>
            <w:tcW w:type="dxa" w:w="2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QS action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QSD — Quality Specification Document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Binding specification: dimensions, materials, performance, marking, packaging, regulatory requirements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Draft, agree with supplier &amp; Ally, control revisions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QCP — Quality Control Plan</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Control points from incoming material to packing: method, frequency, criteria, record</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 (QS approves)</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Approve; audit implementation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CPTP — Compliance Product Test Plan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 list per market, standard, lab, frequency (initial / periodic / per batch)</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Build from §4; budget; book labs</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Test report</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Evidence of conformity to a standard</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Lab</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Validate (§5.1)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Certificate (EU-TEC, CPR, NB)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Third-party attestation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Notified Body</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Check validity, scope, NANDO</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DoC / DoP / DoPC</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Legal declaration by manufacturer</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Manufacturer / Ally</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Check content (§5.2)</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TCF — Technical Construction File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Complete evidence pack for authorities, kept 10 years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Manufacturer / Ally</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Maintain index; completeness before G6</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SDS</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Safety Data Sheet for mixtures (REACH Art. 31)</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Check 16 sections, EU language, version date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BOM &amp; material declaration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Traceability of components and substances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Link to REACH/RoHS/POPs evidence</w:t>
            </w:r>
          </w:p>
        </w:tc>
      </w:tr>
      <w:tr>
        <w:trPr>
          <w:cantSplit/>
        </w:trPr>
        <w:tc>
          <w:tcPr>
            <w:tcW w:type="dxa" w:w="2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User instructions &amp; artwork</w:t>
            </w:r>
          </w:p>
        </w:tc>
        <w:tc>
          <w:tcPr>
            <w:tcW w:type="dxa" w:w="33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Safety information, marking</w:t>
            </w:r>
          </w:p>
        </w:tc>
        <w:tc>
          <w:tcPr>
            <w:tcW w:type="dxa" w:w="17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Supplier / Ally design</w:t>
            </w:r>
          </w:p>
        </w:tc>
        <w:tc>
          <w:tcPr>
            <w:tcW w:type="dxa" w:w="2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Verify against standards and §4 marking rules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report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Lot release evidence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 / 3rd party</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Issue and file</w:t>
            </w:r>
          </w:p>
        </w:tc>
      </w:tr>
    </w:tbl>
    <w:p>
      <w:pPr>
        <w:spacing w:after="60"/>
      </w:pPr>
    </w:p>
    <w:p>
      <w:pPr>
        <w:pStyle w:val="Heading2"/>
      </w:pPr>
      <w:r>
        <w:t xml:space="preserve">5.1 Test report validation checklist</w:t>
      </w:r>
    </w:p>
    <w:p>
      <w:pPr>
        <w:pStyle w:val="ListParagraph"/>
        <w:numPr>
          <w:ilvl w:val="0"/>
          <w:numId w:val="2"/>
        </w:numPr>
        <w:spacing w:after="60"/>
      </w:pPr>
      <w:r>
        <w:t xml:space="preserve">Laboratory accredited to ISO/IEC 17025 </w:t>
      </w:r>
      <w:r>
        <w:rPr>
          <w:b/>
          <w:bCs/>
        </w:rPr>
        <w:t xml:space="preserve">for the specific standard</w:t>
      </w:r>
      <w:r>
        <w:t xml:space="preserve"> (check accreditation scope and accreditation body, e.g. under ILAC MRA); Notified-Body lab where the route requires it.</w:t>
      </w:r>
    </w:p>
    <w:p>
      <w:pPr>
        <w:pStyle w:val="ListParagraph"/>
        <w:numPr>
          <w:ilvl w:val="0"/>
          <w:numId w:val="2"/>
        </w:numPr>
        <w:spacing w:after="60"/>
      </w:pPr>
      <w:r>
        <w:t xml:space="preserve">Applicant / manufacturer and factory address match the actual production site.</w:t>
      </w:r>
    </w:p>
    <w:p>
      <w:pPr>
        <w:pStyle w:val="ListParagraph"/>
        <w:numPr>
          <w:ilvl w:val="0"/>
          <w:numId w:val="2"/>
        </w:numPr>
        <w:spacing w:after="60"/>
      </w:pPr>
      <w:r>
        <w:t xml:space="preserve">Model number, description, photos and ratings match the QSD and golden sample (colour variants, battery, charger, accessories).</w:t>
      </w:r>
    </w:p>
    <w:p>
      <w:pPr>
        <w:pStyle w:val="ListParagraph"/>
        <w:numPr>
          <w:ilvl w:val="0"/>
          <w:numId w:val="2"/>
        </w:numPr>
        <w:spacing w:after="60"/>
      </w:pPr>
      <w:r>
        <w:t xml:space="preserve">Standard and </w:t>
      </w:r>
      <w:r>
        <w:rPr>
          <w:b/>
          <w:bCs/>
        </w:rPr>
        <w:t xml:space="preserve">edition/amendment</w:t>
      </w:r>
      <w:r>
        <w:t xml:space="preserve"> current (or within the OJEU transition date).</w:t>
      </w:r>
    </w:p>
    <w:p>
      <w:pPr>
        <w:pStyle w:val="ListParagraph"/>
        <w:numPr>
          <w:ilvl w:val="0"/>
          <w:numId w:val="2"/>
        </w:numPr>
        <w:spacing w:after="60"/>
      </w:pPr>
      <w:r>
        <w:t xml:space="preserve">All applicable clauses tested; ‘N/A’ justified; overall verdict PASS; no open remarks.</w:t>
      </w:r>
    </w:p>
    <w:p>
      <w:pPr>
        <w:pStyle w:val="ListParagraph"/>
        <w:numPr>
          <w:ilvl w:val="0"/>
          <w:numId w:val="2"/>
        </w:numPr>
        <w:spacing w:after="60"/>
      </w:pPr>
      <w:r>
        <w:t xml:space="preserve">Report date: initial type test normally ≤ 3 years old (internal rule, or per Ally requirement); chemical tests ≤ 12 months or per batch for high-risk materials.</w:t>
      </w:r>
    </w:p>
    <w:p>
      <w:pPr>
        <w:pStyle w:val="ListParagraph"/>
        <w:numPr>
          <w:ilvl w:val="0"/>
          <w:numId w:val="2"/>
        </w:numPr>
        <w:spacing w:after="60"/>
      </w:pPr>
      <w:r>
        <w:t xml:space="preserve">Signed, with unique report number; verify authenticity with the lab for any doubt (QR / online verification).</w:t>
      </w:r>
    </w:p>
    <w:p>
      <w:pPr>
        <w:pStyle w:val="ListParagraph"/>
        <w:numPr>
          <w:ilvl w:val="0"/>
          <w:numId w:val="2"/>
        </w:numPr>
        <w:spacing w:after="60"/>
      </w:pPr>
      <w:r>
        <w:t xml:space="preserve">Critical components (cells, power supply, switches, cables, plugs) listed with their own certificates; any component change triggers re-assessment.</w:t>
      </w:r>
    </w:p>
    <w:p>
      <w:pPr>
        <w:pStyle w:val="Heading2"/>
      </w:pPr>
      <w:r>
        <w:t xml:space="preserve">5.2 EU Declaration of Conformity — content check</w:t>
      </w:r>
    </w:p>
    <w:p>
      <w:pPr>
        <w:pStyle w:val="ListParagraph"/>
        <w:numPr>
          <w:ilvl w:val="0"/>
          <w:numId w:val="2"/>
        </w:numPr>
        <w:spacing w:after="60"/>
      </w:pPr>
      <w:r>
        <w:t xml:space="preserve">Product identification (model, type, batch/serial range) allowing traceability; photo where appropriate.</w:t>
      </w:r>
    </w:p>
    <w:p>
      <w:pPr>
        <w:pStyle w:val="ListParagraph"/>
        <w:numPr>
          <w:ilvl w:val="0"/>
          <w:numId w:val="2"/>
        </w:numPr>
        <w:spacing w:after="60"/>
      </w:pPr>
      <w:r>
        <w:t xml:space="preserve">Name and address of the manufacturer (and authorised representative).</w:t>
      </w:r>
    </w:p>
    <w:p>
      <w:pPr>
        <w:pStyle w:val="ListParagraph"/>
        <w:numPr>
          <w:ilvl w:val="0"/>
          <w:numId w:val="2"/>
        </w:numPr>
        <w:spacing w:after="60"/>
      </w:pPr>
      <w:r>
        <w:t xml:space="preserve">Statement: issued under the sole responsibility of the manufacturer.</w:t>
      </w:r>
    </w:p>
    <w:p>
      <w:pPr>
        <w:pStyle w:val="ListParagraph"/>
        <w:numPr>
          <w:ilvl w:val="0"/>
          <w:numId w:val="2"/>
        </w:numPr>
        <w:spacing w:after="60"/>
      </w:pPr>
      <w:r>
        <w:t xml:space="preserve"/>
      </w:r>
      <w:r>
        <w:rPr>
          <w:b/>
          <w:bCs/>
        </w:rPr>
        <w:t xml:space="preserve">All</w:t>
      </w:r>
      <w:r>
        <w:t xml:space="preserve"> applicable Union acts listed (e.g. Machinery + EMC + RoHS + Batteries).</w:t>
      </w:r>
    </w:p>
    <w:p>
      <w:pPr>
        <w:pStyle w:val="ListParagraph"/>
        <w:numPr>
          <w:ilvl w:val="0"/>
          <w:numId w:val="2"/>
        </w:numPr>
        <w:spacing w:after="60"/>
      </w:pPr>
      <w:r>
        <w:t xml:space="preserve">Harmonised standards / specifications with dates/editions.</w:t>
      </w:r>
    </w:p>
    <w:p>
      <w:pPr>
        <w:pStyle w:val="ListParagraph"/>
        <w:numPr>
          <w:ilvl w:val="0"/>
          <w:numId w:val="2"/>
        </w:numPr>
        <w:spacing w:after="60"/>
      </w:pPr>
      <w:r>
        <w:t xml:space="preserve">Notified Body name, number, certificate/module (where applicable).</w:t>
      </w:r>
    </w:p>
    <w:p>
      <w:pPr>
        <w:pStyle w:val="ListParagraph"/>
        <w:numPr>
          <w:ilvl w:val="0"/>
          <w:numId w:val="2"/>
        </w:numPr>
        <w:spacing w:after="60"/>
      </w:pPr>
      <w:r>
        <w:t xml:space="preserve">Place, date, name, function and signature.</w:t>
      </w:r>
    </w:p>
    <w:p>
      <w:pPr>
        <w:pStyle w:val="ListParagraph"/>
        <w:numPr>
          <w:ilvl w:val="0"/>
          <w:numId w:val="2"/>
        </w:numPr>
        <w:spacing w:after="60"/>
      </w:pPr>
      <w:r>
        <w:t xml:space="preserve">Translated into the language(s) required by the Member State of placement.</w:t>
      </w:r>
    </w:p>
    <w:p>
      <w:pPr>
        <w:pStyle w:val="Heading1"/>
        <w:pageBreakBefore/>
      </w:pPr>
      <w:r>
        <w:t xml:space="preserve">6. Inspections, audits and golden samples</w:t>
      </w:r>
    </w:p>
    <w:p>
      <w:pPr>
        <w:pStyle w:val="Heading2"/>
      </w:pPr>
      <w:r>
        <w:t xml:space="preserve">6.1 Inspection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Type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When</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Focus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PPI — pre-production inspection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Before mass production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Raw materials, components (vs. BOM and certificates), tooling, golden sample availability</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DUPRO — during production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20–30 % produced</w:t>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Process conformity, early defect detection, first finished units vs. QSD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 final random inspection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80 % packed (100 % produced)</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Quantity, workmanship, function, safety tests, marking, packaging, carton drop</w:t>
            </w:r>
          </w:p>
        </w:tc>
      </w:tr>
      <w:tr>
        <w:trPr>
          <w:cantSplit/>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LS — loading supervision</w:t>
            </w:r>
          </w:p>
        </w:tc>
        <w:tc>
          <w:tcPr>
            <w:tcW w:type="dxa" w:w="2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At container stuffing</w:t>
            </w:r>
          </w:p>
        </w:tc>
        <w:tc>
          <w:tcPr>
            <w:tcW w:type="dxa" w:w="46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Quantity, condition, container condition, seal number</w:t>
            </w:r>
          </w:p>
        </w:tc>
      </w:tr>
    </w:tbl>
    <w:p>
      <w:pPr>
        <w:spacing w:after="60"/>
      </w:pPr>
    </w:p>
    <w:p>
      <w:pPr>
        <w:pStyle w:val="Heading2"/>
      </w:pPr>
      <w:r>
        <w:t xml:space="preserve">6.2 Sampling — ISO 2859-1</w:t>
      </w:r>
    </w:p>
    <w:p>
      <w:pPr>
        <w:spacing w:after="100"/>
      </w:pPr>
      <w:r>
        <w:t xml:space="preserve">Default A.R.E.N.A. criteria unless the Ally specifies otherwise: single sampling, normal inspection, </w:t>
      </w:r>
      <w:r>
        <w:rPr>
          <w:b/>
          <w:bCs/>
        </w:rPr>
        <w:t xml:space="preserve">General Inspection Level II</w:t>
      </w:r>
      <w:r>
        <w:t xml:space="preserve">; AQL </w:t>
      </w:r>
      <w:r>
        <w:rPr>
          <w:b/>
          <w:bCs/>
        </w:rPr>
        <w:t xml:space="preserve">Critical 0 / Major 2.5 / Minor 4.0</w:t>
      </w:r>
      <w:r>
        <w:t xml:space="preserve">. Special Level S-2/S-3 for destructive or time-consuming tests (e.g. hi-pot, function, drop).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1200"/>
        <w:gridCol w:w="1800"/>
        <w:gridCol w:w="2350"/>
        <w:gridCol w:w="2350"/>
      </w:tblGrid>
      <w:tr>
        <w:trPr>
          <w:tblHeader/>
        </w:trPr>
        <w:tc>
          <w:tcPr>
            <w:tcW w:type="dxa" w:w="1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Lot size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Code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Sample size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Major 2.5 Ac/Re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Minor 4.0 Ac/Re</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281–500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50</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 / 4</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 / 6</w:t>
            </w:r>
          </w:p>
        </w:tc>
      </w:tr>
      <w:tr>
        <w:trPr>
          <w:cantSplit/>
        </w:trPr>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501–1 200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J</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80</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5 / 6</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7 / 8</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1 201–3 200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125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 / 8</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 11</w:t>
            </w:r>
          </w:p>
        </w:tc>
      </w:tr>
      <w:tr>
        <w:trPr>
          <w:cantSplit/>
        </w:trPr>
        <w:tc>
          <w:tcPr>
            <w:tcW w:type="dxa" w:w="19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3 201–10 000</w:t>
            </w:r>
          </w:p>
        </w:tc>
        <w:tc>
          <w:tcPr>
            <w:tcW w:type="dxa" w:w="1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200</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 / 11</w:t>
            </w:r>
          </w:p>
        </w:tc>
        <w:tc>
          <w:tcPr>
            <w:tcW w:type="dxa" w:w="235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 / 15</w:t>
            </w:r>
          </w:p>
        </w:tc>
      </w:tr>
      <w:tr>
        <w:trPr>
          <w:cantSplit/>
        </w:trPr>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10 001–35 000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315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14 / 15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21 / 22</w:t>
            </w:r>
          </w:p>
        </w:tc>
      </w:tr>
    </w:tbl>
    <w:p>
      <w:pPr>
        <w:spacing w:after="60"/>
      </w:pPr>
    </w:p>
    <w:p>
      <w:pPr>
        <w:pStyle w:val="Heading2"/>
      </w:pPr>
      <w:r>
        <w:t xml:space="preserve">6.3 Defect classification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438"/>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Class</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Definition</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Examples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Critical</w:t>
            </w:r>
            <w:r>
              <w:rPr>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Likely to cause hazard to user, or non-compliance with legal requirement</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Hi-pot failure, sharp edge, missing guard, wrong/missing CE or NB number, missing battery label elements, unsafe plug, missing mandatory warnings</w:t>
            </w:r>
          </w:p>
        </w:tc>
      </w:tr>
      <w:tr>
        <w:trPr>
          <w:cantSplit/>
        </w:trPr>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r>
              <w:rPr>
                <w:b/>
                <w:bCs/>
                <w:sz w:val="18"/>
                <w:szCs w:val="18"/>
              </w:rPr>
              <w:t xml:space="preserve">Major</w:t>
            </w:r>
            <w:r>
              <w:rPr>
                <w:sz w:val="18"/>
                <w:szCs w:val="18"/>
              </w:rPr>
              <w:t xml:space="preserve"/>
            </w:r>
          </w:p>
        </w:tc>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Likely to cause failure or materially reduce usability; customer would return</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Function failure, wrong dimension beyond tolerance, wrong colour vs. golden sample, missing accessory, manual missing language</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r>
              <w:rPr>
                <w:b/>
                <w:bCs/>
                <w:sz w:val="18"/>
                <w:szCs w:val="18"/>
              </w:rPr>
              <w:t xml:space="preserve">Minor</w:t>
            </w:r>
            <w:r>
              <w:rPr>
                <w:sz w:val="18"/>
                <w:szCs w:val="18"/>
              </w:rPr>
              <w:t xml:space="preserve"/>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Unlikely to reduce usability; departure from standard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Small cosmetic marks, slight packaging scuffs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C9A227" w:sz="24"/>
              <w:bottom w:val="single" w:color="BFBFBF" w:sz="4"/>
              <w:right w:val="single" w:color="BFBFBF" w:sz="4"/>
            </w:tcBorders>
            <w:shd w:fill="FFF8E1" w:color="auto" w:val="clear"/>
            <w:tcMar>
              <w:top w:type="dxa" w:w="80"/>
              <w:left w:type="dxa" w:w="160"/>
              <w:bottom w:type="dxa" w:w="80"/>
              <w:right w:type="dxa" w:w="120"/>
            </w:tcMar>
          </w:tcPr>
          <w:p>
            <w:r>
              <w:rPr>
                <w:b/>
                <w:bCs/>
                <w:color w:val="7F6000"/>
                <w:sz w:val="19"/>
                <w:szCs w:val="19"/>
              </w:rPr>
              <w:t xml:space="preserve">Rule  </w:t>
            </w:r>
            <w:r>
              <w:rPr>
                <w:sz w:val="19"/>
                <w:szCs w:val="19"/>
              </w:rPr>
              <w:t xml:space="preserve">Any critical defect = lot rejected regardless of AQL. The QS photographs, segregates samples, informs the QA Manager immediately and the CQAD within 4 hours.</w:t>
            </w:r>
          </w:p>
        </w:tc>
      </w:tr>
    </w:tbl>
    <w:p>
      <w:pPr>
        <w:spacing w:after="60"/>
      </w:pPr>
    </w:p>
    <w:p>
      <w:pPr>
        <w:pStyle w:val="Heading2"/>
      </w:pPr>
      <w:r>
        <w:t xml:space="preserve">6.4 Golden samples</w:t>
      </w:r>
    </w:p>
    <w:p>
      <w:pPr>
        <w:pStyle w:val="ListParagraph"/>
        <w:numPr>
          <w:ilvl w:val="0"/>
          <w:numId w:val="2"/>
        </w:numPr>
        <w:spacing w:after="60"/>
      </w:pPr>
      <w:r>
        <w:t xml:space="preserve">Minimum set: 3 sealed units (Ally, supplier, A.R.E.N.A. office) with label: item no., revision of QSD, date, seal no., signatures.</w:t>
      </w:r>
    </w:p>
    <w:p>
      <w:pPr>
        <w:pStyle w:val="ListParagraph"/>
        <w:numPr>
          <w:ilvl w:val="0"/>
          <w:numId w:val="2"/>
        </w:numPr>
        <w:spacing w:after="60"/>
      </w:pPr>
      <w:r>
        <w:t xml:space="preserve">Validity: 12 months or until a design/material change — whichever comes first; re-validate after storage damage, colour fading, or a failed FRI attributed to the reference.</w:t>
      </w:r>
    </w:p>
    <w:p>
      <w:pPr>
        <w:pStyle w:val="ListParagraph"/>
        <w:numPr>
          <w:ilvl w:val="0"/>
          <w:numId w:val="2"/>
        </w:numPr>
        <w:spacing w:after="60"/>
      </w:pPr>
      <w:r>
        <w:t xml:space="preserve">Store away from UV/humidity; log location; never use a golden sample for destructive testing.</w:t>
      </w:r>
    </w:p>
    <w:p>
      <w:pPr>
        <w:pStyle w:val="Heading2"/>
      </w:pPr>
      <w:r>
        <w:t xml:space="preserve">6.5 Factory and production-line audits; FPC</w:t>
      </w:r>
    </w:p>
    <w:p>
      <w:pPr>
        <w:pStyle w:val="ListParagraph"/>
        <w:numPr>
          <w:ilvl w:val="0"/>
          <w:numId w:val="2"/>
        </w:numPr>
        <w:spacing w:after="60"/>
      </w:pPr>
      <w:r>
        <w:t xml:space="preserve"/>
      </w:r>
      <w:r>
        <w:rPr>
          <w:b/>
          <w:bCs/>
        </w:rPr>
        <w:t xml:space="preserve">Supplier evaluation audit</w:t>
      </w:r>
      <w:r>
        <w:t xml:space="preserve"> (G1): management system, capacity, QC organisation, calibration, traceability, subcontractor control, social compliance prerequisites (amfori BSCI / SMETA / equivalent per Ally).</w:t>
      </w:r>
    </w:p>
    <w:p>
      <w:pPr>
        <w:pStyle w:val="ListParagraph"/>
        <w:numPr>
          <w:ilvl w:val="0"/>
          <w:numId w:val="2"/>
        </w:numPr>
        <w:spacing w:after="60"/>
      </w:pPr>
      <w:r>
        <w:t xml:space="preserve"/>
      </w:r>
      <w:r>
        <w:rPr>
          <w:b/>
          <w:bCs/>
        </w:rPr>
        <w:t xml:space="preserve">Production-line audit</w:t>
      </w:r>
      <w:r>
        <w:t xml:space="preserve">: process flow vs. QCP, critical process parameters, in-line tests (hi-pot 100 %, earth continuity, function), operator instructions, NC segregation.</w:t>
      </w:r>
    </w:p>
    <w:p>
      <w:pPr>
        <w:pStyle w:val="ListParagraph"/>
        <w:numPr>
          <w:ilvl w:val="0"/>
          <w:numId w:val="2"/>
        </w:numPr>
        <w:spacing w:after="60"/>
      </w:pPr>
      <w:r>
        <w:t xml:space="preserve"/>
      </w:r>
      <w:r>
        <w:rPr>
          <w:b/>
          <w:bCs/>
        </w:rPr>
        <w:t xml:space="preserve">FPC audit (CPR)</w:t>
      </w:r>
      <w:r>
        <w:t xml:space="preserve">: documented FPC per hEN Annex; incoming raw-material control; test frequencies; equipment calibration; NB surveillance reports; traceability of each batch to its DoP/DoPC.</w:t>
      </w:r>
    </w:p>
    <w:p>
      <w:pPr>
        <w:pStyle w:val="ListParagraph"/>
        <w:numPr>
          <w:ilvl w:val="0"/>
          <w:numId w:val="2"/>
        </w:numPr>
        <w:spacing w:after="60"/>
      </w:pPr>
      <w:r>
        <w:t xml:space="preserve">Score, record findings with objective evidence (photo, document ref.), agree a CAPA plan with dates, verify at next visit.</w:t>
      </w:r>
    </w:p>
    <w:p>
      <w:pPr>
        <w:pStyle w:val="Heading1"/>
        <w:pageBreakBefore/>
      </w:pPr>
      <w:r>
        <w:t xml:space="preserve">7. Non-conformity, root cause analysis and CAPA</w:t>
      </w:r>
    </w:p>
    <w:p>
      <w:pPr>
        <w:pStyle w:val="Heading2"/>
      </w:pPr>
      <w:r>
        <w:t xml:space="preserve">7.1 Process</w:t>
      </w:r>
    </w:p>
    <w:p>
      <w:pPr>
        <w:pStyle w:val="ListParagraph"/>
        <w:numPr>
          <w:ilvl w:val="0"/>
          <w:numId w:val="4"/>
        </w:numPr>
        <w:spacing w:after="60"/>
      </w:pPr>
      <w:r>
        <w:t xml:space="preserve"/>
      </w:r>
      <w:r>
        <w:rPr>
          <w:b/>
          <w:bCs/>
        </w:rPr>
        <w:t xml:space="preserve">Detect &amp; record</w:t>
      </w:r>
      <w:r>
        <w:t xml:space="preserve"> — NCR with item, lot, quantity, defect class, photos, reference requirement.</w:t>
      </w:r>
    </w:p>
    <w:p>
      <w:pPr>
        <w:pStyle w:val="ListParagraph"/>
        <w:numPr>
          <w:ilvl w:val="0"/>
          <w:numId w:val="4"/>
        </w:numPr>
        <w:spacing w:after="60"/>
      </w:pPr>
      <w:r>
        <w:t xml:space="preserve"/>
      </w:r>
      <w:r>
        <w:rPr>
          <w:b/>
          <w:bCs/>
        </w:rPr>
        <w:t xml:space="preserve">Contain (≤ 24 h)</w:t>
      </w:r>
      <w:r>
        <w:t xml:space="preserve"> — segregate, 100 % sort or hold; check other lots, stock in transit and other items sharing the same component.</w:t>
      </w:r>
    </w:p>
    <w:p>
      <w:pPr>
        <w:pStyle w:val="ListParagraph"/>
        <w:numPr>
          <w:ilvl w:val="0"/>
          <w:numId w:val="4"/>
        </w:numPr>
        <w:spacing w:after="60"/>
      </w:pPr>
      <w:r>
        <w:t xml:space="preserve"/>
      </w:r>
      <w:r>
        <w:rPr>
          <w:b/>
          <w:bCs/>
        </w:rPr>
        <w:t xml:space="preserve">Root cause</w:t>
      </w:r>
      <w:r>
        <w:t xml:space="preserve"> — 5-Why for simple causes; Ishikawa (Man, Machine, Method, Material, Measurement, Environment) for complex; distinguish occurrence cause and non-detection cause.</w:t>
      </w:r>
    </w:p>
    <w:p>
      <w:pPr>
        <w:pStyle w:val="ListParagraph"/>
        <w:numPr>
          <w:ilvl w:val="0"/>
          <w:numId w:val="4"/>
        </w:numPr>
        <w:spacing w:after="60"/>
      </w:pPr>
      <w:r>
        <w:t xml:space="preserve"/>
      </w:r>
      <w:r>
        <w:rPr>
          <w:b/>
          <w:bCs/>
        </w:rPr>
        <w:t xml:space="preserve">Corrective action</w:t>
      </w:r>
      <w:r>
        <w:t xml:space="preserve"> — eliminate root cause; update QCP/QSD/FMEA; train.</w:t>
      </w:r>
    </w:p>
    <w:p>
      <w:pPr>
        <w:pStyle w:val="ListParagraph"/>
        <w:numPr>
          <w:ilvl w:val="0"/>
          <w:numId w:val="4"/>
        </w:numPr>
        <w:spacing w:after="60"/>
      </w:pPr>
      <w:r>
        <w:t xml:space="preserve"/>
      </w:r>
      <w:r>
        <w:rPr>
          <w:b/>
          <w:bCs/>
        </w:rPr>
        <w:t xml:space="preserve">Verify effectiveness</w:t>
      </w:r>
      <w:r>
        <w:t xml:space="preserve"> — data from next 3 lots or re-inspection; close only with evidence.</w:t>
      </w:r>
    </w:p>
    <w:p>
      <w:pPr>
        <w:pStyle w:val="ListParagraph"/>
        <w:numPr>
          <w:ilvl w:val="0"/>
          <w:numId w:val="4"/>
        </w:numPr>
        <w:spacing w:after="60"/>
      </w:pPr>
      <w:r>
        <w:t xml:space="preserve"/>
      </w:r>
      <w:r>
        <w:rPr>
          <w:b/>
          <w:bCs/>
        </w:rPr>
        <w:t xml:space="preserve">8D report</w:t>
      </w:r>
      <w:r>
        <w:t xml:space="preserve"> — mandatory for: critical defects, customer complaints, recalls, authority requests, repeated major defects (≥ 2 lots).</w:t>
      </w:r>
    </w:p>
    <w:p>
      <w:pPr>
        <w:pStyle w:val="Heading2"/>
      </w:pPr>
      <w:r>
        <w:t xml:space="preserve">7.2 Escalation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4038"/>
        <w:gridCol w:w="180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Event</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Notify</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Deadline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Critical defect at inspection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QA Manager + CQAD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4 h</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Safety incident / injury reported by market</w:t>
            </w:r>
          </w:p>
        </w:tc>
        <w:tc>
          <w:tcPr>
            <w:tcW w:type="dxa" w:w="4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CQAD → Ally (GPSR Safety Business Gateway; CCPSA 2 days; CPSC 15(b) 24 h)</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Same day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Falsified or suspect test report / certificate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CQAD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Immediately; stop shipment</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Expired NB certificate before shipment</w:t>
            </w:r>
          </w:p>
        </w:tc>
        <w:tc>
          <w:tcPr>
            <w:tcW w:type="dxa" w:w="4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QA Manager + CQAD</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 working day</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Supplier unannounced change (material/sub-supplier)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QA Manager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 working day</w:t>
            </w:r>
          </w:p>
        </w:tc>
      </w:tr>
    </w:tbl>
    <w:p>
      <w:pPr>
        <w:spacing w:after="60"/>
      </w:pPr>
    </w:p>
    <w:p>
      <w:pPr>
        <w:pStyle w:val="Heading1"/>
        <w:pageBreakBefore/>
      </w:pPr>
      <w:r>
        <w:t xml:space="preserve">8. Supplier management</w:t>
      </w:r>
    </w:p>
    <w:p>
      <w:pPr>
        <w:pStyle w:val="Heading2"/>
      </w:pPr>
      <w:r>
        <w:t xml:space="preserve">8.1 Onboarding documents</w:t>
      </w:r>
    </w:p>
    <w:p>
      <w:pPr>
        <w:pStyle w:val="ListParagraph"/>
        <w:numPr>
          <w:ilvl w:val="0"/>
          <w:numId w:val="2"/>
        </w:numPr>
        <w:spacing w:after="60"/>
      </w:pPr>
      <w:r>
        <w:t xml:space="preserve">Business licence, export licence, factory address(es) and subcontractor list.</w:t>
      </w:r>
    </w:p>
    <w:p>
      <w:pPr>
        <w:pStyle w:val="ListParagraph"/>
        <w:numPr>
          <w:ilvl w:val="0"/>
          <w:numId w:val="2"/>
        </w:numPr>
        <w:spacing w:after="60"/>
      </w:pPr>
      <w:r>
        <w:t xml:space="preserve">Quality management system certificate (ISO 9001 or equivalent) and QC organisation chart.</w:t>
      </w:r>
    </w:p>
    <w:p>
      <w:pPr>
        <w:pStyle w:val="ListParagraph"/>
        <w:numPr>
          <w:ilvl w:val="0"/>
          <w:numId w:val="2"/>
        </w:numPr>
        <w:spacing w:after="60"/>
      </w:pPr>
      <w:r>
        <w:t xml:space="preserve">Social &amp; environmental audit (as required by the Ally).</w:t>
      </w:r>
    </w:p>
    <w:p>
      <w:pPr>
        <w:pStyle w:val="ListParagraph"/>
        <w:numPr>
          <w:ilvl w:val="0"/>
          <w:numId w:val="2"/>
        </w:numPr>
        <w:spacing w:after="60"/>
      </w:pPr>
      <w:r>
        <w:t xml:space="preserve">Product certificates and test reports for existing references; lab and NB relationships.</w:t>
      </w:r>
    </w:p>
    <w:p>
      <w:pPr>
        <w:pStyle w:val="ListParagraph"/>
        <w:numPr>
          <w:ilvl w:val="0"/>
          <w:numId w:val="2"/>
        </w:numPr>
        <w:spacing w:after="60"/>
      </w:pPr>
      <w:r>
        <w:t xml:space="preserve">For CPR: FPC manual and NB certificates; for PPE: EU-TEC and Module C2/D; for batteries: cell supplier list with UN 38.3 &amp; IEC 62133-2 reports.</w:t>
      </w:r>
    </w:p>
    <w:p>
      <w:pPr>
        <w:pStyle w:val="ListParagraph"/>
        <w:numPr>
          <w:ilvl w:val="0"/>
          <w:numId w:val="2"/>
        </w:numPr>
        <w:spacing w:after="60"/>
      </w:pPr>
      <w:r>
        <w:t xml:space="preserve">Signed QSD acceptance, change-notification clause and confidentiality agreement.</w:t>
      </w:r>
    </w:p>
    <w:p>
      <w:pPr>
        <w:pStyle w:val="Heading2"/>
      </w:pPr>
      <w:r>
        <w:t xml:space="preserve">8.2 Supplier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438"/>
        <w:gridCol w:w="22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KPI</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Calculation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Target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 first-pass rate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Lots passed first time / lots inspected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92 %</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On-time document delivery</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Documents on time / requested</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95 %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 first-pass rate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Tests passed first time / tests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Customer complaint rate</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Complaints / units shipped (ppm)</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 Ally / category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CAPA closure on time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Closed on time / due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90 %</w:t>
            </w:r>
          </w:p>
        </w:tc>
      </w:tr>
    </w:tbl>
    <w:p>
      <w:pPr>
        <w:spacing w:after="60"/>
      </w:pPr>
    </w:p>
    <w:p>
      <w:pPr>
        <w:spacing w:after="100"/>
      </w:pPr>
      <w:r>
        <w:t xml:space="preserve">Suppliers are rated quarterly A (preferred) / B (approved) / C (conditional, improvement plan) / D (phase-out).</w:t>
      </w:r>
    </w:p>
    <w:p>
      <w:pPr>
        <w:pStyle w:val="Heading1"/>
        <w:pageBreakBefore/>
      </w:pPr>
      <w:r>
        <w:t xml:space="preserve">9. Records and document control</w:t>
      </w:r>
    </w:p>
    <w:p>
      <w:pPr>
        <w:pStyle w:val="Heading2"/>
      </w:pPr>
      <w:r>
        <w:t xml:space="preserve">9.1 File naming</w:t>
      </w:r>
    </w:p>
    <w:p>
      <w:pPr>
        <w:spacing w:after="100"/>
      </w:pPr>
      <w:r>
        <w:t xml:space="preserve">[Ally]_[ItemNo]_[DocType]_[Market]_[Rev]_[YYYYMMDD] — e.g. ALLY1_123456_TR-EN62841_EU_R01_20261015.pdf  [TBC — align with DMS]</w:t>
      </w:r>
    </w:p>
    <w:p>
      <w:pPr>
        <w:pStyle w:val="Heading2"/>
      </w:pPr>
      <w:r>
        <w:t xml:space="preserve">9.2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3000"/>
        <w:gridCol w:w="2200"/>
      </w:tblGrid>
      <w:tr>
        <w:trPr>
          <w:tblHeader/>
        </w:trPr>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Record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Minimum retention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Basis</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Technical documentation, DoC (Machinery, LVD, EMC, RED, RoHS, PPE, Toys, Batteries)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years after last unit placed on the market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Respective Union act</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CPR technical documentation, DoP/DoPC</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 years (new CPR: may be longer per delegated act ⚑ VERIFY)</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CPR</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GPSR technical documentation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10 years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2023/988 Art. 9</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EUDR due-diligence records &amp; DDS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5 years</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2023/1115 Art. 12</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 supporting data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Per CBAM implementing rules (minimum 4 years) ⚑ VERIFY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2023/956</w:t>
            </w:r>
          </w:p>
        </w:tc>
      </w:tr>
      <w:tr>
        <w:trPr>
          <w:cantSplit/>
        </w:trPr>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Inspection &amp; audit reports, NCR/8D</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 years (internal rule)</w:t>
            </w:r>
          </w:p>
        </w:tc>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A.R.E.N.A. policy [TBC]</w:t>
            </w:r>
          </w:p>
        </w:tc>
      </w:tr>
      <w:tr>
        <w:trPr>
          <w:cantSplit/>
        </w:trPr>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Canada traceability documents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6 years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CCPSA s.13</w:t>
            </w:r>
          </w:p>
        </w:tc>
      </w:tr>
    </w:tbl>
    <w:p>
      <w:pPr>
        <w:spacing w:after="60"/>
      </w:pPr>
    </w:p>
    <w:p>
      <w:pPr>
        <w:pStyle w:val="Heading1"/>
        <w:pageBreakBefore/>
      </w:pPr>
      <w:r>
        <w:t xml:space="preserve">10. 30 / 60 / 90-day onboarding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Period</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Objectives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Deliverables / sign-off</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Days 1–30 — Learn</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Modules M1–M3, M6 completed.</w:t>
            </w:r>
          </w:p>
          <w:p>
            <w:pPr>
              <w:spacing w:after="40"/>
            </w:pPr>
            <w:r>
              <w:rPr>
                <w:sz w:val="18"/>
                <w:szCs w:val="18"/>
              </w:rPr>
              <w:t xml:space="preserve">Shadow senior QS on 2 projects and 3 inspections.</w:t>
            </w:r>
          </w:p>
          <w:p>
            <w:pPr>
              <w:spacing w:after="40"/>
            </w:pPr>
            <w:r>
              <w:rPr>
                <w:sz w:val="18"/>
                <w:szCs w:val="18"/>
              </w:rPr>
              <w:t xml:space="preserve">Read 5 complete TCFs (one per category).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Quiz Parts A &amp; B ≥ 80 %.</w:t>
            </w:r>
          </w:p>
          <w:p>
            <w:pPr>
              <w:spacing w:after="40"/>
            </w:pPr>
            <w:r>
              <w:rPr>
                <w:sz w:val="18"/>
                <w:szCs w:val="18"/>
              </w:rPr>
              <w:t xml:space="preserve">Practical P1 (test report validation) passed.</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Days 31–60 — Practise under supervision</w:t>
            </w:r>
          </w:p>
        </w:tc>
        <w:tc>
          <w:tcPr>
            <w:tcW w:type="dxa" w:w="4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Modules M4, M5, M7, M8.</w:t>
            </w:r>
          </w:p>
          <w:p>
            <w:pPr>
              <w:spacing w:after="40"/>
            </w:pPr>
            <w:r>
              <w:rPr>
                <w:sz w:val="18"/>
                <w:szCs w:val="18"/>
              </w:rPr>
              <w:t xml:space="preserve">Perform 3 FRIs with a senior QS present.</w:t>
            </w:r>
          </w:p>
          <w:p>
            <w:pPr>
              <w:spacing w:after="40"/>
            </w:pPr>
            <w:r>
              <w:rPr>
                <w:sz w:val="18"/>
                <w:szCs w:val="18"/>
              </w:rPr>
              <w:t xml:space="preserve">Draft 1 QSD + CPTP for a repeat item.</w:t>
            </w:r>
          </w:p>
          <w:p>
            <w:pPr>
              <w:spacing w:after="40"/>
            </w:pPr>
            <w:r>
              <w:rPr>
                <w:sz w:val="18"/>
                <w:szCs w:val="18"/>
              </w:rPr>
              <w:t xml:space="preserve">Join 1 supplier / FPC audit.</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Practicals P2–P5 passed.</w:t>
            </w:r>
          </w:p>
          <w:p>
            <w:pPr>
              <w:spacing w:after="40"/>
            </w:pPr>
            <w:r>
              <w:rPr>
                <w:sz w:val="18"/>
                <w:szCs w:val="18"/>
              </w:rPr>
              <w:t xml:space="preserve">QSD/CPTP approved by QA Manager.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Days 61–90 — Work independently</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Own a portfolio of standard items (no Cat III PPE / CPR system 1 alone).</w:t>
            </w:r>
          </w:p>
          <w:p>
            <w:pPr>
              <w:spacing w:after="40"/>
            </w:pPr>
            <w:r>
              <w:rPr>
                <w:sz w:val="18"/>
                <w:szCs w:val="18"/>
              </w:rPr>
              <w:t xml:space="preserve">Lead 1 NCR to closure.</w:t>
            </w:r>
          </w:p>
          <w:p>
            <w:pPr>
              <w:spacing w:after="40"/>
            </w:pPr>
            <w:r>
              <w:rPr>
                <w:sz w:val="18"/>
                <w:szCs w:val="18"/>
              </w:rPr>
              <w:t xml:space="preserve">Present 1 regulatory update to the team.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Final competency sign-off by CQAD (§11.3).</w:t>
            </w:r>
          </w:p>
          <w:p>
            <w:pPr>
              <w:spacing w:after="40"/>
            </w:pPr>
            <w:r>
              <w:rPr>
                <w:sz w:val="18"/>
                <w:szCs w:val="18"/>
              </w:rPr>
              <w:t xml:space="preserve">Authorisation matrix updated.</w:t>
            </w:r>
          </w:p>
        </w:tc>
      </w:tr>
    </w:tbl>
    <w:p>
      <w:pPr>
        <w:spacing w:after="60"/>
      </w:pPr>
    </w:p>
    <w:p>
      <w:pPr>
        <w:pStyle w:val="Heading1"/>
        <w:pageBreakBefore/>
      </w:pPr>
      <w:r>
        <w:t xml:space="preserve">11. Competency assessment</w:t>
      </w:r>
    </w:p>
    <w:p>
      <w:pPr>
        <w:pStyle w:val="Heading2"/>
      </w:pPr>
      <w:r>
        <w:t xml:space="preserve">11.1 Knowledge quiz (pass mark 80 %)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81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Part</w:t>
            </w:r>
          </w:p>
        </w:tc>
        <w:tc>
          <w:tcPr>
            <w:tcW w:type="dxa" w:w="8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Question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List the seven gates G0–G6 and one mandatory record per gate.</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Which events reopen gates G2–G4 after golden-sample approval?</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 cordless hedge trimmer with a Bluetooth app: list all EU acts to cite in the DoC.</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From which date must portable batteries in appliances be removable and replaceable by the end-user?</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Name four elements of the Battery Regulation general information label applicable from 18 Aug 2026.</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Which battery-related test is mandatory for transport of lithium batteries and must be repeated on a cell change?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Gardening gloves are marketed as “cut-resistant”. Which PPE category and conformity route apply?</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Which PPE items in our range are Category III? Give three examples.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What is the maximum validity of an EU type-examination certificate under the PPE Regulation?</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Since when does the new CPR (EU) 2024/3110 apply and what replaces the DoP?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Describe the difference between AVCP system 2+ and system 3.</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Can a DoP declare “NPD” for every essential characteristic? Explain.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What is the formaldehyde emission limit for furniture under REACH Annex XVII entry 77 and from when?</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What geolocation data does the EUDR require and how long must records be kept?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What is the CBAM de-minimis threshold in the definitive period?</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16</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When does PPWR apply and what is the heavy-metal limit in packaging?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Which Swiss instrument governs batteries and chemical restrictions instead of EU law?</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What is the US lead limit in substrate for children’s products and which certificate is required?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Which Canadian law requires incident reporting within 2 days?</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w:t>
            </w:r>
          </w:p>
        </w:tc>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w:t>
            </w:r>
          </w:p>
        </w:tc>
        <w:tc>
          <w:tcPr>
            <w:tcW w:type="dxa" w:w="81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Which certification is required for mains-powered products sold in Canada?</w:t>
            </w:r>
          </w:p>
        </w:tc>
      </w:tr>
    </w:tbl>
    <w:p>
      <w:pPr>
        <w:spacing w:after="60"/>
      </w:pPr>
    </w:p>
    <w:p>
      <w:pPr>
        <w:pStyle w:val="Heading2"/>
      </w:pPr>
      <w:r>
        <w:t xml:space="preserve">11.2 Practical exercises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3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Code</w:t>
            </w:r>
          </w:p>
        </w:tc>
        <w:tc>
          <w:tcPr>
            <w:tcW w:type="dxa" w:w="5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Exercise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Pass criteria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P1</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Validate a set of 5 real test reports (1 seeded with an expired accreditation, 1 with wrong model).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All defects found; correct accept/reject decision</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P2</w:t>
            </w:r>
          </w:p>
        </w:tc>
        <w:tc>
          <w:tcPr>
            <w:tcW w:type="dxa" w:w="5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Review a cordless-tool battery file: UN 38.3 summary, IEC 62133-2, Hg/Cd/Pb report, label artwork.</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Missing 2026 label elements and 2027 removability risk identified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P3</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Review a PPE file (gloves EN 388 + EN ISO 21420) and a CPR file (decking / tile adhesive DoP).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Category/route and AVCP system correct; DoP/DoPC errors listed</w:t>
            </w:r>
          </w:p>
        </w:tc>
      </w:tr>
      <w:tr>
        <w:trPr>
          <w:cantSplit/>
        </w:trPr>
        <w:tc>
          <w:tcPr>
            <w:tcW w:type="dxa" w:w="9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P4</w:t>
            </w:r>
          </w:p>
        </w:tc>
        <w:tc>
          <w:tcPr>
            <w:tcW w:type="dxa" w:w="57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Perform an FRI under supervision, including AQL calculation and on-site tests.</w:t>
            </w:r>
          </w:p>
        </w:tc>
        <w:tc>
          <w:tcPr>
            <w:tcW w:type="dxa" w:w="30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Correct sample size, classification, verdict and report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P5</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Write an 8D for a provided field complaint case.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Containment, root cause (occurrence + escape), verified CAPA</w:t>
            </w:r>
          </w:p>
        </w:tc>
      </w:tr>
    </w:tbl>
    <w:p>
      <w:pPr>
        <w:spacing w:after="60"/>
      </w:pPr>
    </w:p>
    <w:p>
      <w:pPr>
        <w:pStyle w:val="Heading2"/>
      </w:pPr>
      <w:r>
        <w:t xml:space="preserve">11.3 Training sign-off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500"/>
        <w:gridCol w:w="1500"/>
        <w:gridCol w:w="1500"/>
        <w:gridCol w:w="1500"/>
        <w:gridCol w:w="1400"/>
      </w:tblGrid>
      <w:tr>
        <w:trPr>
          <w:tblHeader/>
        </w:trPr>
        <w:tc>
          <w:tcPr>
            <w:tcW w:type="dxa" w:w="2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Module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Completed (date)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Score / result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Trainee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Trainer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CQAD</w:t>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M2</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M4</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M6</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M8</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
            </w:r>
          </w:p>
        </w:tc>
      </w:tr>
      <w:tr>
        <w:trPr>
          <w:cantSplit/>
        </w:trPr>
        <w:tc>
          <w:tcPr>
            <w:tcW w:type="dxa" w:w="2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Final authorisation</w:t>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5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c>
          <w:tcPr>
            <w:tcW w:type="dxa" w:w="14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
            </w:r>
          </w:p>
        </w:tc>
      </w:tr>
    </w:tbl>
    <w:p>
      <w:pPr>
        <w:spacing w:after="60"/>
      </w:pPr>
    </w:p>
    <w:p>
      <w:pPr>
        <w:pStyle w:val="Heading2"/>
      </w:pPr>
      <w:r>
        <w:t xml:space="preserve">11.4 Answer key (trainer copy — remove before distribution)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w:t>
            </w:r>
          </w:p>
        </w:tc>
        <w:tc>
          <w:tcPr>
            <w:tcW w:type="dxa" w:w="9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Expected answer</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G0 RFx/feasibility (compliance pathway note), G1 supplier selection (evaluation report), G2 specification (signed QSD/CPTP/QCP), G3 development &amp; testing (validated reports, DoC draft), G4 golden sample (sealed record), G5 production (DUPRO/PPI reports), G6 shipment release (FRI report + complete TCF).</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Any change of material, component, sub-supplier, factory, design or applicable standard.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Machinery (2006/42/EC, or (EU) 2023/1230 from 20 Jan 2027), RED 2014/53/EU (covers safety &amp; EMC objectives) incl. delegated act (EU) 2022/30 if internet-connected, RoHS 2011/65/EU, Batteries (EU) 2023/1542; plus Outdoor Noise 2000/14/EC for hedge trimmers. (Charger: LVD + EMC + Ecodesign (EU) 2019/1782 if external PSU.)</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4</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 February 2027 (Art. 11).</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Any four of: manufacturer info, battery category, chemistry, weight, capacity, date of manufacture, hazardous substances (other than Hg/Cd/Pb), critical raw materials, place of manufacture.</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6</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UN 38.3 (with test summary).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7</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Category II — Module B (EU type-examination by NB) + Module C; EN 388 + EN ISO 21420.</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8</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Hearing protection (EN 352), respiratory masks FFP (EN 149), chemical-protective gloves (EN ISO 374-1), chainsaw protective clothing, fall-arrest equipment.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9</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 years.</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From 8 January 2026; Declaration of Performance and Conformity (DoPC). Old CPR continues for product families whose hENs are not yet replaced (transition).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11</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 NB certifies the manufacturer’s FPC (initial inspection + continuous surveillance); manufacturer determines product type. 3: notified testing lab determines product type; manufacturer runs FPC without NB surveillance.</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No. NPD is not allowed for characteristics where the destination Member State has legal requirements for the intended use, nor for characteristics with threshold levels; at least one essential characteristic must be declared.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0.062 mg/m³ (formaldehyde emission in test chamber) for furniture and wood-based articles from 6 August 2026 (road vehicles from 6 Aug 2027).</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14</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Geolocation of all plots of land (point for ≤ 4 ha, polygon above 4 ha) with date/time range of production; records kept 5 years.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15</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50 tonnes per importer per year (aggregate CBAM goods; electricity and hydrogen excluded from the mass threshold).</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16</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 August 2026; Pb + Cd + Hg + Cr VI ≤ 100 mg/kg.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17</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ChemRRV / ORRChim (Chemical Risk Reduction Ordinance), incl. Annex 2.15 for batteries.</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100 ppm; Children’s Product Certificate (CPC) based on CPSC-accepted third-party lab testing.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19</w:t>
            </w:r>
          </w:p>
        </w:tc>
        <w:tc>
          <w:tcPr>
            <w:tcW w:type="dxa" w:w="9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Canada Consumer Product Safety Act (CCPSA), s.14.</w:t>
            </w:r>
          </w:p>
        </w:tc>
      </w:tr>
      <w:tr>
        <w:trPr>
          <w:cantSplit/>
        </w:trPr>
        <w:tc>
          <w:tcPr>
            <w:tcW w:type="dxa" w:w="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w:t>
            </w:r>
          </w:p>
        </w:tc>
        <w:tc>
          <w:tcPr>
            <w:tcW w:type="dxa" w:w="90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Certification by an SCC-accredited certification body (e.g. CSA, cUL, cETL) per provincial electrical codes.</w:t>
            </w:r>
          </w:p>
        </w:tc>
      </w:tr>
    </w:tbl>
    <w:p>
      <w:pPr>
        <w:spacing w:after="60"/>
      </w:pPr>
    </w:p>
    <w:p>
      <w:pPr>
        <w:pStyle w:val="Heading1"/>
        <w:pageBreakBefore/>
      </w:pPr>
      <w:r>
        <w:t xml:space="preserve">Annex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Term</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AQL</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Acceptance Quality Limit (ISO 2859-1)</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AVCP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Assessment and Verification of Constancy of Performance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CBAM</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Carbon Border Adjustment Mechanism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CPC / GCC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Children’s Product Certificate / General Certificate of Conformity (US)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CPTP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Compliance Product Test Plan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DDS</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Due Diligence Statement (EUDR)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DoC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Declaration of Conformity</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DoP / DoPC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Declaration of Performance / Declaration of Performance and Conformity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DPP</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Digital Product Passport</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EAD / ETA</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European Assessment Document / European Technical Assessment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EU-TEC</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Type-Examination Certificate</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FPC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Factory Production Control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FRI</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Final Random Inspection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hEN</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Harmonised European standard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LMT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Light Means of Transport (battery category)</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NANDO</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database of Notified Bodies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NB</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Notified Body</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NPD</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No Performance Determined (CPR)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PPWR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Packaging and Packaging Waste Regulation</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QCP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Quality Control Plan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QSD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Quality Specification Document</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SCIP</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Database of Substances of Concern In articles as such or in complex objects (Products)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SEE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Specific Embedded Emissions (CBAM)</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SVHC</w:t>
            </w:r>
          </w:p>
        </w:tc>
        <w:tc>
          <w:tcPr>
            <w:tcW w:type="dxa" w:w="74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Substance of Very High Concern (REACH)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TCF</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Technical Construction File</w:t>
            </w:r>
          </w:p>
        </w:tc>
      </w:tr>
    </w:tbl>
    <w:p>
      <w:pPr>
        <w:spacing w:after="60"/>
      </w:pPr>
    </w:p>
    <w:p>
      <w:pPr>
        <w:pStyle w:val="Heading1"/>
        <w:pageBreakBefore/>
      </w:pPr>
      <w:r>
        <w:t xml:space="preserve">Annex B — Legislation reference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238"/>
        <w:gridCol w:w="260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Instrument</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Title (short)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40"/>
            </w:pPr>
            <w:r>
              <w:rPr>
                <w:b/>
                <w:bCs/>
                <w:color w:val="FFFFFF"/>
                <w:sz w:val="18"/>
                <w:szCs w:val="18"/>
              </w:rPr>
              <w:t xml:space="preserve">Application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2023/988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General Product Safety Regulation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13 Dec 2024</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2006/42/EC → (EU) 2023/1230</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Machinery</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Regulation from 20 Jan 2027</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2000/14/EC</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Outdoor noise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2014/35/EU · 2014/30/EU · 2014/53/EU</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LVD · EMC · RED</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 force; RED DA (EU) 2022/30 from 1 Aug 2025</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2011/65/EU · 2012/19/EU</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RoHS · WEEE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2023/1542</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Batteries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18 Feb 2024, phased to 2027+ ⚑</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2016/425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Personal Protective Equipment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21 Apr 2018</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305/2011 → (EU) 2024/3110</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Construction Products</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New CPR from 8 Jan 2026; transition ⚑</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2009/48/EC → (EU) 2025/2509</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Toy safety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New Regulation transitional ⚑</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(EC) 1907/2006 · (EU) 2019/1021 · (EC) 1272/2008</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REACH · POPs · CLP</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(EC) 1935/2004 · (EU) 10/2011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Food contact materials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2025/40</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Packaging &amp; Packaging Waste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12 Aug 2026</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2023/1115</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Deforestation-free products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30 Dec 2026 / 30 Jun 2027 ⚑</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(EU) 2023/956</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CBAM</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Definitive period 1 Jan 2026</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(EU) 2024/1781</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Ecodesign for Sustainable Products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Delegated acts per product group ⚑</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US: CPSA, CPSIA, 16 CFR 1263, FCC 47 CFR 15, TSCA VI, Prop 65, Lacey Act</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US federal/state</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 CCPSA, SOR/2016-193, SOR/2018-83, SOR/2021-148, CCCR 2001, CPLA, ICES-003</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Canada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sz w:val="18"/>
                <w:szCs w:val="18"/>
              </w:rPr>
              <w:t xml:space="preserve">In force</w:t>
            </w:r>
          </w:p>
        </w:tc>
      </w:tr>
      <w:tr>
        <w:trPr>
          <w:cantSplit/>
        </w:trPr>
        <w:tc>
          <w:tcPr>
            <w:tcW w:type="dxa" w:w="38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CH: PrSG, PrSV, ChemRRV</w:t>
            </w:r>
          </w:p>
        </w:tc>
        <w:tc>
          <w:tcPr>
            <w:tcW w:type="dxa" w:w="3238"/>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Switzerland</w:t>
            </w:r>
          </w:p>
        </w:tc>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vAlign w:val="top"/>
          </w:tcPr>
          <w:p>
            <w:pPr>
              <w:spacing w:after="40"/>
            </w:pPr>
            <w:r>
              <w:rPr>
                <w:sz w:val="18"/>
                <w:szCs w:val="18"/>
              </w:rPr>
              <w:t xml:space="preserve">In force</w:t>
            </w:r>
          </w:p>
        </w:tc>
      </w:tr>
    </w:tbl>
    <w:p>
      <w:pPr>
        <w:spacing w:after="60"/>
      </w:pPr>
    </w:p>
    <w:p>
      <w:pPr>
        <w:pStyle w:val="Heading1"/>
        <w:pageBreakBefore/>
      </w:pPr>
      <w:r>
        <w:t xml:space="preserve">Annex C — Quick checklists</w:t>
      </w:r>
    </w:p>
    <w:p>
      <w:pPr>
        <w:pStyle w:val="Heading2"/>
      </w:pPr>
      <w:r>
        <w:t xml:space="preserve">C.1 Pre-FRI readiness</w:t>
      </w:r>
    </w:p>
    <w:p>
      <w:pPr>
        <w:pStyle w:val="ListParagraph"/>
        <w:numPr>
          <w:ilvl w:val="0"/>
          <w:numId w:val="2"/>
        </w:numPr>
        <w:spacing w:after="60"/>
      </w:pPr>
      <w:r>
        <w:t xml:space="preserve">Valid test reports for all markets of the PO (CPTP closed).</w:t>
      </w:r>
    </w:p>
    <w:p>
      <w:pPr>
        <w:pStyle w:val="ListParagraph"/>
        <w:numPr>
          <w:ilvl w:val="0"/>
          <w:numId w:val="2"/>
        </w:numPr>
        <w:spacing w:after="60"/>
      </w:pPr>
      <w:r>
        <w:t xml:space="preserve">Certificates (EU-TEC / CPR / NB) valid on shipment date.</w:t>
      </w:r>
    </w:p>
    <w:p>
      <w:pPr>
        <w:pStyle w:val="ListParagraph"/>
        <w:numPr>
          <w:ilvl w:val="0"/>
          <w:numId w:val="2"/>
        </w:numPr>
        <w:spacing w:after="60"/>
      </w:pPr>
      <w:r>
        <w:t xml:space="preserve">DoC / DoPC signed and translated.</w:t>
      </w:r>
    </w:p>
    <w:p>
      <w:pPr>
        <w:pStyle w:val="ListParagraph"/>
        <w:numPr>
          <w:ilvl w:val="0"/>
          <w:numId w:val="2"/>
        </w:numPr>
        <w:spacing w:after="60"/>
      </w:pPr>
      <w:r>
        <w:t xml:space="preserve">Artwork approved: CE (+NB no.), WEEE bin, battery labels, traceability code, EU operator address, warnings, bilingual for CA.</w:t>
      </w:r>
    </w:p>
    <w:p>
      <w:pPr>
        <w:pStyle w:val="ListParagraph"/>
        <w:numPr>
          <w:ilvl w:val="0"/>
          <w:numId w:val="2"/>
        </w:numPr>
        <w:spacing w:after="60"/>
      </w:pPr>
      <w:r>
        <w:t xml:space="preserve">Golden sample available and valid.</w:t>
      </w:r>
    </w:p>
    <w:p>
      <w:pPr>
        <w:pStyle w:val="ListParagraph"/>
        <w:numPr>
          <w:ilvl w:val="0"/>
          <w:numId w:val="2"/>
        </w:numPr>
        <w:spacing w:after="60"/>
      </w:pPr>
      <w:r>
        <w:t xml:space="preserve">Previous NCRs closed or contained.</w:t>
      </w:r>
    </w:p>
    <w:p>
      <w:pPr>
        <w:pStyle w:val="ListParagraph"/>
        <w:numPr>
          <w:ilvl w:val="0"/>
          <w:numId w:val="2"/>
        </w:numPr>
        <w:spacing w:after="60"/>
      </w:pPr>
      <w:r>
        <w:t xml:space="preserve">EUDR / CBAM / battery data requested and received for this lot.</w:t>
      </w:r>
    </w:p>
    <w:p>
      <w:pPr>
        <w:pStyle w:val="Heading2"/>
      </w:pPr>
      <w:r>
        <w:t xml:space="preserve">C.2 Battery file</w:t>
      </w:r>
    </w:p>
    <w:p>
      <w:pPr>
        <w:pStyle w:val="ListParagraph"/>
        <w:numPr>
          <w:ilvl w:val="0"/>
          <w:numId w:val="2"/>
        </w:numPr>
        <w:spacing w:after="60"/>
      </w:pPr>
      <w:r>
        <w:t xml:space="preserve">Battery category determined (portable / LMT / SLI / industrial / EV).</w:t>
      </w:r>
    </w:p>
    <w:p>
      <w:pPr>
        <w:pStyle w:val="ListParagraph"/>
        <w:numPr>
          <w:ilvl w:val="0"/>
          <w:numId w:val="2"/>
        </w:numPr>
        <w:spacing w:after="60"/>
      </w:pPr>
      <w:r>
        <w:t xml:space="preserve">UN 38.3 report + test summary for each cell and pack.</w:t>
      </w:r>
    </w:p>
    <w:p>
      <w:pPr>
        <w:pStyle w:val="ListParagraph"/>
        <w:numPr>
          <w:ilvl w:val="0"/>
          <w:numId w:val="2"/>
        </w:numPr>
        <w:spacing w:after="60"/>
      </w:pPr>
      <w:r>
        <w:t xml:space="preserve">IEC 62133-2 (or UL 2054/62133 for US).</w:t>
      </w:r>
    </w:p>
    <w:p>
      <w:pPr>
        <w:pStyle w:val="ListParagraph"/>
        <w:numPr>
          <w:ilvl w:val="0"/>
          <w:numId w:val="2"/>
        </w:numPr>
        <w:spacing w:after="60"/>
      </w:pPr>
      <w:r>
        <w:t xml:space="preserve">Hg / Cd / Pb report per cell supplier.</w:t>
      </w:r>
    </w:p>
    <w:p>
      <w:pPr>
        <w:pStyle w:val="ListParagraph"/>
        <w:numPr>
          <w:ilvl w:val="0"/>
          <w:numId w:val="2"/>
        </w:numPr>
        <w:spacing w:after="60"/>
      </w:pPr>
      <w:r>
        <w:t xml:space="preserve">Label: collection symbol, capacity, general information (from 18 Aug 2026), QR code (from 18 Feb 2027).</w:t>
      </w:r>
    </w:p>
    <w:p>
      <w:pPr>
        <w:pStyle w:val="ListParagraph"/>
        <w:numPr>
          <w:ilvl w:val="0"/>
          <w:numId w:val="2"/>
        </w:numPr>
        <w:spacing w:after="60"/>
      </w:pPr>
      <w:r>
        <w:t xml:space="preserve">Removability by end-user for items placed on the market from 18 Feb 2027.</w:t>
      </w:r>
    </w:p>
    <w:p>
      <w:pPr>
        <w:pStyle w:val="ListParagraph"/>
        <w:numPr>
          <w:ilvl w:val="0"/>
          <w:numId w:val="2"/>
        </w:numPr>
        <w:spacing w:after="60"/>
      </w:pPr>
      <w:r>
        <w:t xml:space="preserve">DoC cites (EU) 2023/1542.</w:t>
      </w:r>
    </w:p>
    <w:p>
      <w:pPr>
        <w:pStyle w:val="Heading2"/>
      </w:pPr>
      <w:r>
        <w:t xml:space="preserve">C.3 PPE file</w:t>
      </w:r>
    </w:p>
    <w:p>
      <w:pPr>
        <w:pStyle w:val="ListParagraph"/>
        <w:numPr>
          <w:ilvl w:val="0"/>
          <w:numId w:val="2"/>
        </w:numPr>
        <w:spacing w:after="60"/>
      </w:pPr>
      <w:r>
        <w:t xml:space="preserve">Category justified by claims.</w:t>
      </w:r>
    </w:p>
    <w:p>
      <w:pPr>
        <w:pStyle w:val="ListParagraph"/>
        <w:numPr>
          <w:ilvl w:val="0"/>
          <w:numId w:val="2"/>
        </w:numPr>
        <w:spacing w:after="60"/>
      </w:pPr>
      <w:r>
        <w:t xml:space="preserve">EU-TEC valid (≤ 5 yrs), scope covers model/sizes; NB in NANDO.</w:t>
      </w:r>
    </w:p>
    <w:p>
      <w:pPr>
        <w:pStyle w:val="ListParagraph"/>
        <w:numPr>
          <w:ilvl w:val="0"/>
          <w:numId w:val="2"/>
        </w:numPr>
        <w:spacing w:after="60"/>
      </w:pPr>
      <w:r>
        <w:t xml:space="preserve">Cat III: Module C2 or D certificate current; NB number next to CE.</w:t>
      </w:r>
    </w:p>
    <w:p>
      <w:pPr>
        <w:pStyle w:val="ListParagraph"/>
        <w:numPr>
          <w:ilvl w:val="0"/>
          <w:numId w:val="2"/>
        </w:numPr>
        <w:spacing w:after="60"/>
      </w:pPr>
      <w:r>
        <w:t xml:space="preserve">Marking per standard (pictograms, levels, size).</w:t>
      </w:r>
    </w:p>
    <w:p>
      <w:pPr>
        <w:pStyle w:val="ListParagraph"/>
        <w:numPr>
          <w:ilvl w:val="0"/>
          <w:numId w:val="2"/>
        </w:numPr>
        <w:spacing w:after="60"/>
      </w:pPr>
      <w:r>
        <w:t xml:space="preserve">Instructions in all languages; DoC or DoC web link.</w:t>
      </w:r>
    </w:p>
    <w:p>
      <w:pPr>
        <w:pStyle w:val="Heading2"/>
      </w:pPr>
      <w:r>
        <w:t xml:space="preserve">C.4 CPR file</w:t>
      </w:r>
    </w:p>
    <w:p>
      <w:pPr>
        <w:pStyle w:val="ListParagraph"/>
        <w:numPr>
          <w:ilvl w:val="0"/>
          <w:numId w:val="2"/>
        </w:numPr>
        <w:spacing w:after="60"/>
      </w:pPr>
      <w:r>
        <w:t xml:space="preserve">hEN / EAD identified; old vs. new CPR regime confirmed.</w:t>
      </w:r>
    </w:p>
    <w:p>
      <w:pPr>
        <w:pStyle w:val="ListParagraph"/>
        <w:numPr>
          <w:ilvl w:val="0"/>
          <w:numId w:val="2"/>
        </w:numPr>
        <w:spacing w:after="60"/>
      </w:pPr>
      <w:r>
        <w:t xml:space="preserve">AVCP system; NB certificate &amp; surveillance (1+/1/2+).</w:t>
      </w:r>
    </w:p>
    <w:p>
      <w:pPr>
        <w:pStyle w:val="ListParagraph"/>
        <w:numPr>
          <w:ilvl w:val="0"/>
          <w:numId w:val="2"/>
        </w:numPr>
        <w:spacing w:after="60"/>
      </w:pPr>
      <w:r>
        <w:t xml:space="preserve">Product-type determination reports (notified lab for system 3).</w:t>
      </w:r>
    </w:p>
    <w:p>
      <w:pPr>
        <w:pStyle w:val="ListParagraph"/>
        <w:numPr>
          <w:ilvl w:val="0"/>
          <w:numId w:val="2"/>
        </w:numPr>
        <w:spacing w:after="60"/>
      </w:pPr>
      <w:r>
        <w:t xml:space="preserve">DoP/DoPC — no illegal NPD; matches CE label.</w:t>
      </w:r>
    </w:p>
    <w:p>
      <w:pPr>
        <w:pStyle w:val="ListParagraph"/>
        <w:numPr>
          <w:ilvl w:val="0"/>
          <w:numId w:val="2"/>
        </w:numPr>
        <w:spacing w:after="60"/>
      </w:pPr>
      <w:r>
        <w:t xml:space="preserve">FPC manual, records and last audit.</w:t>
      </w:r>
    </w:p>
    <w:sectPr>
      <w:headerReference w:type="default" r:id="rId7"/>
      <w:footerReference w:type="default" r:id="rId8"/>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A.R.E.N.A. Vietnam — Internal. Uncontrolled when printed.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ARENA-VN-QA-TRN-001 Rev. 00  ·  QS Onboarding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3864"/>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 Onboarding Training Manual</dc:title>
  <dc:creator>A.R.E.N.A. Vietnam — CQAD office</dc:creator>
  <cp:lastModifiedBy>Un-named</cp:lastModifiedBy>
  <cp:revision>1</cp:revision>
  <dcterms:created xsi:type="dcterms:W3CDTF">2026-10-15T01:12:33.594Z</dcterms:created>
  <dcterms:modified xsi:type="dcterms:W3CDTF">2026-10-15T01:12:33.596Z</dcterms:modified>
</cp:coreProperties>
</file>

<file path=docProps/custom.xml><?xml version="1.0" encoding="utf-8"?>
<Properties xmlns="http://schemas.openxmlformats.org/officeDocument/2006/custom-properties" xmlns:vt="http://schemas.openxmlformats.org/officeDocument/2006/docPropsVTypes"/>
</file>