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08EA4E" w14:textId="77777777" w:rsidR="00974C2E" w:rsidRDefault="00974C2E" w:rsidP="00974C2E">
      <w:pPr>
        <w:widowControl/>
        <w:spacing w:before="100" w:beforeAutospacing="1" w:after="100" w:afterAutospacing="1" w:line="360" w:lineRule="auto"/>
        <w:jc w:val="left"/>
        <w:outlineLvl w:val="0"/>
        <w:rPr>
          <w:rFonts w:ascii="宋体" w:eastAsia="宋体" w:hAnsi="宋体" w:cs="宋体" w:hint="eastAsia"/>
          <w:b/>
          <w:bCs/>
          <w:kern w:val="36"/>
          <w:sz w:val="48"/>
          <w:szCs w:val="48"/>
        </w:rPr>
      </w:pPr>
      <w:r w:rsidRPr="00974C2E">
        <w:rPr>
          <w:rFonts w:ascii="宋体" w:eastAsia="宋体" w:hAnsi="宋体" w:cs="宋体"/>
          <w:b/>
          <w:bCs/>
          <w:kern w:val="36"/>
          <w:sz w:val="48"/>
          <w:szCs w:val="48"/>
        </w:rPr>
        <w:t>京味文学中的“俗”与“雅”：老舍与汪曾祺审美取向比较研究</w:t>
      </w:r>
    </w:p>
    <w:p w14:paraId="60CABFBD" w14:textId="3F896063" w:rsidR="00BA1140" w:rsidRPr="00974C2E" w:rsidRDefault="00BA1140" w:rsidP="00BA1140">
      <w:pPr>
        <w:widowControl/>
        <w:spacing w:before="100" w:beforeAutospacing="1" w:after="100" w:afterAutospacing="1" w:line="360" w:lineRule="auto"/>
        <w:ind w:firstLineChars="900" w:firstLine="4337"/>
        <w:jc w:val="left"/>
        <w:outlineLvl w:val="0"/>
        <w:rPr>
          <w:rFonts w:ascii="宋体" w:eastAsia="宋体" w:hAnsi="宋体" w:cs="宋体" w:hint="eastAsia"/>
          <w:b/>
          <w:bCs/>
          <w:kern w:val="36"/>
          <w:sz w:val="48"/>
          <w:szCs w:val="48"/>
        </w:rPr>
      </w:pPr>
      <w:r>
        <w:rPr>
          <w:rFonts w:ascii="宋体" w:eastAsia="宋体" w:hAnsi="宋体" w:cs="宋体" w:hint="eastAsia"/>
          <w:b/>
          <w:bCs/>
          <w:kern w:val="36"/>
          <w:sz w:val="48"/>
          <w:szCs w:val="48"/>
        </w:rPr>
        <w:t>-</w:t>
      </w:r>
      <w:r>
        <w:rPr>
          <w:rFonts w:ascii="宋体" w:eastAsia="宋体" w:hAnsi="宋体" w:cs="宋体"/>
          <w:b/>
          <w:bCs/>
          <w:kern w:val="36"/>
          <w:sz w:val="48"/>
          <w:szCs w:val="48"/>
        </w:rPr>
        <w:t>--</w:t>
      </w:r>
      <w:r>
        <w:rPr>
          <w:rFonts w:ascii="宋体" w:eastAsia="宋体" w:hAnsi="宋体" w:cs="宋体" w:hint="eastAsia"/>
          <w:b/>
          <w:bCs/>
          <w:kern w:val="36"/>
          <w:sz w:val="48"/>
          <w:szCs w:val="48"/>
        </w:rPr>
        <w:t>个人案例总结</w:t>
      </w:r>
    </w:p>
    <w:p w14:paraId="6A11814F" w14:textId="7C897F2E" w:rsidR="00974C2E" w:rsidRPr="00974C2E" w:rsidRDefault="00974C2E" w:rsidP="00C265F0">
      <w:pPr>
        <w:widowControl/>
        <w:spacing w:before="100" w:beforeAutospacing="1" w:after="100" w:afterAutospacing="1" w:line="300" w:lineRule="auto"/>
        <w:jc w:val="left"/>
        <w:outlineLvl w:val="1"/>
        <w:rPr>
          <w:rFonts w:ascii="宋体" w:eastAsia="宋体" w:hAnsi="宋体" w:cs="宋体" w:hint="eastAsia"/>
          <w:b/>
          <w:bCs/>
          <w:kern w:val="0"/>
          <w:sz w:val="36"/>
          <w:szCs w:val="36"/>
        </w:rPr>
      </w:pPr>
      <w:r w:rsidRPr="00974C2E">
        <w:rPr>
          <w:rFonts w:ascii="宋体" w:eastAsia="宋体" w:hAnsi="宋体" w:cs="宋体"/>
          <w:b/>
          <w:bCs/>
          <w:kern w:val="0"/>
          <w:sz w:val="36"/>
          <w:szCs w:val="36"/>
        </w:rPr>
        <w:t>结论与整体整合</w:t>
      </w:r>
    </w:p>
    <w:p w14:paraId="3C9A9EC6" w14:textId="77777777" w:rsidR="00974C2E" w:rsidRPr="00974C2E" w:rsidRDefault="00974C2E" w:rsidP="00C265F0">
      <w:pPr>
        <w:widowControl/>
        <w:spacing w:before="100" w:beforeAutospacing="1" w:after="100" w:afterAutospacing="1" w:line="300" w:lineRule="auto"/>
        <w:jc w:val="left"/>
        <w:outlineLvl w:val="2"/>
        <w:rPr>
          <w:rFonts w:ascii="宋体" w:eastAsia="宋体" w:hAnsi="宋体" w:cs="宋体" w:hint="eastAsia"/>
          <w:b/>
          <w:bCs/>
          <w:kern w:val="0"/>
          <w:sz w:val="27"/>
          <w:szCs w:val="27"/>
        </w:rPr>
      </w:pPr>
      <w:r w:rsidRPr="00974C2E">
        <w:rPr>
          <w:rFonts w:ascii="宋体" w:eastAsia="宋体" w:hAnsi="宋体" w:cs="宋体"/>
          <w:b/>
          <w:bCs/>
          <w:kern w:val="0"/>
          <w:sz w:val="27"/>
          <w:szCs w:val="27"/>
        </w:rPr>
        <w:t>（一）“俗”与“雅”的审美差异及其文学价值</w:t>
      </w:r>
    </w:p>
    <w:p w14:paraId="12C9DB10" w14:textId="1AAB7AF3" w:rsidR="00974C2E" w:rsidRPr="00974C2E" w:rsidRDefault="00C265F0" w:rsidP="00C265F0">
      <w:pPr>
        <w:widowControl/>
        <w:spacing w:before="100" w:beforeAutospacing="1" w:after="100" w:afterAutospacing="1" w:line="300" w:lineRule="auto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tab/>
      </w:r>
      <w:r w:rsidR="00974C2E" w:rsidRPr="00974C2E">
        <w:rPr>
          <w:rFonts w:ascii="宋体" w:eastAsia="宋体" w:hAnsi="宋体" w:cs="宋体"/>
          <w:kern w:val="0"/>
          <w:sz w:val="24"/>
          <w:szCs w:val="24"/>
        </w:rPr>
        <w:t>本研究通过对老舍与汪曾祺代表作品的情感分析、词频统计与文化内涵解读，系统揭示了京味文学内部“俗”与“雅”两种审美取向的深层差异及其互补关系。老舍以“市井之俗”立基，汪曾祺以“文人之雅”为魂，二者虽风格迥异，却共同构筑了京味文学丰富而立体的精神图景。</w:t>
      </w:r>
    </w:p>
    <w:p w14:paraId="64E5B313" w14:textId="3F9884F5" w:rsidR="00974C2E" w:rsidRPr="00974C2E" w:rsidRDefault="00C265F0" w:rsidP="00C265F0">
      <w:pPr>
        <w:widowControl/>
        <w:spacing w:before="100" w:beforeAutospacing="1" w:after="100" w:afterAutospacing="1" w:line="300" w:lineRule="auto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tab/>
      </w:r>
      <w:r w:rsidR="00974C2E" w:rsidRPr="00974C2E">
        <w:rPr>
          <w:rFonts w:ascii="宋体" w:eastAsia="宋体" w:hAnsi="宋体" w:cs="宋体"/>
          <w:kern w:val="0"/>
          <w:sz w:val="24"/>
          <w:szCs w:val="24"/>
        </w:rPr>
        <w:t>老舍的“俗”，并非粗鄙浅薄，而是扎根于北京底层社会的鲜活现实。其作品如《骆驼祥子》《四世同堂》《茶馆》等，以人力车夫、小商贩、旗人遗民等普通市民为主角，通过大量北京方言、胡同场景与生活细节，呈现出一种充满烟火气的现实主义美学。情感分析显示，老舍作品中积极情绪占比达47.8%，高于消极情绪（31.6%），这表明其文本并非一味悲情，而是在苦难中透出顽强生命力与市井幽默。这种“苦中作乐”的情感张力，构成了其独特的悲喜剧风格——既有对社会不公的尖锐批判，也有对普通人尊严的深切关怀。老舍之“俗”，实为一种具有高度社会责任感的“大俗”，是五四新文化精神与北京民间文化交融的产物。</w:t>
      </w:r>
    </w:p>
    <w:p w14:paraId="5B13DDEE" w14:textId="59318C2F" w:rsidR="00974C2E" w:rsidRPr="00974C2E" w:rsidRDefault="00C265F0" w:rsidP="00C265F0">
      <w:pPr>
        <w:widowControl/>
        <w:spacing w:before="100" w:beforeAutospacing="1" w:after="100" w:afterAutospacing="1" w:line="300" w:lineRule="auto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tab/>
      </w:r>
      <w:r w:rsidR="00974C2E" w:rsidRPr="00974C2E">
        <w:rPr>
          <w:rFonts w:ascii="宋体" w:eastAsia="宋体" w:hAnsi="宋体" w:cs="宋体"/>
          <w:kern w:val="0"/>
          <w:sz w:val="24"/>
          <w:szCs w:val="24"/>
        </w:rPr>
        <w:t>相较之下，汪曾祺的“雅”则体现为一种内</w:t>
      </w:r>
      <w:proofErr w:type="gramStart"/>
      <w:r w:rsidR="00974C2E" w:rsidRPr="00974C2E">
        <w:rPr>
          <w:rFonts w:ascii="宋体" w:eastAsia="宋体" w:hAnsi="宋体" w:cs="宋体"/>
          <w:kern w:val="0"/>
          <w:sz w:val="24"/>
          <w:szCs w:val="24"/>
        </w:rPr>
        <w:t>敛</w:t>
      </w:r>
      <w:proofErr w:type="gramEnd"/>
      <w:r w:rsidR="00974C2E" w:rsidRPr="00974C2E">
        <w:rPr>
          <w:rFonts w:ascii="宋体" w:eastAsia="宋体" w:hAnsi="宋体" w:cs="宋体"/>
          <w:kern w:val="0"/>
          <w:sz w:val="24"/>
          <w:szCs w:val="24"/>
        </w:rPr>
        <w:t>、冲淡的文人美学。其代表作《受戒》《大淖记事》《岁寒三友》等，虽也描写市井或乡土生活，但笔调从容，情感含蓄。数据显示，汪曾祺作品的情感分布更为均衡（积极41.0%、消极32.2%、中性26.8%），其中消极情绪比例略高于老舍，反映出其对命运无常、美好易逝的淡淡哀愁。然而，这种“消极”被包裹在诗意的叙述之中，不显激烈，反显深沉。汪曾祺深受中国古典文学、书画、戏曲熏陶，善于在平凡生活中发现美，在日常细节中寄托哲思。其“雅”并非脱离现实的孤高，而是一种“不经意的沧桑”——在恬淡表象下，蕴含着对文化记忆的守护与对生命本质的体悟。</w:t>
      </w:r>
    </w:p>
    <w:p w14:paraId="2435E13C" w14:textId="5CDBD777" w:rsidR="00974C2E" w:rsidRPr="00974C2E" w:rsidRDefault="00C265F0" w:rsidP="00C265F0">
      <w:pPr>
        <w:widowControl/>
        <w:spacing w:before="100" w:beforeAutospacing="1" w:after="100" w:afterAutospacing="1" w:line="300" w:lineRule="auto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lastRenderedPageBreak/>
        <w:tab/>
      </w:r>
      <w:r w:rsidR="00974C2E" w:rsidRPr="00974C2E">
        <w:rPr>
          <w:rFonts w:ascii="宋体" w:eastAsia="宋体" w:hAnsi="宋体" w:cs="宋体"/>
          <w:kern w:val="0"/>
          <w:sz w:val="24"/>
          <w:szCs w:val="24"/>
        </w:rPr>
        <w:t>因此，老舍与汪曾祺的审美差异，本质上是两种文化立场与艺术路径的体现：前者以社会介入为使命，后者以审美救赎为旨归；前者重“写实”，后者尚“写意”；前者情感外放，后者情感内</w:t>
      </w:r>
      <w:proofErr w:type="gramStart"/>
      <w:r w:rsidR="00974C2E" w:rsidRPr="00974C2E">
        <w:rPr>
          <w:rFonts w:ascii="宋体" w:eastAsia="宋体" w:hAnsi="宋体" w:cs="宋体"/>
          <w:kern w:val="0"/>
          <w:sz w:val="24"/>
          <w:szCs w:val="24"/>
        </w:rPr>
        <w:t>敛</w:t>
      </w:r>
      <w:proofErr w:type="gramEnd"/>
      <w:r w:rsidR="00974C2E" w:rsidRPr="00974C2E">
        <w:rPr>
          <w:rFonts w:ascii="宋体" w:eastAsia="宋体" w:hAnsi="宋体" w:cs="宋体"/>
          <w:kern w:val="0"/>
          <w:sz w:val="24"/>
          <w:szCs w:val="24"/>
        </w:rPr>
        <w:t>。然而，二者并非对立，而是互补。老舍的“俗”赋予京味文学以筋骨与血肉，汪曾祺的“雅”则为其注入灵魂与诗意。正是这种“俗中有雅，雅中见俗”的辩证统一，使京味文学既接地气，又具高度，成为中国现当代文学中极具辨识度的地域流派。</w:t>
      </w:r>
    </w:p>
    <w:p w14:paraId="420E723E" w14:textId="77777777" w:rsidR="00974C2E" w:rsidRPr="00974C2E" w:rsidRDefault="00974C2E" w:rsidP="00C265F0">
      <w:pPr>
        <w:widowControl/>
        <w:spacing w:before="100" w:beforeAutospacing="1" w:after="100" w:afterAutospacing="1" w:line="300" w:lineRule="auto"/>
        <w:jc w:val="left"/>
        <w:outlineLvl w:val="2"/>
        <w:rPr>
          <w:rFonts w:ascii="宋体" w:eastAsia="宋体" w:hAnsi="宋体" w:cs="宋体" w:hint="eastAsia"/>
          <w:b/>
          <w:bCs/>
          <w:kern w:val="0"/>
          <w:sz w:val="27"/>
          <w:szCs w:val="27"/>
        </w:rPr>
      </w:pPr>
      <w:r w:rsidRPr="00974C2E">
        <w:rPr>
          <w:rFonts w:ascii="宋体" w:eastAsia="宋体" w:hAnsi="宋体" w:cs="宋体"/>
          <w:b/>
          <w:bCs/>
          <w:kern w:val="0"/>
          <w:sz w:val="27"/>
          <w:szCs w:val="27"/>
        </w:rPr>
        <w:t>（二）全文整合与逻辑梳理</w:t>
      </w:r>
    </w:p>
    <w:p w14:paraId="3F419E3F" w14:textId="78E5DBC0" w:rsidR="00974C2E" w:rsidRPr="00974C2E" w:rsidRDefault="00C265F0" w:rsidP="00C265F0">
      <w:pPr>
        <w:widowControl/>
        <w:spacing w:before="100" w:beforeAutospacing="1" w:after="100" w:afterAutospacing="1" w:line="300" w:lineRule="auto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tab/>
      </w:r>
      <w:r w:rsidR="00974C2E" w:rsidRPr="00974C2E">
        <w:rPr>
          <w:rFonts w:ascii="宋体" w:eastAsia="宋体" w:hAnsi="宋体" w:cs="宋体"/>
          <w:kern w:val="0"/>
          <w:sz w:val="24"/>
          <w:szCs w:val="24"/>
        </w:rPr>
        <w:t>本研究遵循“背景—方法—分析—结论”的学术逻辑展开。首先，在研究背景部分明确京味文学是以北京地域文化为核心、融合方言、民俗、历史记忆与人文精神的文学类型，老舍与汪曾祺分别代表其“俗”与“雅”的两极典范。其次，通过网络公开资源收集两位作家的代表作品共八部，经文本清洗（去除标点、停用词、非中文字符）、分段处理后，构建分析语料库。</w:t>
      </w:r>
    </w:p>
    <w:p w14:paraId="5360BC0A" w14:textId="252C47B1" w:rsidR="00974C2E" w:rsidRPr="00974C2E" w:rsidRDefault="00C265F0" w:rsidP="00C265F0">
      <w:pPr>
        <w:widowControl/>
        <w:spacing w:before="100" w:beforeAutospacing="1" w:after="100" w:afterAutospacing="1" w:line="300" w:lineRule="auto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tab/>
      </w:r>
      <w:r w:rsidR="00974C2E" w:rsidRPr="00974C2E">
        <w:rPr>
          <w:rFonts w:ascii="宋体" w:eastAsia="宋体" w:hAnsi="宋体" w:cs="宋体"/>
          <w:kern w:val="0"/>
          <w:sz w:val="24"/>
          <w:szCs w:val="24"/>
        </w:rPr>
        <w:t>在方法层面，采用</w:t>
      </w:r>
      <w:proofErr w:type="spellStart"/>
      <w:r w:rsidR="00974C2E" w:rsidRPr="00974C2E">
        <w:rPr>
          <w:rFonts w:ascii="宋体" w:eastAsia="宋体" w:hAnsi="宋体" w:cs="宋体"/>
          <w:kern w:val="0"/>
          <w:sz w:val="24"/>
          <w:szCs w:val="24"/>
        </w:rPr>
        <w:t>SnowNLP</w:t>
      </w:r>
      <w:proofErr w:type="spellEnd"/>
      <w:r w:rsidR="00974C2E" w:rsidRPr="00974C2E">
        <w:rPr>
          <w:rFonts w:ascii="宋体" w:eastAsia="宋体" w:hAnsi="宋体" w:cs="宋体"/>
          <w:kern w:val="0"/>
          <w:sz w:val="24"/>
          <w:szCs w:val="24"/>
        </w:rPr>
        <w:t>情感分析模型对文本进行量化评估，并辅以词频统计与知识图谱构建。情感分析结果揭示了二者在情绪倾向与表达方式上的微妙差异；词云图则直观呈现老舍高频</w:t>
      </w:r>
      <w:proofErr w:type="gramStart"/>
      <w:r w:rsidR="00974C2E" w:rsidRPr="00974C2E">
        <w:rPr>
          <w:rFonts w:ascii="宋体" w:eastAsia="宋体" w:hAnsi="宋体" w:cs="宋体"/>
          <w:kern w:val="0"/>
          <w:sz w:val="24"/>
          <w:szCs w:val="24"/>
        </w:rPr>
        <w:t>词集中</w:t>
      </w:r>
      <w:proofErr w:type="gramEnd"/>
      <w:r w:rsidR="00974C2E" w:rsidRPr="00974C2E">
        <w:rPr>
          <w:rFonts w:ascii="宋体" w:eastAsia="宋体" w:hAnsi="宋体" w:cs="宋体"/>
          <w:kern w:val="0"/>
          <w:sz w:val="24"/>
          <w:szCs w:val="24"/>
        </w:rPr>
        <w:t>于“街”“钱”“拉车”“北平”等市井符号，而汪曾祺则多见“荷花”“酒”“画”“闲话”等文人意象。基于此，进一步提炼出“市井之俗”与“文人之雅”的文化知识图谱，从底层视角、口语表达、社会批判（老舍）与传统文化浸润、诗意审美、闲适格调（汪曾祺）四个维</w:t>
      </w:r>
      <w:proofErr w:type="gramStart"/>
      <w:r w:rsidR="00974C2E" w:rsidRPr="00974C2E">
        <w:rPr>
          <w:rFonts w:ascii="宋体" w:eastAsia="宋体" w:hAnsi="宋体" w:cs="宋体"/>
          <w:kern w:val="0"/>
          <w:sz w:val="24"/>
          <w:szCs w:val="24"/>
        </w:rPr>
        <w:t>度展开</w:t>
      </w:r>
      <w:proofErr w:type="gramEnd"/>
      <w:r w:rsidR="00974C2E" w:rsidRPr="00974C2E">
        <w:rPr>
          <w:rFonts w:ascii="宋体" w:eastAsia="宋体" w:hAnsi="宋体" w:cs="宋体"/>
          <w:kern w:val="0"/>
          <w:sz w:val="24"/>
          <w:szCs w:val="24"/>
        </w:rPr>
        <w:t>阐释。</w:t>
      </w:r>
    </w:p>
    <w:p w14:paraId="1F42A978" w14:textId="2EC71D5B" w:rsidR="00974C2E" w:rsidRPr="00974C2E" w:rsidRDefault="00C265F0" w:rsidP="00C265F0">
      <w:pPr>
        <w:widowControl/>
        <w:spacing w:before="100" w:beforeAutospacing="1" w:after="100" w:afterAutospacing="1" w:line="300" w:lineRule="auto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tab/>
      </w:r>
      <w:r w:rsidR="00974C2E" w:rsidRPr="00974C2E">
        <w:rPr>
          <w:rFonts w:ascii="宋体" w:eastAsia="宋体" w:hAnsi="宋体" w:cs="宋体"/>
          <w:kern w:val="0"/>
          <w:sz w:val="24"/>
          <w:szCs w:val="24"/>
        </w:rPr>
        <w:t>全文各部分环环相扣：数据收集为分析提供基础，情感与词频分析为文化解读提供证据，文化解读又反过来深化对情感与语言特征的理解。最终，所有线索汇聚于结论部分，形成对京味文学审美多元性的整体认知。</w:t>
      </w:r>
    </w:p>
    <w:p w14:paraId="5B6C23A7" w14:textId="77777777" w:rsidR="00974C2E" w:rsidRPr="00974C2E" w:rsidRDefault="00974C2E" w:rsidP="00C265F0">
      <w:pPr>
        <w:widowControl/>
        <w:spacing w:before="100" w:beforeAutospacing="1" w:after="100" w:afterAutospacing="1" w:line="300" w:lineRule="auto"/>
        <w:jc w:val="left"/>
        <w:outlineLvl w:val="1"/>
        <w:rPr>
          <w:rFonts w:ascii="宋体" w:eastAsia="宋体" w:hAnsi="宋体" w:cs="宋体" w:hint="eastAsia"/>
          <w:b/>
          <w:bCs/>
          <w:kern w:val="0"/>
          <w:sz w:val="36"/>
          <w:szCs w:val="36"/>
        </w:rPr>
      </w:pPr>
      <w:r w:rsidRPr="00974C2E">
        <w:rPr>
          <w:rFonts w:ascii="宋体" w:eastAsia="宋体" w:hAnsi="宋体" w:cs="宋体"/>
          <w:b/>
          <w:bCs/>
          <w:kern w:val="0"/>
          <w:sz w:val="36"/>
          <w:szCs w:val="36"/>
        </w:rPr>
        <w:t>结语</w:t>
      </w:r>
    </w:p>
    <w:p w14:paraId="02E53B43" w14:textId="27BDED8C" w:rsidR="003C0F80" w:rsidRPr="00C265F0" w:rsidRDefault="00C265F0" w:rsidP="00C265F0">
      <w:pPr>
        <w:widowControl/>
        <w:spacing w:before="100" w:beforeAutospacing="1" w:after="100" w:afterAutospacing="1" w:line="300" w:lineRule="auto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tab/>
      </w:r>
      <w:r w:rsidR="00974C2E" w:rsidRPr="00974C2E">
        <w:rPr>
          <w:rFonts w:ascii="宋体" w:eastAsia="宋体" w:hAnsi="宋体" w:cs="宋体"/>
          <w:kern w:val="0"/>
          <w:sz w:val="24"/>
          <w:szCs w:val="24"/>
        </w:rPr>
        <w:t>老舍与汪曾祺，</w:t>
      </w:r>
      <w:proofErr w:type="gramStart"/>
      <w:r w:rsidR="00974C2E" w:rsidRPr="00974C2E">
        <w:rPr>
          <w:rFonts w:ascii="宋体" w:eastAsia="宋体" w:hAnsi="宋体" w:cs="宋体"/>
          <w:kern w:val="0"/>
          <w:sz w:val="24"/>
          <w:szCs w:val="24"/>
        </w:rPr>
        <w:t>一</w:t>
      </w:r>
      <w:proofErr w:type="gramEnd"/>
      <w:r w:rsidR="00974C2E" w:rsidRPr="00974C2E">
        <w:rPr>
          <w:rFonts w:ascii="宋体" w:eastAsia="宋体" w:hAnsi="宋体" w:cs="宋体"/>
          <w:kern w:val="0"/>
          <w:sz w:val="24"/>
          <w:szCs w:val="24"/>
        </w:rPr>
        <w:t>俗一雅，</w:t>
      </w:r>
      <w:proofErr w:type="gramStart"/>
      <w:r w:rsidR="00974C2E" w:rsidRPr="00974C2E">
        <w:rPr>
          <w:rFonts w:ascii="宋体" w:eastAsia="宋体" w:hAnsi="宋体" w:cs="宋体"/>
          <w:kern w:val="0"/>
          <w:sz w:val="24"/>
          <w:szCs w:val="24"/>
        </w:rPr>
        <w:t>一</w:t>
      </w:r>
      <w:proofErr w:type="gramEnd"/>
      <w:r w:rsidR="00974C2E" w:rsidRPr="00974C2E">
        <w:rPr>
          <w:rFonts w:ascii="宋体" w:eastAsia="宋体" w:hAnsi="宋体" w:cs="宋体"/>
          <w:kern w:val="0"/>
          <w:sz w:val="24"/>
          <w:szCs w:val="24"/>
        </w:rPr>
        <w:t>刚</w:t>
      </w:r>
      <w:proofErr w:type="gramStart"/>
      <w:r w:rsidR="00974C2E" w:rsidRPr="00974C2E">
        <w:rPr>
          <w:rFonts w:ascii="宋体" w:eastAsia="宋体" w:hAnsi="宋体" w:cs="宋体"/>
          <w:kern w:val="0"/>
          <w:sz w:val="24"/>
          <w:szCs w:val="24"/>
        </w:rPr>
        <w:t>一</w:t>
      </w:r>
      <w:proofErr w:type="gramEnd"/>
      <w:r w:rsidR="00974C2E" w:rsidRPr="00974C2E">
        <w:rPr>
          <w:rFonts w:ascii="宋体" w:eastAsia="宋体" w:hAnsi="宋体" w:cs="宋体"/>
          <w:kern w:val="0"/>
          <w:sz w:val="24"/>
          <w:szCs w:val="24"/>
        </w:rPr>
        <w:t>柔，共同书写了北京这座城市的灵魂。他们的作品不仅是文学经典，更是文化记忆的载体。在全球化与城市化加速的今天，重审京味文学中的“俗”与“雅”，不仅有助于我们理解中国文学的地域多样性，更提醒我们：真正的文化生命力，既在于对现实的深刻介入，也在于对美的永恒追寻。老舍的呐喊与汪曾祺的低语，至今仍在胡同深处与书页之间回响，构成京味文学不朽的双重奏。</w:t>
      </w:r>
    </w:p>
    <w:sectPr w:rsidR="003C0F80" w:rsidRPr="00C265F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4B0B6E"/>
    <w:multiLevelType w:val="multilevel"/>
    <w:tmpl w:val="5F047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AF0757C"/>
    <w:multiLevelType w:val="multilevel"/>
    <w:tmpl w:val="B25C0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6684714">
    <w:abstractNumId w:val="1"/>
  </w:num>
  <w:num w:numId="2" w16cid:durableId="3594032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57CA"/>
    <w:rsid w:val="001E57CA"/>
    <w:rsid w:val="003C0F80"/>
    <w:rsid w:val="00633A3C"/>
    <w:rsid w:val="00974C2E"/>
    <w:rsid w:val="00BA1140"/>
    <w:rsid w:val="00C265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A124740"/>
  <w15:chartTrackingRefBased/>
  <w15:docId w15:val="{C931D8A7-EF71-4394-9FD4-993B0B7889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link w:val="10"/>
    <w:uiPriority w:val="9"/>
    <w:qFormat/>
    <w:rsid w:val="00974C2E"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974C2E"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paragraph" w:styleId="3">
    <w:name w:val="heading 3"/>
    <w:basedOn w:val="a"/>
    <w:link w:val="30"/>
    <w:uiPriority w:val="9"/>
    <w:qFormat/>
    <w:rsid w:val="00974C2E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74C2E"/>
    <w:rPr>
      <w:rFonts w:ascii="宋体" w:eastAsia="宋体" w:hAnsi="宋体" w:cs="宋体"/>
      <w:b/>
      <w:bCs/>
      <w:kern w:val="36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974C2E"/>
    <w:rPr>
      <w:rFonts w:ascii="宋体" w:eastAsia="宋体" w:hAnsi="宋体" w:cs="宋体"/>
      <w:b/>
      <w:bCs/>
      <w:kern w:val="0"/>
      <w:sz w:val="36"/>
      <w:szCs w:val="36"/>
    </w:rPr>
  </w:style>
  <w:style w:type="character" w:customStyle="1" w:styleId="30">
    <w:name w:val="标题 3 字符"/>
    <w:basedOn w:val="a0"/>
    <w:link w:val="3"/>
    <w:uiPriority w:val="9"/>
    <w:rsid w:val="00974C2E"/>
    <w:rPr>
      <w:rFonts w:ascii="宋体" w:eastAsia="宋体" w:hAnsi="宋体" w:cs="宋体"/>
      <w:b/>
      <w:bCs/>
      <w:kern w:val="0"/>
      <w:sz w:val="27"/>
      <w:szCs w:val="27"/>
    </w:rPr>
  </w:style>
  <w:style w:type="paragraph" w:styleId="a3">
    <w:name w:val="Normal (Web)"/>
    <w:basedOn w:val="a"/>
    <w:uiPriority w:val="99"/>
    <w:semiHidden/>
    <w:unhideWhenUsed/>
    <w:rsid w:val="00974C2E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4">
    <w:name w:val="Strong"/>
    <w:basedOn w:val="a0"/>
    <w:uiPriority w:val="22"/>
    <w:qFormat/>
    <w:rsid w:val="00974C2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537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209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246</Words>
  <Characters>1403</Characters>
  <Application>Microsoft Office Word</Application>
  <DocSecurity>0</DocSecurity>
  <Lines>11</Lines>
  <Paragraphs>3</Paragraphs>
  <ScaleCrop>false</ScaleCrop>
  <Company/>
  <LinksUpToDate>false</LinksUpToDate>
  <CharactersWithSpaces>1646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俊杰 任</dc:creator>
  <cp:keywords/>
  <dc:description/>
  <cp:lastModifiedBy>越杨 施</cp:lastModifiedBy>
  <cp:revision>4</cp:revision>
  <dcterms:created xsi:type="dcterms:W3CDTF">2026-01-03T13:31:00Z</dcterms:created>
  <dcterms:modified xsi:type="dcterms:W3CDTF">2026-01-03T14:55:00Z</dcterms:modified>
</cp:coreProperties>
</file>