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5520B" w14:textId="0666D882" w:rsidR="00D343E2" w:rsidRPr="00FA2D79" w:rsidRDefault="00D343E2" w:rsidP="00D343E2">
      <w:pPr>
        <w:ind w:firstLineChars="100" w:firstLine="321"/>
        <w:rPr>
          <w:rFonts w:ascii="宋体" w:eastAsia="宋体" w:hAnsi="宋体" w:hint="eastAsia"/>
          <w:b/>
          <w:bCs/>
          <w:sz w:val="32"/>
          <w:szCs w:val="32"/>
        </w:rPr>
      </w:pPr>
      <w:r w:rsidRPr="00FA2D79">
        <w:rPr>
          <w:rFonts w:ascii="宋体" w:eastAsia="宋体" w:hAnsi="宋体"/>
          <w:b/>
          <w:bCs/>
          <w:sz w:val="32"/>
          <w:szCs w:val="32"/>
        </w:rPr>
        <w:t>个人案例总结：老舍与汪曾祺作品 “俗”“雅” 文化分析</w:t>
      </w:r>
    </w:p>
    <w:p w14:paraId="2BF3FEA9" w14:textId="77777777" w:rsidR="00D343E2" w:rsidRPr="00FA2D79" w:rsidRDefault="00D343E2" w:rsidP="00FA2D79">
      <w:pPr>
        <w:spacing w:line="30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FA2D79">
        <w:rPr>
          <w:rFonts w:ascii="宋体" w:eastAsia="宋体" w:hAnsi="宋体"/>
          <w:b/>
          <w:bCs/>
          <w:sz w:val="24"/>
          <w:szCs w:val="24"/>
        </w:rPr>
        <w:t>一、任务内容与核心产出</w:t>
      </w:r>
    </w:p>
    <w:p w14:paraId="0A16DEA8" w14:textId="77777777" w:rsidR="00FA2D79" w:rsidRDefault="00D343E2" w:rsidP="00FA2D79">
      <w:pPr>
        <w:spacing w:line="300" w:lineRule="auto"/>
        <w:rPr>
          <w:rFonts w:ascii="宋体" w:eastAsia="宋体" w:hAnsi="宋体"/>
          <w:sz w:val="24"/>
          <w:szCs w:val="24"/>
        </w:rPr>
      </w:pPr>
      <w:r w:rsidRPr="00FA2D79">
        <w:rPr>
          <w:rFonts w:ascii="宋体" w:eastAsia="宋体" w:hAnsi="宋体"/>
          <w:sz w:val="24"/>
          <w:szCs w:val="24"/>
        </w:rPr>
        <w:t>本次小组任务聚焦老舍 “市井之俗” 与汪曾祺 “文人之雅” 的文化差异，我的核心参与内容及产出包括：</w:t>
      </w:r>
    </w:p>
    <w:p w14:paraId="306CF522" w14:textId="4C045DF3" w:rsidR="00FA2D79" w:rsidRDefault="00FA2D79" w:rsidP="00FA2D79">
      <w:pPr>
        <w:spacing w:line="30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D343E2" w:rsidRPr="00FA2D79">
        <w:rPr>
          <w:rFonts w:ascii="宋体" w:eastAsia="宋体" w:hAnsi="宋体"/>
          <w:b/>
          <w:bCs/>
          <w:sz w:val="24"/>
          <w:szCs w:val="24"/>
        </w:rPr>
        <w:t>词云图可视化</w:t>
      </w:r>
      <w:r w:rsidR="00D343E2" w:rsidRPr="00FA2D79">
        <w:rPr>
          <w:rFonts w:ascii="宋体" w:eastAsia="宋体" w:hAnsi="宋体"/>
          <w:sz w:val="24"/>
          <w:szCs w:val="24"/>
        </w:rPr>
        <w:t>：通过词频统计工具，提炼老舍作品中 “胡同、买卖、茶馆、四爷” 等市井高频词（对应红色词云），以及汪曾祺作品里 “山水、荸荠、安乐、姑娘” 等文人意象（对应绿色词云），直观呈现二者的语言风格差异；</w:t>
      </w:r>
    </w:p>
    <w:p w14:paraId="50BB3E2D" w14:textId="173928AB" w:rsidR="00FA2D79" w:rsidRDefault="00FA2D79" w:rsidP="00FA2D79">
      <w:pPr>
        <w:spacing w:line="30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ab/>
      </w:r>
      <w:r w:rsidR="00D343E2" w:rsidRPr="00FA2D79">
        <w:rPr>
          <w:rFonts w:ascii="宋体" w:eastAsia="宋体" w:hAnsi="宋体"/>
          <w:b/>
          <w:bCs/>
          <w:sz w:val="24"/>
          <w:szCs w:val="24"/>
        </w:rPr>
        <w:t>知识图谱构建</w:t>
      </w:r>
      <w:r w:rsidR="00D343E2" w:rsidRPr="00FA2D79">
        <w:rPr>
          <w:rFonts w:ascii="宋体" w:eastAsia="宋体" w:hAnsi="宋体"/>
          <w:sz w:val="24"/>
          <w:szCs w:val="24"/>
        </w:rPr>
        <w:t>：参与搭建两类知识图谱 ——“京味文学‘俗’特征图谱” 以 “市井生活、市井人物” 为核心节点，关联 “吆喝、大杂院、茶馆生意” 等民俗元素；“京味文学‘雅’特征图谱” 以 “文化情趣、自然意象” 为核心，链接 “园林、书画、江南风物” 等文人符号；</w:t>
      </w:r>
    </w:p>
    <w:p w14:paraId="2EA4927F" w14:textId="70261E9A" w:rsidR="00D343E2" w:rsidRPr="00FA2D79" w:rsidRDefault="00FA2D79" w:rsidP="00FA2D79">
      <w:pPr>
        <w:spacing w:line="30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D343E2" w:rsidRPr="00FA2D79">
        <w:rPr>
          <w:rFonts w:ascii="宋体" w:eastAsia="宋体" w:hAnsi="宋体"/>
          <w:b/>
          <w:bCs/>
          <w:sz w:val="24"/>
          <w:szCs w:val="24"/>
        </w:rPr>
        <w:t>文化根基分析</w:t>
      </w:r>
      <w:r w:rsidR="00D343E2" w:rsidRPr="00FA2D79">
        <w:rPr>
          <w:rFonts w:ascii="宋体" w:eastAsia="宋体" w:hAnsi="宋体"/>
          <w:sz w:val="24"/>
          <w:szCs w:val="24"/>
        </w:rPr>
        <w:t>：梳理出老舍 “市井之俗” 扎根于老北京底层社会生态，以烟火气承载民国民生百态；汪曾祺 “文人之雅” 源于江南士大夫审美传统，以清淡意象传递 “生活即诗意” 的文人哲学。</w:t>
      </w:r>
    </w:p>
    <w:p w14:paraId="7A94E5C1" w14:textId="77777777" w:rsidR="00D343E2" w:rsidRPr="00FA2D79" w:rsidRDefault="00D343E2" w:rsidP="00FA2D79">
      <w:pPr>
        <w:spacing w:line="30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FA2D79">
        <w:rPr>
          <w:rFonts w:ascii="宋体" w:eastAsia="宋体" w:hAnsi="宋体"/>
          <w:b/>
          <w:bCs/>
          <w:sz w:val="24"/>
          <w:szCs w:val="24"/>
        </w:rPr>
        <w:t>二、任务感想</w:t>
      </w:r>
    </w:p>
    <w:p w14:paraId="3D3F123A" w14:textId="0170F9C7" w:rsidR="00D343E2" w:rsidRPr="00FA2D79" w:rsidRDefault="00FA2D79" w:rsidP="00FA2D79">
      <w:pPr>
        <w:spacing w:line="30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D343E2" w:rsidRPr="00FA2D79">
        <w:rPr>
          <w:rFonts w:ascii="宋体" w:eastAsia="宋体" w:hAnsi="宋体"/>
          <w:sz w:val="24"/>
          <w:szCs w:val="24"/>
        </w:rPr>
        <w:t>参与这次分析，最大的收获是触摸到 “文学风格的文化土壤”：老舍的 “俗” 并非粗陋，而是把胡同里的讨价还价、茶馆里的家长里短，写成了老北京的生存肌理；汪曾祺的 “雅” 也不是脱离烟火，而是用 “一碟荸荠、一汪山水”，把日常日子过成了文人的散文。</w:t>
      </w:r>
    </w:p>
    <w:p w14:paraId="37AB1150" w14:textId="662AF645" w:rsidR="00D343E2" w:rsidRPr="00FA2D79" w:rsidRDefault="00FA2D79" w:rsidP="00FA2D79">
      <w:pPr>
        <w:spacing w:line="30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D343E2" w:rsidRPr="00FA2D79">
        <w:rPr>
          <w:rFonts w:ascii="宋体" w:eastAsia="宋体" w:hAnsi="宋体"/>
          <w:sz w:val="24"/>
          <w:szCs w:val="24"/>
        </w:rPr>
        <w:t>词云图的</w:t>
      </w:r>
      <w:proofErr w:type="gramStart"/>
      <w:r w:rsidR="00D343E2" w:rsidRPr="00FA2D79">
        <w:rPr>
          <w:rFonts w:ascii="宋体" w:eastAsia="宋体" w:hAnsi="宋体"/>
          <w:sz w:val="24"/>
          <w:szCs w:val="24"/>
        </w:rPr>
        <w:t>制作让</w:t>
      </w:r>
      <w:proofErr w:type="gramEnd"/>
      <w:r w:rsidR="00D343E2" w:rsidRPr="00FA2D79">
        <w:rPr>
          <w:rFonts w:ascii="宋体" w:eastAsia="宋体" w:hAnsi="宋体"/>
          <w:sz w:val="24"/>
          <w:szCs w:val="24"/>
        </w:rPr>
        <w:t>我意外 —— 原来 “胡同”“买卖” 的高频重复，藏着老舍对市井群体的全景式共情；而 “山水”“安乐” 的密集排布，恰好是汪曾祺 “草木有本心” 的审美底色。知识图谱的搭建则让抽象的 “俗”“雅” 有了落地的节点：比如老舍的 “茶馆” 不仅是场景，更是 “乱世里的生存容器”；汪曾祺的 “荸荠” 不仅是食物，更是 “故乡味觉里的诗意”。</w:t>
      </w:r>
    </w:p>
    <w:p w14:paraId="38C40686" w14:textId="1936B100" w:rsidR="00D343E2" w:rsidRPr="00FA2D79" w:rsidRDefault="00FA2D79" w:rsidP="00FA2D79">
      <w:pPr>
        <w:spacing w:line="30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D343E2" w:rsidRPr="00FA2D79">
        <w:rPr>
          <w:rFonts w:ascii="宋体" w:eastAsia="宋体" w:hAnsi="宋体"/>
          <w:sz w:val="24"/>
          <w:szCs w:val="24"/>
        </w:rPr>
        <w:t>略有遗憾的是，知识图谱的节点关联可以更深入（比如老舍 “买卖” 可链接 “民生艰难”，汪曾祺 “安乐” 可补充 “文人隐逸”），后续若有延伸任务，可进一步细化文化逻辑。</w:t>
      </w:r>
    </w:p>
    <w:p w14:paraId="533B2210" w14:textId="77777777" w:rsidR="00D343E2" w:rsidRPr="00FA2D79" w:rsidRDefault="00D343E2" w:rsidP="00FA2D79">
      <w:pPr>
        <w:spacing w:line="30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FA2D79">
        <w:rPr>
          <w:rFonts w:ascii="宋体" w:eastAsia="宋体" w:hAnsi="宋体"/>
          <w:b/>
          <w:bCs/>
          <w:sz w:val="24"/>
          <w:szCs w:val="24"/>
        </w:rPr>
        <w:t>三、任务总结</w:t>
      </w:r>
    </w:p>
    <w:p w14:paraId="1E96A26C" w14:textId="62311C92" w:rsidR="00D343E2" w:rsidRPr="00FA2D79" w:rsidRDefault="00FA2D79" w:rsidP="00FA2D79">
      <w:pPr>
        <w:spacing w:line="30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D343E2" w:rsidRPr="00FA2D79">
        <w:rPr>
          <w:rFonts w:ascii="宋体" w:eastAsia="宋体" w:hAnsi="宋体"/>
          <w:sz w:val="24"/>
          <w:szCs w:val="24"/>
        </w:rPr>
        <w:t>这次任务让我跳出 “读文本看情节” 的惯性，学会用 “数据（词频）+ 结构（知识图谱）” 解读文学的文化根脉：老舍的 “市井之俗” 是 “贴着地面的生活史诗”，汪曾祺的 “文人之雅” 是 “浸着诗意的日常记录”，二者都是中国文学里 “生活美学” 的不同面相。</w:t>
      </w:r>
    </w:p>
    <w:p w14:paraId="04232C91" w14:textId="24D96CF7" w:rsidR="00C40301" w:rsidRPr="00FA2D79" w:rsidRDefault="00D343E2" w:rsidP="00FA2D79">
      <w:pPr>
        <w:spacing w:line="30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FA2D79">
        <w:rPr>
          <w:rFonts w:ascii="宋体" w:eastAsia="宋体" w:hAnsi="宋体" w:hint="eastAsia"/>
          <w:b/>
          <w:bCs/>
          <w:sz w:val="24"/>
          <w:szCs w:val="24"/>
        </w:rPr>
        <w:t>词云图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D343E2" w:rsidRPr="00FA2D79" w14:paraId="2ECA3C16" w14:textId="77777777" w:rsidTr="00C40301">
        <w:tc>
          <w:tcPr>
            <w:tcW w:w="4148" w:type="dxa"/>
          </w:tcPr>
          <w:p w14:paraId="0A05EC71" w14:textId="2393A762" w:rsidR="00D343E2" w:rsidRPr="00FA2D79" w:rsidRDefault="00C40301" w:rsidP="00FA2D79">
            <w:pPr>
              <w:spacing w:line="300" w:lineRule="auto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A2D79">
              <w:rPr>
                <w:rFonts w:ascii="宋体" w:eastAsia="宋体" w:hAnsi="宋体"/>
                <w:noProof/>
              </w:rPr>
              <w:lastRenderedPageBreak/>
              <w:drawing>
                <wp:inline distT="0" distB="0" distL="0" distR="0" wp14:anchorId="72890EC0" wp14:editId="0F07C5C7">
                  <wp:extent cx="2496820" cy="2504440"/>
                  <wp:effectExtent l="0" t="0" r="0" b="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820" cy="250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204C6BA4" w14:textId="04E5E48E" w:rsidR="00D343E2" w:rsidRPr="00FA2D79" w:rsidRDefault="00C40301" w:rsidP="00FA2D79">
            <w:pPr>
              <w:spacing w:line="300" w:lineRule="auto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A2D79">
              <w:rPr>
                <w:rFonts w:ascii="宋体" w:eastAsia="宋体" w:hAnsi="宋体"/>
                <w:noProof/>
              </w:rPr>
              <w:drawing>
                <wp:inline distT="0" distB="0" distL="0" distR="0" wp14:anchorId="027DCE3E" wp14:editId="2F5DCBE9">
                  <wp:extent cx="2496820" cy="2542540"/>
                  <wp:effectExtent l="0" t="0" r="0" b="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820" cy="254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84D696" w14:textId="11220980" w:rsidR="00D343E2" w:rsidRPr="00FA2D79" w:rsidRDefault="00FA2D79" w:rsidP="00FA2D79">
      <w:pPr>
        <w:spacing w:line="30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A605FA" w:rsidRPr="00FA2D79">
        <w:rPr>
          <w:rFonts w:ascii="宋体" w:eastAsia="宋体" w:hAnsi="宋体" w:hint="eastAsia"/>
          <w:sz w:val="24"/>
          <w:szCs w:val="24"/>
        </w:rPr>
        <w:t>左图：</w:t>
      </w:r>
      <w:r w:rsidR="00A605FA" w:rsidRPr="00FA2D79">
        <w:rPr>
          <w:rFonts w:ascii="宋体" w:eastAsia="宋体" w:hAnsi="宋体"/>
          <w:sz w:val="24"/>
          <w:szCs w:val="24"/>
        </w:rPr>
        <w:t>以 “起来、北平、</w:t>
      </w:r>
      <w:proofErr w:type="gramStart"/>
      <w:r w:rsidR="00A605FA" w:rsidRPr="00FA2D79">
        <w:rPr>
          <w:rFonts w:ascii="宋体" w:eastAsia="宋体" w:hAnsi="宋体"/>
          <w:sz w:val="24"/>
          <w:szCs w:val="24"/>
        </w:rPr>
        <w:t>祥</w:t>
      </w:r>
      <w:proofErr w:type="gramEnd"/>
      <w:r w:rsidR="00A605FA" w:rsidRPr="00FA2D79">
        <w:rPr>
          <w:rFonts w:ascii="宋体" w:eastAsia="宋体" w:hAnsi="宋体"/>
          <w:sz w:val="24"/>
          <w:szCs w:val="24"/>
        </w:rPr>
        <w:t>子、四爷” 等为核心关键词，高频出现 “冠家、晓荷、虎妞” 等人物名，以及 “希望、决定、慢慢” 等动作 / 情绪词，直观体现老舍作品聚焦老北京市井人物群像，语言贴合底层生活的 “市井之俗” 风格。</w:t>
      </w:r>
    </w:p>
    <w:p w14:paraId="5840D898" w14:textId="61D31BA9" w:rsidR="00A605FA" w:rsidRPr="00FA2D79" w:rsidRDefault="00FA2D79" w:rsidP="00FA2D79">
      <w:pPr>
        <w:spacing w:line="30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A605FA" w:rsidRPr="00FA2D79">
        <w:rPr>
          <w:rFonts w:ascii="宋体" w:eastAsia="宋体" w:hAnsi="宋体" w:hint="eastAsia"/>
          <w:sz w:val="24"/>
          <w:szCs w:val="24"/>
        </w:rPr>
        <w:t>右图：</w:t>
      </w:r>
      <w:r w:rsidR="00A605FA" w:rsidRPr="00FA2D79">
        <w:rPr>
          <w:rFonts w:ascii="宋体" w:eastAsia="宋体" w:hAnsi="宋体"/>
          <w:sz w:val="24"/>
          <w:szCs w:val="24"/>
        </w:rPr>
        <w:t>核心关键词为 “喝酒、巧云、锡匠、明海”，搭配 “荸荠、安乐、沙洲” 等自然 / 生活意象，还有 “讲究、干净” 等文人审美类词汇，呼应汪曾祺作品以江南风物、文人日常为载体的 “文人之雅” 特质。</w:t>
      </w:r>
    </w:p>
    <w:p w14:paraId="2EC7DDFC" w14:textId="0B649D59" w:rsidR="00A605FA" w:rsidRPr="00FA2D79" w:rsidRDefault="00A605FA" w:rsidP="00FA2D79">
      <w:pPr>
        <w:spacing w:line="30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FA2D79">
        <w:rPr>
          <w:rFonts w:ascii="宋体" w:eastAsia="宋体" w:hAnsi="宋体" w:hint="eastAsia"/>
          <w:b/>
          <w:bCs/>
          <w:sz w:val="24"/>
          <w:szCs w:val="24"/>
        </w:rPr>
        <w:t>知识图谱</w:t>
      </w:r>
    </w:p>
    <w:p w14:paraId="7DF56E92" w14:textId="16C1A4A9" w:rsidR="003132F4" w:rsidRPr="00FA2D79" w:rsidRDefault="003132F4" w:rsidP="00FA2D79">
      <w:p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FA2D79">
        <w:rPr>
          <w:rFonts w:ascii="宋体" w:eastAsia="宋体" w:hAnsi="宋体" w:hint="eastAsia"/>
          <w:sz w:val="24"/>
          <w:szCs w:val="24"/>
        </w:rPr>
        <w:t>老舍的市井之俗                         汪曾祺的文人之雅</w:t>
      </w:r>
      <w:r w:rsidRPr="00FA2D79">
        <w:rPr>
          <w:rFonts w:ascii="宋体" w:eastAsia="宋体" w:hAnsi="宋体" w:hint="eastAsia"/>
          <w:sz w:val="24"/>
          <w:szCs w:val="24"/>
        </w:rPr>
        <w:cr/>
      </w:r>
      <w:r w:rsidRPr="00FA2D79">
        <w:rPr>
          <w:rFonts w:ascii="宋体" w:eastAsia="宋体" w:hAnsi="宋体"/>
          <w:noProof/>
        </w:rPr>
        <w:drawing>
          <wp:inline distT="0" distB="0" distL="0" distR="0" wp14:anchorId="56B25B12" wp14:editId="602CE4AA">
            <wp:extent cx="2656800" cy="211680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00" cy="211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2D79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696B7FF9" wp14:editId="65AE0619">
            <wp:extent cx="2541600" cy="2142000"/>
            <wp:effectExtent l="0" t="0" r="0" b="0"/>
            <wp:docPr id="1938829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600" cy="214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132F4" w:rsidRPr="00FA2D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72D54"/>
    <w:multiLevelType w:val="multilevel"/>
    <w:tmpl w:val="40BA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4209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3E2"/>
    <w:rsid w:val="00155974"/>
    <w:rsid w:val="003132F4"/>
    <w:rsid w:val="005028B7"/>
    <w:rsid w:val="0067220F"/>
    <w:rsid w:val="00A605FA"/>
    <w:rsid w:val="00C40301"/>
    <w:rsid w:val="00D16B1F"/>
    <w:rsid w:val="00D343E2"/>
    <w:rsid w:val="00FA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F7DD3"/>
  <w15:chartTrackingRefBased/>
  <w15:docId w15:val="{4E4F7CDA-E579-458B-9120-B6140FE90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43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4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43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43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43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43E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43E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43E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43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43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4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4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43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43E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43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43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43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43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43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4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43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43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43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43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43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43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4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43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43E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343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荣崇 王</dc:creator>
  <cp:keywords/>
  <dc:description/>
  <cp:lastModifiedBy>越杨 施</cp:lastModifiedBy>
  <cp:revision>2</cp:revision>
  <dcterms:created xsi:type="dcterms:W3CDTF">2026-01-03T13:17:00Z</dcterms:created>
  <dcterms:modified xsi:type="dcterms:W3CDTF">2026-01-03T14:59:00Z</dcterms:modified>
</cp:coreProperties>
</file>