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CỘNG HÒA XÃ HỘI CHỦ NGHĨA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SOCIALIST REPUBLIC OF VIETNAM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Độc lập – Tự do – Hạnh phúc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Independence – Freedom – Happiness</w:t>
            </w:r>
          </w:p>
        </w:tc>
      </w:tr>
    </w:tbl>
    <w:p>
      <w:pPr>
        <w:spacing w:after="160" w:before="60" w:line="276"/>
        <w:jc w:val="center"/>
      </w:pPr>
      <w:r>
        <w:rPr>
          <w:rFonts w:ascii="Times New Roman" w:cs="Times New Roman" w:eastAsia="Times New Roman" w:hAnsi="Times New Roman"/>
          <w:color w:val="B08D57"/>
          <w:sz w:val="18"/>
          <w:szCs w:val="18"/>
        </w:rPr>
        <w:t xml:space="preserve">───────  ◆  ───────</w:t>
      </w:r>
    </w:p>
    <w:p>
      <w:pPr>
        <w:spacing w:after="40" w:before="40" w:line="276"/>
        <w:jc w:val="center"/>
      </w:pPr>
      <w:r>
        <w:rPr>
          <w:rFonts w:ascii="Times New Roman" w:cs="Times New Roman" w:eastAsia="Times New Roman" w:hAnsi="Times New Roman"/>
          <w:b/>
          <w:bCs/>
          <w:color w:val="7A1F2B"/>
          <w:sz w:val="32"/>
          <w:szCs w:val="32"/>
        </w:rPr>
        <w:t xml:space="preserve">PHỤ LỤC CHƯƠNG TRÌNH BÁN HÀNG</w:t>
      </w:r>
    </w:p>
    <w:p>
      <w:pPr>
        <w:spacing w:after="40" w:before="40" w:line="276"/>
        <w:jc w:val="center"/>
      </w:pPr>
      <w:r>
        <w:rPr>
          <w:rFonts w:ascii="Times New Roman" w:cs="Times New Roman" w:eastAsia="Times New Roman" w:hAnsi="Times New Roman"/>
          <w:b/>
          <w:bCs/>
          <w:color w:val="4A4A4A"/>
          <w:sz w:val="22"/>
          <w:szCs w:val="22"/>
        </w:rPr>
        <w:t xml:space="preserve">SALES PROGRAMME ANNEX</w:t>
      </w:r>
    </w:p>
    <w:p>
      <w:pPr>
        <w:spacing w:after="40" w:before="40" w:line="276"/>
        <w:jc w:val="center"/>
      </w:pPr>
      <w:r>
        <w:rPr>
          <w:rFonts w:ascii="Times New Roman" w:cs="Times New Roman" w:eastAsia="Times New Roman" w:hAnsi="Times New Roman"/>
          <w:color w:val="1F1F1F"/>
          <w:sz w:val="20"/>
          <w:szCs w:val="20"/>
        </w:rPr>
        <w:t xml:space="preserve">Số / No.: [Số HĐ]/PL……-CT</w:t>
      </w:r>
    </w:p>
    <w:p>
      <w:pPr>
        <w:spacing w:after="200" w:before="40" w:line="276"/>
        <w:jc w:val="center"/>
      </w:pPr>
      <w:r>
        <w:rPr>
          <w:rFonts w:ascii="Times New Roman" w:cs="Times New Roman" w:eastAsia="Times New Roman" w:hAnsi="Times New Roman"/>
          <w:color w:val="4A4A4A"/>
          <w:sz w:val="19"/>
          <w:szCs w:val="19"/>
        </w:rPr>
        <w:t xml:space="preserve">Kèm theo Hợp đồng mua bán số / </w:t>
      </w:r>
      <w:r>
        <w:rPr>
          <w:rFonts w:ascii="Times New Roman" w:cs="Times New Roman" w:eastAsia="Times New Roman" w:hAnsi="Times New Roman"/>
          <w:i/>
          <w:iCs/>
          <w:color w:val="4A4A4A"/>
          <w:sz w:val="19"/>
          <w:szCs w:val="19"/>
        </w:rPr>
        <w:t xml:space="preserve">Attached to Sale and Purchase Contract No.</w:t>
      </w:r>
      <w:r>
        <w:rPr>
          <w:rFonts w:ascii="Times New Roman" w:cs="Times New Roman" w:eastAsia="Times New Roman" w:hAnsi="Times New Roman"/>
          <w:color w:val="4A4A4A"/>
          <w:sz w:val="19"/>
          <w:szCs w:val="19"/>
        </w:rPr>
        <w:t xml:space="preserve"> TA-……………… ngày / </w:t>
      </w:r>
      <w:r>
        <w:rPr>
          <w:rFonts w:ascii="Times New Roman" w:cs="Times New Roman" w:eastAsia="Times New Roman" w:hAnsi="Times New Roman"/>
          <w:i/>
          <w:iCs/>
          <w:color w:val="4A4A4A"/>
          <w:sz w:val="19"/>
          <w:szCs w:val="19"/>
        </w:rPr>
        <w:t xml:space="preserve">dated</w:t>
      </w:r>
      <w:r>
        <w:rPr>
          <w:rFonts w:ascii="Times New Roman" w:cs="Times New Roman" w:eastAsia="Times New Roman" w:hAnsi="Times New Roman"/>
          <w:color w:val="4A4A4A"/>
          <w:sz w:val="19"/>
          <w:szCs w:val="19"/>
        </w:rPr>
        <w:t xml:space="preserve"> ……/……/20……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Phụ lục này được lập vào ngày …… tháng …… năm 20…… bởi: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This Annex is made on …… by and between:</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6654"/>
      </w:tblGrid>
      <w:tr>
        <w:trPr>
          <w:cantSplit/>
        </w:trPr>
        <w:tc>
          <w:tcPr>
            <w:tcW w:type="dxa" w:w="2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both"/>
            </w:pPr>
            <w:r>
              <w:rPr>
                <w:rFonts w:ascii="Times New Roman" w:cs="Times New Roman" w:eastAsia="Times New Roman" w:hAnsi="Times New Roman"/>
                <w:b/>
                <w:bCs/>
                <w:color w:val="FFFFFF"/>
                <w:sz w:val="22"/>
                <w:szCs w:val="22"/>
              </w:rPr>
              <w:t xml:space="preserve">BÊN A / PARTY A</w:t>
            </w:r>
          </w:p>
        </w:tc>
        <w:tc>
          <w:tcPr>
            <w:tcW w:type="dxa" w:w="6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both"/>
            </w:pPr>
            <w:r>
              <w:rPr>
                <w:rFonts w:ascii="Times New Roman" w:cs="Times New Roman" w:eastAsia="Times New Roman" w:hAnsi="Times New Roman"/>
                <w:b/>
                <w:bCs/>
                <w:color w:val="FFFFFF"/>
                <w:sz w:val="22"/>
                <w:szCs w:val="22"/>
              </w:rPr>
              <w:t xml:space="preserve">CÔNG TY CỔ PHẦN THƯƠNG MẠI THẮNG ÂN · THANG AN COMMERCE JSC</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Địa chỉ / </w:t>
            </w:r>
            <w:r>
              <w:rPr>
                <w:rFonts w:ascii="Times New Roman" w:cs="Times New Roman" w:eastAsia="Times New Roman" w:hAnsi="Times New Roman"/>
                <w:i/>
                <w:iCs/>
                <w:color w:val="1F1F1F"/>
                <w:sz w:val="20"/>
                <w:szCs w:val="20"/>
              </w:rPr>
              <w:t xml:space="preserve">Address</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Số 10, ngõ 52 đường Giang Văn Minh, phường Ba Đình, Thành phố Hà Nội / No. 10, Lane 52 Giang Van Minh Street, Ba Dinh Ward, Hanoi</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Điện thoại / </w:t>
            </w:r>
            <w:r>
              <w:rPr>
                <w:rFonts w:ascii="Times New Roman" w:cs="Times New Roman" w:eastAsia="Times New Roman" w:hAnsi="Times New Roman"/>
                <w:i/>
                <w:iCs/>
                <w:color w:val="1F1F1F"/>
                <w:sz w:val="20"/>
                <w:szCs w:val="20"/>
              </w:rPr>
              <w:t xml:space="preserve">Telephone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098 222 893</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MST / </w:t>
            </w:r>
            <w:r>
              <w:rPr>
                <w:rFonts w:ascii="Times New Roman" w:cs="Times New Roman" w:eastAsia="Times New Roman" w:hAnsi="Times New Roman"/>
                <w:i/>
                <w:iCs/>
                <w:color w:val="1F1F1F"/>
                <w:sz w:val="20"/>
                <w:szCs w:val="20"/>
              </w:rPr>
              <w:t xml:space="preserve">Tax code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0109579480</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Đại diện / </w:t>
            </w:r>
            <w:r>
              <w:rPr>
                <w:rFonts w:ascii="Times New Roman" w:cs="Times New Roman" w:eastAsia="Times New Roman" w:hAnsi="Times New Roman"/>
                <w:i/>
                <w:iCs/>
                <w:color w:val="1F1F1F"/>
                <w:sz w:val="20"/>
                <w:szCs w:val="20"/>
              </w:rPr>
              <w:t xml:space="preserve">Represented by</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Bà / Ms. Phạm Thị Cẩm Ly — Giám đốc / Director</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6654"/>
      </w:tblGrid>
      <w:tr>
        <w:trPr>
          <w:cantSplit/>
        </w:trPr>
        <w:tc>
          <w:tcPr>
            <w:tcW w:type="dxa" w:w="2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both"/>
            </w:pPr>
            <w:r>
              <w:rPr>
                <w:rFonts w:ascii="Times New Roman" w:cs="Times New Roman" w:eastAsia="Times New Roman" w:hAnsi="Times New Roman"/>
                <w:b/>
                <w:bCs/>
                <w:color w:val="FFFFFF"/>
                <w:sz w:val="22"/>
                <w:szCs w:val="22"/>
              </w:rPr>
              <w:t xml:space="preserve">BÊN B / PARTY B</w:t>
            </w:r>
          </w:p>
        </w:tc>
        <w:tc>
          <w:tcPr>
            <w:tcW w:type="dxa" w:w="6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both"/>
            </w:pPr>
            <w:r>
              <w:rPr>
                <w:rFonts w:ascii="Times New Roman" w:cs="Times New Roman" w:eastAsia="Times New Roman" w:hAnsi="Times New Roman"/>
                <w:b/>
                <w:bCs/>
                <w:color w:val="FFFFFF"/>
                <w:sz w:val="22"/>
                <w:szCs w:val="22"/>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Địa chỉ / </w:t>
            </w:r>
            <w:r>
              <w:rPr>
                <w:rFonts w:ascii="Times New Roman" w:cs="Times New Roman" w:eastAsia="Times New Roman" w:hAnsi="Times New Roman"/>
                <w:i/>
                <w:iCs/>
                <w:color w:val="1F1F1F"/>
                <w:sz w:val="20"/>
                <w:szCs w:val="20"/>
              </w:rPr>
              <w:t xml:space="preserve">Address</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MST / </w:t>
            </w:r>
            <w:r>
              <w:rPr>
                <w:rFonts w:ascii="Times New Roman" w:cs="Times New Roman" w:eastAsia="Times New Roman" w:hAnsi="Times New Roman"/>
                <w:i/>
                <w:iCs/>
                <w:color w:val="1F1F1F"/>
                <w:sz w:val="20"/>
                <w:szCs w:val="20"/>
              </w:rPr>
              <w:t xml:space="preserve">Tax code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Đại diện / </w:t>
            </w:r>
            <w:r>
              <w:rPr>
                <w:rFonts w:ascii="Times New Roman" w:cs="Times New Roman" w:eastAsia="Times New Roman" w:hAnsi="Times New Roman"/>
                <w:i/>
                <w:iCs/>
                <w:color w:val="1F1F1F"/>
                <w:sz w:val="20"/>
                <w:szCs w:val="20"/>
              </w:rPr>
              <w:t xml:space="preserve">Represented by</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Chức vụ / </w:t>
            </w:r>
            <w:r>
              <w:rPr>
                <w:rFonts w:ascii="Times New Roman" w:cs="Times New Roman" w:eastAsia="Times New Roman" w:hAnsi="Times New Roman"/>
                <w:i/>
                <w:iCs/>
                <w:color w:val="1F1F1F"/>
                <w:sz w:val="21"/>
                <w:szCs w:val="21"/>
              </w:rPr>
              <w:t xml:space="preserve">Title</w:t>
            </w:r>
            <w:r>
              <w:rPr>
                <w:rFonts w:ascii="Times New Roman" w:cs="Times New Roman" w:eastAsia="Times New Roman" w:hAnsi="Times New Roman"/>
                <w:color w:val="1F1F1F"/>
                <w:sz w:val="21"/>
                <w:szCs w:val="21"/>
              </w:rPr>
              <w:t xml:space="preserve">: ……………</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120" w:line="276"/>
              <w:jc w:val="both"/>
            </w:pPr>
            <w:r>
              <w:rPr>
                <w:rFonts w:ascii="Times New Roman" w:cs="Times New Roman" w:eastAsia="Times New Roman" w:hAnsi="Times New Roman"/>
                <w:color w:val="1F1F1F"/>
                <w:sz w:val="22"/>
                <w:szCs w:val="22"/>
              </w:rPr>
              <w:t xml:space="preserve">Căn cứ Hợp đồng mua bán nêu trên (“Hợp đồng”), Các Bên thống nhất áp dụng chương trình bán hàng với các điều khoản sau. Các thuật ngữ viết hoa có nghĩa như trong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120" w:line="276"/>
              <w:jc w:val="both"/>
            </w:pPr>
            <w:r>
              <w:rPr>
                <w:rFonts w:ascii="Times New Roman" w:cs="Times New Roman" w:eastAsia="Times New Roman" w:hAnsi="Times New Roman"/>
                <w:color w:val="3A3A3A"/>
                <w:sz w:val="22"/>
                <w:szCs w:val="22"/>
              </w:rPr>
              <w:t xml:space="preserve">Under the above Sale and Purchase Contract (the “Contract”), the Parties agree to the following sales programme. Capitalised terms have the meaning given in the Contract.</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 CHƯƠNG TRÌNH VÀ THỜI HẠN</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 PROGRAMME AND TERM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w:t>
            </w:r>
            <w:r>
              <w:rPr>
                <w:rFonts w:ascii="Times New Roman" w:cs="Times New Roman" w:eastAsia="Times New Roman" w:hAnsi="Times New Roman"/>
                <w:color w:val="1F1F1F"/>
                <w:sz w:val="22"/>
                <w:szCs w:val="22"/>
              </w:rPr>
              <w:t xml:space="preserve"> Chương trình áp dụng: ☐ Vang tháng (Wine of the Month)   ☐ Vang ly (By the glass)   ☐ Niêm yết trên wine list   ☐ Trưng bày, quảng bá tại điểm bán.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Programme: ☐ Wine of the Month   ☐ By the glass   ☐ Wine-list listing   ☐ In-outlet display and promotion.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b/>
                <w:bCs/>
                <w:color w:val="1F1F1F"/>
                <w:sz w:val="22"/>
                <w:szCs w:val="22"/>
              </w:rPr>
              <w:t xml:space="preserve">1.2</w:t>
            </w:r>
            <w:r>
              <w:rPr>
                <w:rFonts w:ascii="Times New Roman" w:cs="Times New Roman" w:eastAsia="Times New Roman" w:hAnsi="Times New Roman"/>
                <w:color w:val="1F1F1F"/>
                <w:sz w:val="22"/>
                <w:szCs w:val="22"/>
              </w:rPr>
              <w:t xml:space="preserve"> Thời hạn: từ ngày ……/……/20…… đến ngày ……/……/20…… (tối đa 03 tháng). Chương trình chỉ được gia hạn hoặc thay đổi bằng phụ lục mới do Bên A ký; hết thời hạn mà không có phụ lục mới, giá và điều kiện trở về theo Phụ lục 01 của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Term: from …… to …… (maximum 3 months). The programme is extended or changed only by a new annex signed by Party A; on expiry without a new annex, prices and terms revert to Annex 01 of the Contract.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b/>
                <w:bCs/>
                <w:color w:val="1F1F1F"/>
                <w:sz w:val="22"/>
                <w:szCs w:val="22"/>
              </w:rPr>
              <w:t xml:space="preserve">1.3</w:t>
            </w:r>
            <w:r>
              <w:rPr>
                <w:rFonts w:ascii="Times New Roman" w:cs="Times New Roman" w:eastAsia="Times New Roman" w:hAnsi="Times New Roman"/>
                <w:color w:val="1F1F1F"/>
                <w:sz w:val="22"/>
                <w:szCs w:val="22"/>
              </w:rPr>
              <w:t xml:space="preserve"> Điểm bán áp dụng: ……………………………………………………………… (sau đây gọi là “Điểm bán”).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Participating outlets: ……………………………… (the “Outlets”).</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2. SẢN PHẨM, GIÁ CHƯƠNG TRÌNH VÀ CAM KẾT SẢN LƯỢNG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2. PRODUCTS, PROGRAMME PRICES AND VOLUME COMMITMENT</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3154"/>
        <w:gridCol w:w="1400"/>
        <w:gridCol w:w="1600"/>
        <w:gridCol w:w="1300"/>
        <w:gridCol w:w="1300"/>
      </w:tblGrid>
      <w:tr>
        <w:trPr>
          <w:cantSplit/>
          <w:tblHeader/>
        </w:trPr>
        <w:tc>
          <w:tcPr>
            <w:tcW w:type="dxa" w:w="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center"/>
            </w:pPr>
            <w:r>
              <w:rPr>
                <w:rFonts w:ascii="Times New Roman" w:cs="Times New Roman" w:eastAsia="Times New Roman" w:hAnsi="Times New Roman"/>
                <w:b/>
                <w:bCs/>
                <w:color w:val="FFFFFF"/>
                <w:sz w:val="17"/>
                <w:szCs w:val="17"/>
              </w:rPr>
              <w:t xml:space="preserve">STT</w:t>
            </w:r>
          </w:p>
          <w:p>
            <w:pPr>
              <w:spacing w:after="40" w:before="40" w:line="276"/>
              <w:jc w:val="center"/>
            </w:pPr>
            <w:r>
              <w:rPr>
                <w:rFonts w:ascii="Times New Roman" w:cs="Times New Roman" w:eastAsia="Times New Roman" w:hAnsi="Times New Roman"/>
                <w:i/>
                <w:iCs/>
                <w:color w:val="F3E3D3"/>
                <w:sz w:val="15"/>
                <w:szCs w:val="15"/>
              </w:rPr>
              <w:t xml:space="preserve">No.</w:t>
            </w:r>
          </w:p>
        </w:tc>
        <w:tc>
          <w:tcPr>
            <w:tcW w:type="dxa" w:w="31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center"/>
            </w:pPr>
            <w:r>
              <w:rPr>
                <w:rFonts w:ascii="Times New Roman" w:cs="Times New Roman" w:eastAsia="Times New Roman" w:hAnsi="Times New Roman"/>
                <w:b/>
                <w:bCs/>
                <w:color w:val="FFFFFF"/>
                <w:sz w:val="17"/>
                <w:szCs w:val="17"/>
              </w:rPr>
              <w:t xml:space="preserve">Mã SKU – Tên rượu – vintage</w:t>
            </w:r>
          </w:p>
          <w:p>
            <w:pPr>
              <w:spacing w:after="40" w:before="40" w:line="276"/>
              <w:jc w:val="center"/>
            </w:pPr>
            <w:r>
              <w:rPr>
                <w:rFonts w:ascii="Times New Roman" w:cs="Times New Roman" w:eastAsia="Times New Roman" w:hAnsi="Times New Roman"/>
                <w:i/>
                <w:iCs/>
                <w:color w:val="F3E3D3"/>
                <w:sz w:val="15"/>
                <w:szCs w:val="15"/>
              </w:rPr>
              <w:t xml:space="preserve">SKU – wine – vintage</w:t>
            </w:r>
          </w:p>
        </w:tc>
        <w:tc>
          <w:tcPr>
            <w:tcW w:type="dxa" w:w="14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center"/>
            </w:pPr>
            <w:r>
              <w:rPr>
                <w:rFonts w:ascii="Times New Roman" w:cs="Times New Roman" w:eastAsia="Times New Roman" w:hAnsi="Times New Roman"/>
                <w:b/>
                <w:bCs/>
                <w:color w:val="FFFFFF"/>
                <w:sz w:val="17"/>
                <w:szCs w:val="17"/>
              </w:rPr>
              <w:t xml:space="preserve">Giá theo Phụ lục 01 (chưa VAT)</w:t>
            </w:r>
          </w:p>
          <w:p>
            <w:pPr>
              <w:spacing w:after="40" w:before="40" w:line="276"/>
              <w:jc w:val="center"/>
            </w:pPr>
            <w:r>
              <w:rPr>
                <w:rFonts w:ascii="Times New Roman" w:cs="Times New Roman" w:eastAsia="Times New Roman" w:hAnsi="Times New Roman"/>
                <w:i/>
                <w:iCs/>
                <w:color w:val="F3E3D3"/>
                <w:sz w:val="15"/>
                <w:szCs w:val="15"/>
              </w:rPr>
              <w:t xml:space="preserve">Annex 01 price</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center"/>
            </w:pPr>
            <w:r>
              <w:rPr>
                <w:rFonts w:ascii="Times New Roman" w:cs="Times New Roman" w:eastAsia="Times New Roman" w:hAnsi="Times New Roman"/>
                <w:b/>
                <w:bCs/>
                <w:color w:val="FFFFFF"/>
                <w:sz w:val="17"/>
                <w:szCs w:val="17"/>
              </w:rPr>
              <w:t xml:space="preserve">Giá chương trình (chưa VAT)</w:t>
            </w:r>
          </w:p>
          <w:p>
            <w:pPr>
              <w:spacing w:after="40" w:before="40" w:line="276"/>
              <w:jc w:val="center"/>
            </w:pPr>
            <w:r>
              <w:rPr>
                <w:rFonts w:ascii="Times New Roman" w:cs="Times New Roman" w:eastAsia="Times New Roman" w:hAnsi="Times New Roman"/>
                <w:i/>
                <w:iCs/>
                <w:color w:val="F3E3D3"/>
                <w:sz w:val="15"/>
                <w:szCs w:val="15"/>
              </w:rPr>
              <w:t xml:space="preserve">Programme price</w:t>
            </w:r>
          </w:p>
        </w:tc>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center"/>
            </w:pPr>
            <w:r>
              <w:rPr>
                <w:rFonts w:ascii="Times New Roman" w:cs="Times New Roman" w:eastAsia="Times New Roman" w:hAnsi="Times New Roman"/>
                <w:b/>
                <w:bCs/>
                <w:color w:val="FFFFFF"/>
                <w:sz w:val="17"/>
                <w:szCs w:val="17"/>
              </w:rPr>
              <w:t xml:space="preserve">Cam kết SL / tháng</w:t>
            </w:r>
          </w:p>
          <w:p>
            <w:pPr>
              <w:spacing w:after="40" w:before="40" w:line="276"/>
              <w:jc w:val="center"/>
            </w:pPr>
            <w:r>
              <w:rPr>
                <w:rFonts w:ascii="Times New Roman" w:cs="Times New Roman" w:eastAsia="Times New Roman" w:hAnsi="Times New Roman"/>
                <w:i/>
                <w:iCs/>
                <w:color w:val="F3E3D3"/>
                <w:sz w:val="15"/>
                <w:szCs w:val="15"/>
              </w:rPr>
              <w:t xml:space="preserve">Min. qty / month</w:t>
            </w:r>
          </w:p>
        </w:tc>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center"/>
            </w:pPr>
            <w:r>
              <w:rPr>
                <w:rFonts w:ascii="Times New Roman" w:cs="Times New Roman" w:eastAsia="Times New Roman" w:hAnsi="Times New Roman"/>
                <w:b/>
                <w:bCs/>
                <w:color w:val="FFFFFF"/>
                <w:sz w:val="17"/>
                <w:szCs w:val="17"/>
              </w:rPr>
              <w:t xml:space="preserve">Hình thức</w:t>
            </w:r>
          </w:p>
          <w:p>
            <w:pPr>
              <w:spacing w:after="40" w:before="40" w:line="276"/>
              <w:jc w:val="center"/>
            </w:pPr>
            <w:r>
              <w:rPr>
                <w:rFonts w:ascii="Times New Roman" w:cs="Times New Roman" w:eastAsia="Times New Roman" w:hAnsi="Times New Roman"/>
                <w:i/>
                <w:iCs/>
                <w:color w:val="F3E3D3"/>
                <w:sz w:val="15"/>
                <w:szCs w:val="15"/>
              </w:rPr>
              <w:t xml:space="preserve">Format</w:t>
            </w:r>
          </w:p>
        </w:tc>
      </w:tr>
      <w:tr>
        <w:trPr>
          <w:cantSplit/>
          <w:trHeight w:val="34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8"/>
                <w:szCs w:val="18"/>
              </w:rPr>
              <w:t xml:space="preserve">1</w:t>
            </w:r>
          </w:p>
        </w:tc>
        <w:tc>
          <w:tcPr>
            <w:tcW w:type="dxa" w:w="3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40" w:hRule="atLeast"/>
        </w:trPr>
        <w:tc>
          <w:tcPr>
            <w:tcW w:type="dxa" w:w="600"/>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8"/>
                <w:szCs w:val="18"/>
              </w:rPr>
              <w:t xml:space="preserve">2</w:t>
            </w:r>
          </w:p>
        </w:tc>
        <w:tc>
          <w:tcPr>
            <w:tcW w:type="dxa" w:w="3154"/>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left"/>
            </w:pPr>
          </w:p>
        </w:tc>
        <w:tc>
          <w:tcPr>
            <w:tcW w:type="dxa" w:w="1400"/>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center"/>
            </w:pPr>
          </w:p>
        </w:tc>
        <w:tc>
          <w:tcPr>
            <w:tcW w:type="dxa" w:w="1300"/>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center"/>
            </w:pPr>
          </w:p>
        </w:tc>
        <w:tc>
          <w:tcPr>
            <w:tcW w:type="dxa" w:w="1300"/>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center"/>
            </w:pPr>
          </w:p>
        </w:tc>
      </w:tr>
      <w:tr>
        <w:trPr>
          <w:cantSplit/>
          <w:trHeight w:val="34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8"/>
                <w:szCs w:val="18"/>
              </w:rPr>
              <w:t xml:space="preserve">3</w:t>
            </w:r>
          </w:p>
        </w:tc>
        <w:tc>
          <w:tcPr>
            <w:tcW w:type="dxa" w:w="3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r>
        <w:trPr>
          <w:cantSplit/>
          <w:trHeight w:val="340" w:hRule="atLeast"/>
        </w:trPr>
        <w:tc>
          <w:tcPr>
            <w:tcW w:type="dxa" w:w="600"/>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8"/>
                <w:szCs w:val="18"/>
              </w:rPr>
              <w:t xml:space="preserve">4</w:t>
            </w:r>
          </w:p>
        </w:tc>
        <w:tc>
          <w:tcPr>
            <w:tcW w:type="dxa" w:w="3154"/>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left"/>
            </w:pPr>
          </w:p>
        </w:tc>
        <w:tc>
          <w:tcPr>
            <w:tcW w:type="dxa" w:w="1400"/>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center"/>
            </w:pPr>
          </w:p>
        </w:tc>
        <w:tc>
          <w:tcPr>
            <w:tcW w:type="dxa" w:w="1300"/>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center"/>
            </w:pPr>
          </w:p>
        </w:tc>
        <w:tc>
          <w:tcPr>
            <w:tcW w:type="dxa" w:w="1300"/>
            <w:tcBorders>
              <w:top w:val="single" w:color="D9CBC0" w:sz="4"/>
              <w:left w:val="single" w:color="D9CBC0" w:sz="4"/>
              <w:bottom w:val="single" w:color="D9CBC0" w:sz="4"/>
              <w:right w:val="single" w:color="D9CBC0" w:sz="4"/>
            </w:tcBorders>
            <w:shd w:fill="FBF7F3" w:color="auto" w:val="clear"/>
            <w:tcMar>
              <w:top w:type="dxa" w:w="70"/>
              <w:left w:type="dxa" w:w="110"/>
              <w:bottom w:type="dxa" w:w="70"/>
              <w:right w:type="dxa" w:w="110"/>
            </w:tcMar>
            <w:vAlign w:val="center"/>
          </w:tcPr>
          <w:p>
            <w:pPr>
              <w:spacing w:after="20" w:before="20" w:line="260"/>
              <w:jc w:val="center"/>
            </w:pPr>
          </w:p>
        </w:tc>
      </w:tr>
      <w:tr>
        <w:trPr>
          <w:cantSplit/>
          <w:trHeight w:val="34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8"/>
                <w:szCs w:val="18"/>
              </w:rPr>
              <w:t xml:space="preserve">5</w:t>
            </w:r>
          </w:p>
        </w:tc>
        <w:tc>
          <w:tcPr>
            <w:tcW w:type="dxa" w:w="3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14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2.1</w:t>
            </w:r>
            <w:r>
              <w:rPr>
                <w:rFonts w:ascii="Times New Roman" w:cs="Times New Roman" w:eastAsia="Times New Roman" w:hAnsi="Times New Roman"/>
                <w:color w:val="1F1F1F"/>
                <w:sz w:val="22"/>
                <w:szCs w:val="22"/>
              </w:rPr>
              <w:t xml:space="preserve"> Giá chương trình chỉ áp dụng cho Hàng hóa giao trong thời hạn tại Điều 1.2, tới các Điểm bán tại Điều 1.3 và trong phạm vi sản lượng cam kết; phần vượt hoặc ngoài chương trình áp dụng giá Phụ lục 01. Mọi giá trong Phụ lục này chưa gồm thuế GTGT.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Programme prices apply only to Goods delivered within the term in Article 1.2, to the Outlets in Article 1.3 and within the committed volume; any excess or non-programme purchase is at Annex 01 prices. All prices in this annex exclude VAT.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2.2</w:t>
            </w:r>
            <w:r>
              <w:rPr>
                <w:rFonts w:ascii="Times New Roman" w:cs="Times New Roman" w:eastAsia="Times New Roman" w:hAnsi="Times New Roman"/>
                <w:color w:val="1F1F1F"/>
                <w:sz w:val="22"/>
                <w:szCs w:val="22"/>
              </w:rPr>
              <w:t xml:space="preserve"> Việc thay đổi rượu vang tháng, vang ly chỉ có hiệu lực khi Bên A xác nhận bằng email hoặc văn bản; email xác nhận là căn cứ giá và thanh toán.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Any change of Wine of the Month or by-the-glass wine takes effect only on Party A’s email or written confirmation, which is the basis for price and payment.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2.3</w:t>
            </w:r>
            <w:r>
              <w:rPr>
                <w:rFonts w:ascii="Times New Roman" w:cs="Times New Roman" w:eastAsia="Times New Roman" w:hAnsi="Times New Roman"/>
                <w:color w:val="1F1F1F"/>
                <w:sz w:val="22"/>
                <w:szCs w:val="22"/>
              </w:rPr>
              <w:t xml:space="preserve"> Nếu sản lượng thực tế cả kỳ đạt dưới 50% tổng cam kết do nguyên nhân từ phía Bên B, Bên A có quyền thu phần chênh lệch giữa giá Phụ lục 01 và giá chương trình đối với số lượng đã mua trong kỳ, bằng hoá đơn lập theo quy định pháp luật về hoá đơn; Bên B thanh toán theo thời hạn của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actual volume over the term is below 50% of the total commitment for reasons attributable to Party B, Party A may charge the difference between Annex 01 and programme prices for the quantity bought in the term, invoiced in accordance with invoicing law; Party B pays within the Contract terms.</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3. CAM KẾT CỦA BÊN B</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3. PARTY B’S COMMITMENTS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a)</w:t>
            </w:r>
            <w:r>
              <w:rPr>
                <w:rFonts w:ascii="Times New Roman" w:cs="Times New Roman" w:eastAsia="Times New Roman" w:hAnsi="Times New Roman"/>
                <w:color w:val="1F1F1F"/>
                <w:sz w:val="22"/>
                <w:szCs w:val="22"/>
              </w:rPr>
              <w:t xml:space="preserve"> Niêm yết sản phẩm chương trình trên thực đơn / wine list tại tất cả Điểm bán trong suốt thời hạn, ở vị trí và hình thức đã thống nhất; vang ly luôn sẵn sàng phục vụ.</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List the programme wines on the menu / wine list at all Outlets throughout the term, in the agreed position and format; by-the-glass wines shall always be available.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b)</w:t>
            </w:r>
            <w:r>
              <w:rPr>
                <w:rFonts w:ascii="Times New Roman" w:cs="Times New Roman" w:eastAsia="Times New Roman" w:hAnsi="Times New Roman"/>
                <w:color w:val="1F1F1F"/>
                <w:sz w:val="22"/>
                <w:szCs w:val="22"/>
              </w:rPr>
              <w:t xml:space="preserve"> Ưu tiên giới thiệu sản phẩm chương trình cho khách; trưng bày vật phẩm (POSM) do Bên A cung cấp đúng vị trí; không thay thế bằng sản phẩm cạnh tranh cùng phân khúc trong thời hạn chương trình.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Recommend programme wines first; display Party A’s POSM in the agreed places; not replace them with competing wines of the same segment during the term.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c)</w:t>
            </w:r>
            <w:r>
              <w:rPr>
                <w:rFonts w:ascii="Times New Roman" w:cs="Times New Roman" w:eastAsia="Times New Roman" w:hAnsi="Times New Roman"/>
                <w:color w:val="1F1F1F"/>
                <w:sz w:val="22"/>
                <w:szCs w:val="22"/>
              </w:rPr>
              <w:t xml:space="preserve"> Gửi báo cáo bán ra (số chai, số ly) theo từng Điểm bán trước ngày 05 hằng tháng, kèm ảnh thực đơn và trưng bày; cho phép nhân viên Bên A kiểm tra tại Điểm bán khi báo trước.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Send a sell-out report (bottles, glasses) per Outlet by the 5th of each month with photos of the menu and display; allow Party A’s staff to check the Outlets on notice.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d)</w:t>
            </w:r>
            <w:r>
              <w:rPr>
                <w:rFonts w:ascii="Times New Roman" w:cs="Times New Roman" w:eastAsia="Times New Roman" w:hAnsi="Times New Roman"/>
                <w:color w:val="1F1F1F"/>
                <w:sz w:val="22"/>
                <w:szCs w:val="22"/>
              </w:rPr>
              <w:t xml:space="preserve"> Bảo quản rượu đã mở theo tiêu chuẩn phục vụ vang ly; Bên A không chịu trách nhiệm đối với rượu đã mở hoặc hư hỏng do bảo quản tại Điểm bán.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Keep opened bottles to by-the-glass standards; Party A is not responsible for opened wine or damage caused by storage at the Outlets.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e)</w:t>
            </w:r>
            <w:r>
              <w:rPr>
                <w:rFonts w:ascii="Times New Roman" w:cs="Times New Roman" w:eastAsia="Times New Roman" w:hAnsi="Times New Roman"/>
                <w:color w:val="1F1F1F"/>
                <w:sz w:val="22"/>
                <w:szCs w:val="22"/>
              </w:rPr>
              <w:t xml:space="preserve"> Mọi hoạt động trưng bày, giới thiệu sản phẩm tại Điểm bán tuân thủ Luật Phòng, chống tác hại của rượu, bia 2019 và Luật Quảng cáo; không quảng cáo, khuyến mại sản phẩm có độ cồn từ 15 độ trở lên. Bên B chịu trách nhiệm đối với nội dung do Bên B tự thực hiện mà chưa được Bên A duyệt.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All in-outlet display and promotion comply with the 2019 Law on Prevention and Control of Harmful Effects of Alcohol and the Advertising Law; no advertising or promotion of products of 15% ABV or more. Party B is solely responsible for any material it produces without Party A’s approval.</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4. HỖ TRỢ BÁN HÀNG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4. SALES SUPPORT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b/>
                <w:bCs/>
                <w:color w:val="1F1F1F"/>
                <w:sz w:val="22"/>
                <w:szCs w:val="22"/>
              </w:rPr>
              <w:t xml:space="preserve">4.1</w:t>
            </w:r>
            <w:r>
              <w:rPr>
                <w:rFonts w:ascii="Times New Roman" w:cs="Times New Roman" w:eastAsia="Times New Roman" w:hAnsi="Times New Roman"/>
                <w:color w:val="1F1F1F"/>
                <w:sz w:val="22"/>
                <w:szCs w:val="22"/>
              </w:rPr>
              <w:t xml:space="preserve"> Hình thức hỗ trợ: ☐ Chiết khấu trừ trên hoá đơn: …… % / …………… đồng mỗi chai   ☐ Phí dịch vụ trưng bày: …………… đồng/tháng, theo hoá đơn hợp lệ do Bên B lập   ☐ POSM, ly, dụng cụ phục vụ (là tài sản của Bên A, cho mượn theo biên bản).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Support: ☐ Invoice discount: …… % / VND …… per bottle   ☐ Display-service fee: VND …… per month against a valid invoice issued by Party B   ☐ POSM, glassware, service tools (Party A’s property, lent on record).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4.2</w:t>
            </w:r>
            <w:r>
              <w:rPr>
                <w:rFonts w:ascii="Times New Roman" w:cs="Times New Roman" w:eastAsia="Times New Roman" w:hAnsi="Times New Roman"/>
                <w:color w:val="1F1F1F"/>
                <w:sz w:val="22"/>
                <w:szCs w:val="22"/>
              </w:rPr>
              <w:t xml:space="preserve"> Hỗ trợ chỉ chi cho pháp nhân Bên B bằng chiết khấu trên hoá đơn hoặc chuyển khoản theo hoá đơn của Bên B; không chi tiền mặt, không chi trực tiếp cho nhân viên của Bên B.</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Support is paid only to Party B as an entity, by invoice discount or by transfer against Party B’s invoice; not in cash or to Party B’s staff.</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4.3</w:t>
            </w:r>
            <w:r>
              <w:rPr>
                <w:rFonts w:ascii="Times New Roman" w:cs="Times New Roman" w:eastAsia="Times New Roman" w:hAnsi="Times New Roman"/>
                <w:color w:val="1F1F1F"/>
                <w:sz w:val="22"/>
                <w:szCs w:val="22"/>
              </w:rPr>
              <w:t xml:space="preserve"> Hỗ trợ được quyết toán hằng quý trong vòng 15 ngày kể từ ngày Bên A nhận đủ hồ sơ đề nghị quyết toán hợp lệ của Bên B, với điều kiện: (i) Bên B đã thanh toán đủ tiền hàng đến hạn; (ii) đạt tối thiểu 80% sản lượng cam kết; (iii) có báo cáo bán ra và ảnh theo Điều 3(c). Đạt từ 50% đến dưới 80%: hỗ trợ tính theo tỷ lệ sản lượng thực tế; dưới 50%: không được hỗ trợ của kỳ đó.</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Support is settled quarterly within 15 days of Party A receiving Party B’s complete and valid settlement request, provided that: (i) Party B has paid all amounts due; (ii) at least 80% of the committed volume is achieved; (iii) sell-out reports and photos under Article 3(c) are provided. 50% to below 80%: support pro rata to actual volume; below 50%: no support for that period.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4.4</w:t>
            </w:r>
            <w:r>
              <w:rPr>
                <w:rFonts w:ascii="Times New Roman" w:cs="Times New Roman" w:eastAsia="Times New Roman" w:hAnsi="Times New Roman"/>
                <w:color w:val="1F1F1F"/>
                <w:sz w:val="22"/>
                <w:szCs w:val="22"/>
              </w:rPr>
              <w:t xml:space="preserve"> Bên A có quyền cấn trừ khoản hỗ trợ vào công nợ của Bên B. Khoản hỗ trợ không được Bên B đề nghị quyết toán trong vòng 30 ngày kể từ khi kết thúc quý thì hết hiệu lực.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may offset support against Party B’s balance. Support not claimed within 30 days after quarter-end lapses.</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5. TẠM DỪNG VÀ CHẤM DỨT CHƯƠNG TRÌNH</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5. SUSPENSION AND TERMINATION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5.1</w:t>
            </w:r>
            <w:r>
              <w:rPr>
                <w:rFonts w:ascii="Times New Roman" w:cs="Times New Roman" w:eastAsia="Times New Roman" w:hAnsi="Times New Roman"/>
                <w:color w:val="1F1F1F"/>
                <w:sz w:val="22"/>
                <w:szCs w:val="22"/>
              </w:rPr>
              <w:t xml:space="preserve"> Bên A có quyền tạm dừng hoặc chấm dứt chương trình bằng thông báo trước 07 (bảy) ngày khi: Bên B không thực hiện cam kết tại Điều 3; Bên B chậm thanh toán theo Hợp đồng; hoặc nguồn hàng của nhà cung cấp thay đổi.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may suspend or end the programme on 7 days’ notice if Party B fails its commitments under Article 3, pays late under the Contract, or the supplier’s stock changes.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5.2</w:t>
            </w:r>
            <w:r>
              <w:rPr>
                <w:rFonts w:ascii="Times New Roman" w:cs="Times New Roman" w:eastAsia="Times New Roman" w:hAnsi="Times New Roman"/>
                <w:color w:val="1F1F1F"/>
                <w:sz w:val="22"/>
                <w:szCs w:val="22"/>
              </w:rPr>
              <w:t xml:space="preserve"> Khi chương trình chấm dứt do lỗi của Bên B, các khoản hỗ trợ chưa quyết toán bị huỷ, giá trở về Phụ lục 01 và Bên A được áp dụng Điều 2.3; Bên B hoàn trả POSM, ly, dụng cụ trong vòng 05 ngày làm việc ở tình trạng như khi nhận.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the programme ends through Party B’s fault, unsettled support is cancelled, prices revert to Annex 01 and Article 2.3 applies; Party B returns POSM, glassware and tools within 5 working days in their original condition.</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6. ĐIỀU KHOẢN CHUNG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6. GENERAL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6.1</w:t>
            </w:r>
            <w:r>
              <w:rPr>
                <w:rFonts w:ascii="Times New Roman" w:cs="Times New Roman" w:eastAsia="Times New Roman" w:hAnsi="Times New Roman"/>
                <w:color w:val="1F1F1F"/>
                <w:sz w:val="22"/>
                <w:szCs w:val="22"/>
              </w:rPr>
              <w:t xml:space="preserve"> Giá chương trình và mức hỗ trợ là Thông tin mật theo Điều 8 của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Programme prices and support levels are Confidential Information under Article 8 of the Contract.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6.2</w:t>
            </w:r>
            <w:r>
              <w:rPr>
                <w:rFonts w:ascii="Times New Roman" w:cs="Times New Roman" w:eastAsia="Times New Roman" w:hAnsi="Times New Roman"/>
                <w:color w:val="1F1F1F"/>
                <w:sz w:val="22"/>
                <w:szCs w:val="22"/>
              </w:rPr>
              <w:t xml:space="preserve"> Phụ lục này là bộ phận không tách rời của Hợp đồng; những nội dung không quy định tại đây thực hiện theo Hợp đồng. Phụ lục lập thành 04 (bốn) bản song ngữ, mỗi Bên giữ 02 (hai) bản; bản tiếng Việt được ưu tiên áp dụng.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Annex forms an integral part of the Contract; matters not covered here follow the Contract. Made in 4 bilingual originals, 2 for each Party; the Vietnamese version prevails.</w:t>
            </w:r>
          </w:p>
        </w:tc>
      </w:tr>
    </w:tbl>
    <w:p>
      <w:pPr>
        <w:spacing w:after="40" w:before="20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A</w:t>
            </w:r>
          </w:p>
          <w:p>
            <w:pPr>
              <w:spacing w:after="40" w:before="40" w:line="276"/>
              <w:jc w:val="center"/>
            </w:pPr>
            <w:r>
              <w:rPr>
                <w:rFonts w:ascii="Times New Roman" w:cs="Times New Roman" w:eastAsia="Times New Roman" w:hAnsi="Times New Roman"/>
                <w:i/>
                <w:iCs/>
                <w:color w:val="4A4A4A"/>
                <w:sz w:val="18"/>
                <w:szCs w:val="18"/>
              </w:rPr>
              <w:t xml:space="preserve">FOR AND ON BEHALF OF PARTY A</w:t>
            </w:r>
          </w:p>
          <w:p>
            <w:pPr>
              <w:spacing w:after="40" w:before="40" w:line="276"/>
              <w:jc w:val="center"/>
            </w:pPr>
            <w:r>
              <w:rPr>
                <w:rFonts w:ascii="Times New Roman" w:cs="Times New Roman" w:eastAsia="Times New Roman" w:hAnsi="Times New Roman"/>
                <w:color w:val="4A4A4A"/>
                <w:sz w:val="17"/>
                <w:szCs w:val="17"/>
              </w:rPr>
              <w:t xml:space="preserve">(Ký, ghi rõ họ tên, đóng dấu / </w:t>
            </w:r>
            <w:r>
              <w:rPr>
                <w:rFonts w:ascii="Times New Roman" w:cs="Times New Roman" w:eastAsia="Times New Roman" w:hAnsi="Times New Roman"/>
                <w:i/>
                <w:iCs/>
                <w:color w:val="4A4A4A"/>
                <w:sz w:val="17"/>
                <w:szCs w:val="17"/>
              </w:rPr>
              <w:t xml:space="preserve">Signature, full name and seal</w:t>
            </w:r>
            <w:r>
              <w:rPr>
                <w:rFonts w:ascii="Times New Roman" w:cs="Times New Roman" w:eastAsia="Times New Roman" w:hAnsi="Times New Roman"/>
                <w:color w:val="4A4A4A"/>
                <w:sz w:val="17"/>
                <w:szCs w:val="17"/>
              </w:rPr>
              <w:t xml:space="preserve">)</w:t>
            </w:r>
          </w:p>
          <w:p>
            <w:pPr>
              <w:spacing w:after="40" w:before="1000" w:line="276"/>
              <w:jc w:val="both"/>
            </w:pPr>
          </w:p>
          <w:p>
            <w:pPr>
              <w:spacing w:after="40" w:before="40" w:line="276"/>
              <w:jc w:val="center"/>
            </w:pPr>
            <w:r>
              <w:rPr>
                <w:rFonts w:ascii="Times New Roman" w:cs="Times New Roman" w:eastAsia="Times New Roman" w:hAnsi="Times New Roman"/>
                <w:b/>
                <w:bCs/>
                <w:color w:val="1F1F1F"/>
                <w:sz w:val="22"/>
                <w:szCs w:val="22"/>
              </w:rPr>
              <w:t xml:space="preserve">PHẠM THỊ CẨM LY</w:t>
            </w:r>
          </w:p>
          <w:p>
            <w:pPr>
              <w:spacing w:after="40" w:before="40" w:line="276"/>
              <w:jc w:val="center"/>
            </w:pPr>
            <w:r>
              <w:rPr>
                <w:rFonts w:ascii="Times New Roman" w:cs="Times New Roman" w:eastAsia="Times New Roman" w:hAnsi="Times New Roman"/>
                <w:color w:val="4A4A4A"/>
                <w:sz w:val="19"/>
                <w:szCs w:val="19"/>
              </w:rPr>
              <w:t xml:space="preserve">Giám đốc / Director</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B</w:t>
            </w:r>
          </w:p>
          <w:p>
            <w:pPr>
              <w:spacing w:after="40" w:before="40" w:line="276"/>
              <w:jc w:val="center"/>
            </w:pPr>
            <w:r>
              <w:rPr>
                <w:rFonts w:ascii="Times New Roman" w:cs="Times New Roman" w:eastAsia="Times New Roman" w:hAnsi="Times New Roman"/>
                <w:i/>
                <w:iCs/>
                <w:color w:val="4A4A4A"/>
                <w:sz w:val="18"/>
                <w:szCs w:val="18"/>
              </w:rPr>
              <w:t xml:space="preserve">FOR AND ON BEHALF OF PARTY B</w:t>
            </w:r>
          </w:p>
          <w:p>
            <w:pPr>
              <w:spacing w:after="40" w:before="40" w:line="276"/>
              <w:jc w:val="center"/>
            </w:pPr>
            <w:r>
              <w:rPr>
                <w:rFonts w:ascii="Times New Roman" w:cs="Times New Roman" w:eastAsia="Times New Roman" w:hAnsi="Times New Roman"/>
                <w:color w:val="4A4A4A"/>
                <w:sz w:val="17"/>
                <w:szCs w:val="17"/>
              </w:rPr>
              <w:t xml:space="preserve">(Ký, ghi rõ họ tên, đóng dấu; hộ kinh doanh: chủ hộ ký, ghi rõ họ tên / Signature, full name and seal; household business: owner signs with full name)</w:t>
            </w:r>
          </w:p>
          <w:p>
            <w:pPr>
              <w:spacing w:after="40" w:before="1000" w:line="276"/>
              <w:jc w:val="both"/>
            </w:pPr>
          </w:p>
          <w:p>
            <w:pPr>
              <w:spacing w:after="40" w:before="40" w:line="276"/>
              <w:jc w:val="center"/>
            </w:pPr>
            <w:r>
              <w:rPr>
                <w:rFonts w:ascii="Times New Roman" w:cs="Times New Roman" w:eastAsia="Times New Roman" w:hAnsi="Times New Roman"/>
                <w:color w:val="1F1F1F"/>
                <w:sz w:val="22"/>
                <w:szCs w:val="22"/>
              </w:rPr>
              <w:t xml:space="preserve">………………………………</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Ký nháy / Initials:   Bên A ________     Bên B ________</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BM-BH.11</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Phụ lục chương trình bán hàng · Thắng Ân  ·  </w:t>
    </w:r>
    <w:r>
      <w:rPr>
        <w:rFonts w:ascii="Times New Roman" w:cs="Times New Roman" w:eastAsia="Times New Roman" w:hAnsi="Times New Roman"/>
        <w:i/>
        <w:iCs/>
        <w:color w:val="4A4A4A"/>
        <w:sz w:val="15"/>
        <w:szCs w:val="15"/>
      </w:rPr>
      <w:t xml:space="preserve">Sales programme annex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CHƯƠNG TRÌNH BÁN HÀNG</dc:title>
  <dc:creator>Thang An Commerce JSC</dc:creator>
  <cp:lastModifiedBy>Un-named</cp:lastModifiedBy>
  <cp:revision>1</cp:revision>
  <dcterms:created xsi:type="dcterms:W3CDTF">2026-10-05T11:18:23.045Z</dcterms:created>
  <dcterms:modified xsi:type="dcterms:W3CDTF">2026-10-05T11:18:23.045Z</dcterms:modified>
</cp:coreProperties>
</file>

<file path=docProps/custom.xml><?xml version="1.0" encoding="utf-8"?>
<Properties xmlns="http://schemas.openxmlformats.org/officeDocument/2006/custom-properties" xmlns:vt="http://schemas.openxmlformats.org/officeDocument/2006/docPropsVTypes"/>
</file>