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BIÊN BẢN KIỂM KÊ HÀNG KÝ GỬI</w:t>
      </w:r>
    </w:p>
    <w:p>
      <w:pPr>
        <w:spacing w:after="40" w:before="0" w:line="276"/>
        <w:jc w:val="center"/>
      </w:pPr>
      <w:r>
        <w:rPr>
          <w:rFonts w:ascii="Times New Roman" w:cs="Times New Roman" w:eastAsia="Times New Roman" w:hAnsi="Times New Roman"/>
          <w:b/>
          <w:bCs/>
          <w:color w:val="4A4A4A"/>
          <w:sz w:val="24"/>
          <w:szCs w:val="24"/>
        </w:rPr>
        <w:t xml:space="preserve">CONSIGNMENT STOCK COUNT RECORD</w:t>
      </w:r>
    </w:p>
    <w:p>
      <w:pPr>
        <w:spacing w:after="40" w:before="0" w:line="276"/>
        <w:jc w:val="center"/>
      </w:pPr>
      <w:r>
        <w:rPr>
          <w:rFonts w:ascii="Times New Roman" w:cs="Times New Roman" w:eastAsia="Times New Roman" w:hAnsi="Times New Roman"/>
          <w:i/>
          <w:iCs/>
          <w:color w:val="4A4A4A"/>
          <w:sz w:val="20"/>
          <w:szCs w:val="20"/>
        </w:rPr>
        <w:t xml:space="preserve">Kỳ kiểm kê tháng …… / 20……  ·  Count period: month …… / 20……</w:t>
      </w:r>
    </w:p>
    <w:p>
      <w:pPr>
        <w:spacing w:after="200" w:before="0" w:line="276"/>
        <w:jc w:val="center"/>
      </w:pPr>
      <w:r>
        <w:rPr>
          <w:rFonts w:ascii="Times New Roman" w:cs="Times New Roman" w:eastAsia="Times New Roman" w:hAnsi="Times New Roman"/>
          <w:color w:val="1F1F1F"/>
          <w:sz w:val="20"/>
          <w:szCs w:val="20"/>
        </w:rPr>
        <w:t xml:space="preserve">Số / No.: [Số HĐ]/KK[năm][tháng]   ·   Kèm Hợp đồng số …………… và Phụ lục ký gửi số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Loại kiểm kê:  ☐ Định kỳ (từ ngày 25 đến ngày cuối tháng)   ☐ Đột xuất   ☐ Kết thúc ký gửi / thu hồi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Count type:  ☐ Monthly (25th to month-end)   ☐ Spot check   ☐ End of consignment / recall</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Hôm nay, …… giờ ……, ngày …… / …… / 20……, tại địa điểm lưu giữ hàng ký gửi: …………………………………………, chúng tôi gồm: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On …… / …… / 20…… at ……, at the consignment storage location: ……………………, the undersigned: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A — BÊN KÝ GỬI / PARTY A — CONSIGNOR</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Người kiểm kê / Counted by</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Chức vụ / Title: ……………………</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Người cùng kiểm (nếu có) / Also present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Chức vụ / Title: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B — BÊN NHẬN KÝ GỬI / PARTY B — CONSIGNEE</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Người kiểm kê cùng / Counted with</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Chức vụ (quản lý, sommelier, thủ kho) / Title: ……………</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Điện thoại / Telephone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KẾT QUẢ KIỂM KÊ (đơn vị: chai)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COUNT RESULTS (unit: bottles)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2154"/>
        <w:gridCol w:w="720"/>
        <w:gridCol w:w="720"/>
        <w:gridCol w:w="720"/>
        <w:gridCol w:w="760"/>
        <w:gridCol w:w="760"/>
        <w:gridCol w:w="720"/>
        <w:gridCol w:w="1000"/>
        <w:gridCol w:w="1200"/>
      </w:tblGrid>
      <w:tr>
        <w:trPr>
          <w:cantSplit/>
          <w:tblHeader/>
        </w:trPr>
        <w:tc>
          <w:tcPr>
            <w:tcW w:type="dxa" w:w="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21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Mã SKU – Tên rượu – vintage</w:t>
            </w:r>
          </w:p>
          <w:p>
            <w:pPr>
              <w:keepNext/>
              <w:spacing w:after="0" w:before="0" w:line="276"/>
              <w:jc w:val="center"/>
            </w:pPr>
            <w:r>
              <w:rPr>
                <w:rFonts w:ascii="Times New Roman" w:cs="Times New Roman" w:eastAsia="Times New Roman" w:hAnsi="Times New Roman"/>
                <w:b/>
                <w:bCs/>
                <w:color w:val="FFFFFF"/>
                <w:sz w:val="18"/>
                <w:szCs w:val="18"/>
              </w:rPr>
              <w:t xml:space="preserve">SKU – wine – vintage</w:t>
            </w:r>
          </w:p>
        </w:tc>
        <w:tc>
          <w:tcPr>
            <w:tcW w:type="dxa" w:w="7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Đầu kỳ</w:t>
            </w:r>
          </w:p>
          <w:p>
            <w:pPr>
              <w:keepNext/>
              <w:spacing w:after="0" w:before="0" w:line="276"/>
              <w:jc w:val="center"/>
            </w:pPr>
            <w:r>
              <w:rPr>
                <w:rFonts w:ascii="Times New Roman" w:cs="Times New Roman" w:eastAsia="Times New Roman" w:hAnsi="Times New Roman"/>
                <w:b/>
                <w:bCs/>
                <w:color w:val="FFFFFF"/>
                <w:sz w:val="18"/>
                <w:szCs w:val="18"/>
              </w:rPr>
              <w:t xml:space="preserve">Open</w:t>
            </w:r>
          </w:p>
          <w:p>
            <w:pPr>
              <w:keepNext/>
              <w:spacing w:after="0" w:before="0" w:line="276"/>
              <w:jc w:val="center"/>
            </w:pPr>
            <w:r>
              <w:rPr>
                <w:rFonts w:ascii="Times New Roman" w:cs="Times New Roman" w:eastAsia="Times New Roman" w:hAnsi="Times New Roman"/>
                <w:b/>
                <w:bCs/>
                <w:color w:val="FFFFFF"/>
                <w:sz w:val="18"/>
                <w:szCs w:val="18"/>
              </w:rPr>
              <w:t xml:space="preserve">(1)</w:t>
            </w:r>
          </w:p>
        </w:tc>
        <w:tc>
          <w:tcPr>
            <w:tcW w:type="dxa" w:w="7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Giao thêm</w:t>
            </w:r>
          </w:p>
          <w:p>
            <w:pPr>
              <w:keepNext/>
              <w:spacing w:after="0" w:before="0" w:line="276"/>
              <w:jc w:val="center"/>
            </w:pPr>
            <w:r>
              <w:rPr>
                <w:rFonts w:ascii="Times New Roman" w:cs="Times New Roman" w:eastAsia="Times New Roman" w:hAnsi="Times New Roman"/>
                <w:b/>
                <w:bCs/>
                <w:color w:val="FFFFFF"/>
                <w:sz w:val="18"/>
                <w:szCs w:val="18"/>
              </w:rPr>
              <w:t xml:space="preserve">In</w:t>
            </w:r>
          </w:p>
          <w:p>
            <w:pPr>
              <w:keepNext/>
              <w:spacing w:after="0" w:before="0" w:line="276"/>
              <w:jc w:val="center"/>
            </w:pPr>
            <w:r>
              <w:rPr>
                <w:rFonts w:ascii="Times New Roman" w:cs="Times New Roman" w:eastAsia="Times New Roman" w:hAnsi="Times New Roman"/>
                <w:b/>
                <w:bCs/>
                <w:color w:val="FFFFFF"/>
                <w:sz w:val="18"/>
                <w:szCs w:val="18"/>
              </w:rPr>
              <w:t xml:space="preserve">(2)</w:t>
            </w:r>
          </w:p>
        </w:tc>
        <w:tc>
          <w:tcPr>
            <w:tcW w:type="dxa" w:w="7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Trả lại</w:t>
            </w:r>
          </w:p>
          <w:p>
            <w:pPr>
              <w:keepNext/>
              <w:spacing w:after="0" w:before="0" w:line="276"/>
              <w:jc w:val="center"/>
            </w:pPr>
            <w:r>
              <w:rPr>
                <w:rFonts w:ascii="Times New Roman" w:cs="Times New Roman" w:eastAsia="Times New Roman" w:hAnsi="Times New Roman"/>
                <w:b/>
                <w:bCs/>
                <w:color w:val="FFFFFF"/>
                <w:sz w:val="18"/>
                <w:szCs w:val="18"/>
              </w:rPr>
              <w:t xml:space="preserve">Out</w:t>
            </w:r>
          </w:p>
          <w:p>
            <w:pPr>
              <w:keepNext/>
              <w:spacing w:after="0" w:before="0" w:line="276"/>
              <w:jc w:val="center"/>
            </w:pPr>
            <w:r>
              <w:rPr>
                <w:rFonts w:ascii="Times New Roman" w:cs="Times New Roman" w:eastAsia="Times New Roman" w:hAnsi="Times New Roman"/>
                <w:b/>
                <w:bCs/>
                <w:color w:val="FFFFFF"/>
                <w:sz w:val="18"/>
                <w:szCs w:val="18"/>
              </w:rPr>
              <w:t xml:space="preserve">(3)</w:t>
            </w:r>
          </w:p>
        </w:tc>
        <w:tc>
          <w:tcPr>
            <w:tcW w:type="dxa" w:w="76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Thực tế</w:t>
            </w:r>
          </w:p>
          <w:p>
            <w:pPr>
              <w:keepNext/>
              <w:spacing w:after="0" w:before="0" w:line="276"/>
              <w:jc w:val="center"/>
            </w:pPr>
            <w:r>
              <w:rPr>
                <w:rFonts w:ascii="Times New Roman" w:cs="Times New Roman" w:eastAsia="Times New Roman" w:hAnsi="Times New Roman"/>
                <w:b/>
                <w:bCs/>
                <w:color w:val="FFFFFF"/>
                <w:sz w:val="18"/>
                <w:szCs w:val="18"/>
              </w:rPr>
              <w:t xml:space="preserve">Count</w:t>
            </w:r>
          </w:p>
          <w:p>
            <w:pPr>
              <w:keepNext/>
              <w:spacing w:after="0" w:before="0" w:line="276"/>
              <w:jc w:val="center"/>
            </w:pPr>
            <w:r>
              <w:rPr>
                <w:rFonts w:ascii="Times New Roman" w:cs="Times New Roman" w:eastAsia="Times New Roman" w:hAnsi="Times New Roman"/>
                <w:b/>
                <w:bCs/>
                <w:color w:val="FFFFFF"/>
                <w:sz w:val="18"/>
                <w:szCs w:val="18"/>
              </w:rPr>
              <w:t xml:space="preserve">(4)</w:t>
            </w:r>
          </w:p>
        </w:tc>
        <w:tc>
          <w:tcPr>
            <w:tcW w:type="dxa" w:w="76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Hỏng, mất</w:t>
            </w:r>
          </w:p>
          <w:p>
            <w:pPr>
              <w:keepNext/>
              <w:spacing w:after="0" w:before="0" w:line="276"/>
              <w:jc w:val="center"/>
            </w:pPr>
            <w:r>
              <w:rPr>
                <w:rFonts w:ascii="Times New Roman" w:cs="Times New Roman" w:eastAsia="Times New Roman" w:hAnsi="Times New Roman"/>
                <w:b/>
                <w:bCs/>
                <w:color w:val="FFFFFF"/>
                <w:sz w:val="18"/>
                <w:szCs w:val="18"/>
              </w:rPr>
              <w:t xml:space="preserve">Loss</w:t>
            </w:r>
          </w:p>
          <w:p>
            <w:pPr>
              <w:keepNext/>
              <w:spacing w:after="0" w:before="0" w:line="276"/>
              <w:jc w:val="center"/>
            </w:pPr>
            <w:r>
              <w:rPr>
                <w:rFonts w:ascii="Times New Roman" w:cs="Times New Roman" w:eastAsia="Times New Roman" w:hAnsi="Times New Roman"/>
                <w:b/>
                <w:bCs/>
                <w:color w:val="FFFFFF"/>
                <w:sz w:val="18"/>
                <w:szCs w:val="18"/>
              </w:rPr>
              <w:t xml:space="preserve">(5)</w:t>
            </w:r>
          </w:p>
        </w:tc>
        <w:tc>
          <w:tcPr>
            <w:tcW w:type="dxa" w:w="7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Đã bán</w:t>
            </w:r>
          </w:p>
          <w:p>
            <w:pPr>
              <w:keepNext/>
              <w:spacing w:after="0" w:before="0" w:line="276"/>
              <w:jc w:val="center"/>
            </w:pPr>
            <w:r>
              <w:rPr>
                <w:rFonts w:ascii="Times New Roman" w:cs="Times New Roman" w:eastAsia="Times New Roman" w:hAnsi="Times New Roman"/>
                <w:b/>
                <w:bCs/>
                <w:color w:val="FFFFFF"/>
                <w:sz w:val="18"/>
                <w:szCs w:val="18"/>
              </w:rPr>
              <w:t xml:space="preserve">Sold</w:t>
            </w:r>
          </w:p>
          <w:p>
            <w:pPr>
              <w:keepNext/>
              <w:spacing w:after="0" w:before="0" w:line="276"/>
              <w:jc w:val="center"/>
            </w:pPr>
            <w:r>
              <w:rPr>
                <w:rFonts w:ascii="Times New Roman" w:cs="Times New Roman" w:eastAsia="Times New Roman" w:hAnsi="Times New Roman"/>
                <w:b/>
                <w:bCs/>
                <w:color w:val="FFFFFF"/>
                <w:sz w:val="18"/>
                <w:szCs w:val="18"/>
              </w:rPr>
              <w:t xml:space="preserve">(6)</w:t>
            </w:r>
          </w:p>
        </w:tc>
        <w:tc>
          <w:tcPr>
            <w:tcW w:type="dxa" w:w="1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Đơn giá chưa VAT</w:t>
            </w:r>
          </w:p>
          <w:p>
            <w:pPr>
              <w:keepNext/>
              <w:spacing w:after="0" w:before="0" w:line="276"/>
              <w:jc w:val="center"/>
            </w:pPr>
            <w:r>
              <w:rPr>
                <w:rFonts w:ascii="Times New Roman" w:cs="Times New Roman" w:eastAsia="Times New Roman" w:hAnsi="Times New Roman"/>
                <w:b/>
                <w:bCs/>
                <w:color w:val="FFFFFF"/>
                <w:sz w:val="18"/>
                <w:szCs w:val="18"/>
              </w:rPr>
              <w:t xml:space="preserve">Unit price</w:t>
            </w:r>
          </w:p>
        </w:tc>
        <w:tc>
          <w:tcPr>
            <w:tcW w:type="dxa" w:w="1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Thành tiền</w:t>
            </w:r>
          </w:p>
          <w:p>
            <w:pPr>
              <w:keepNext/>
              <w:spacing w:after="0" w:before="0" w:line="276"/>
              <w:jc w:val="center"/>
            </w:pPr>
            <w:r>
              <w:rPr>
                <w:rFonts w:ascii="Times New Roman" w:cs="Times New Roman" w:eastAsia="Times New Roman" w:hAnsi="Times New Roman"/>
                <w:b/>
                <w:bCs/>
                <w:color w:val="FFFFFF"/>
                <w:sz w:val="18"/>
                <w:szCs w:val="18"/>
              </w:rPr>
              <w:t xml:space="preserve">Amount</w:t>
            </w:r>
          </w:p>
          <w:p>
            <w:pPr>
              <w:keepNext/>
              <w:spacing w:after="0" w:before="0" w:line="276"/>
              <w:jc w:val="center"/>
            </w:pPr>
            <w:r>
              <w:rPr>
                <w:rFonts w:ascii="Times New Roman" w:cs="Times New Roman" w:eastAsia="Times New Roman" w:hAnsi="Times New Roman"/>
                <w:b/>
                <w:bCs/>
                <w:color w:val="FFFFFF"/>
                <w:sz w:val="18"/>
                <w:szCs w:val="18"/>
              </w:rPr>
              <w:t xml:space="preserve">(5)+(6)</w:t>
            </w: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3</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4</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5</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6</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7</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8</w:t>
            </w:r>
          </w:p>
        </w:tc>
        <w:tc>
          <w:tcPr>
            <w:tcW w:type="dxa" w:w="2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6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7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8154"/>
            <w:gridSpan w:val="9"/>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Cộng tiền hàng chưa VAT / Subtotal excl. VAT</w:t>
            </w:r>
          </w:p>
        </w:tc>
        <w:tc>
          <w:tcPr>
            <w:tcW w:type="dxa" w:w="1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(6) Đã bán = (1) + (2) − (3) − (4) − (5). Tồn thực tế (4) chỉ gồm chai còn nguyên tem, nhãn, nút, đủ điều kiện bán; chai hư hỏng, rách nhãn, mất tem hoặc không tìm thấy ghi tại cột (5). Chai đã mở (kể cả bán theo ly) tính là đã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(6) Sold = (1) + (2) − (3) − (4) − (5). On-hand stock (4) covers only saleable bottles with intact stamps, labels and closures; damaged, mislabelled, unstamped or missing bottles are entered in column (5). Opened bottles (including by-the-glass) count as sold.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TÌNH TRẠNG HÀNG VÀ ĐIỀU KIỆN BẢO QUẢN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CONDITION AND STORAGE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Tem nhập khẩu, nhãn chính, nhãn phụ, nút, màng seal:  ☐ Nguyên vẹn toàn bộ   ☐ Có chai không đạt (đã ghi tại cột 5):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Import stamps, labels, sub-labels, closures, capsules:  ☐ All intact   ☐ Some bottles fail (entered in column 5): ……………………</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Điều kiện bảo quản:  ☐ Tủ hoặc kho rượu 12–18 °C   ☐ Tránh ánh sáng trực tiếp, xa nguồn nhiệt   ☐ Chai nút bần đặt nằm   ☐ Để riêng, tách biệt với hàng của Bên B.  Ghi chú: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Storage:  ☐ Wine fridge or cellar at 12–18 °C   ☐ Away from direct light and heat   ☐ Cork-sealed bottles stored lying down   ☐ Kept separate from Party B’s own stock.  Notes: ……………………</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Mã bán chậm, đề nghị thu hồi hoặc luân chuyển sang điểm bán khác: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Slow-moving SKUs proposed for recall or transfer to another outlet: ……………………………………</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2.4</w:t>
            </w:r>
            <w:r>
              <w:rPr>
                <w:rFonts w:ascii="Times New Roman" w:cs="Times New Roman" w:eastAsia="Times New Roman" w:hAnsi="Times New Roman"/>
                <w:color w:val="1F1F1F"/>
                <w:sz w:val="22"/>
                <w:szCs w:val="22"/>
              </w:rPr>
              <w:t xml:space="preserve"> Tủ rượu cho mượn (nếu có, BM-KG.04) — mã tài sản ……………:  ☐ Hoạt động tốt, đúng nhiệt độ   ☐ Sạch sẽ, đúng vị trí   ☐ Chỉ chứa rượu Bên A   ☐ Nhãn sở hữu còn nguyên.  Ghi chú: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Loaned wine chiller (if any, BM-KG.04) — asset code ……………:  ☐ Working, at set temperature   ☐ Clean, in place   ☐ Party A wines only   ☐ Ownership label intact.  Notes: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200"/>
        <w:gridCol w:w="4154"/>
      </w:tblGrid>
      <w:tr>
        <w:trPr>
          <w:cantSplit/>
        </w:trPr>
        <w:tc>
          <w:tcPr>
            <w:tcW w:type="dxa" w:w="5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III. XÁC NHẬN GIÁ TRỊ THANH TOÁN</w:t>
            </w:r>
          </w:p>
        </w:tc>
        <w:tc>
          <w:tcPr>
            <w:tcW w:type="dxa" w:w="41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III. AMOUNT PAYABLE</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Giá trị hàng Bên B mua trong kỳ, cột (5)+(6), chưa VAT / Goods bought this period, excl. VAT</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Thuế GTGT …… % / VAT …… %</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Tổng thanh toán / Total payable</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Hoá đơn GTGT lập ngày / VAT invoice dated</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……/……/20…… (ngày ký Biên bản / date of this Record)</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Đưa vào đối chiếu công nợ (BM-BH.16) / Included in statement</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Tháng / Month …… / 20……</w:t>
            </w:r>
          </w:p>
        </w:tc>
      </w:tr>
      <w:tr>
        <w:trPr>
          <w:cantSplit/>
        </w:trPr>
        <w:tc>
          <w:tcPr>
            <w:tcW w:type="dxa" w:w="5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Tồn ký gửi chuyển kỳ sau, cột (4) / Stock carried forward</w:t>
            </w:r>
          </w:p>
        </w:tc>
        <w:tc>
          <w:tcPr>
            <w:tcW w:type="dxa" w:w="4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chai / bottles  ·  giá trị / value …………… đồng (hạn mức / limit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IV.</w:t>
            </w:r>
            <w:r>
              <w:rPr>
                <w:rFonts w:ascii="Times New Roman" w:cs="Times New Roman" w:eastAsia="Times New Roman" w:hAnsi="Times New Roman"/>
                <w:b/>
                <w:bCs/>
                <w:color w:val="7A1F2B"/>
                <w:sz w:val="22"/>
                <w:szCs w:val="22"/>
              </w:rPr>
              <w:t xml:space="preserve"> CAM KẾT CỦA CÁC BÊN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IV.</w:t>
            </w:r>
            <w:r>
              <w:rPr>
                <w:rFonts w:ascii="Times New Roman" w:cs="Times New Roman" w:eastAsia="Times New Roman" w:hAnsi="Times New Roman"/>
                <w:b/>
                <w:bCs/>
                <w:color w:val="7A1F2B"/>
                <w:sz w:val="22"/>
                <w:szCs w:val="22"/>
              </w:rPr>
              <w:t xml:space="preserve"> CONFIRMATIONS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Số lượng tại cột (5) và (6) được xác định là Bên B đã mua theo Điều 4.5 và Điều 5.1 Phụ lục ký gửi; Bên B thanh toán theo thời hạn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Quantities in columns (5) and (6) are deemed purchased by Party B under Articles 4.5 and 5.1 of the Consignment Annex; Party B pays within the Contract terms.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Tồn thực tế tại cột (4) là tồn đầu kỳ của lần kiểm kê sau và vẫn thuộc quyền sở hữu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On-hand stock in column (4) is the opening stock for the next count and remains Party A’s property.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Ảnh chụp tủ, kệ rượu và Biên bản đã ký được gửi lên nhóm khách hàng ngay khi kiểm kê xong và có giá trị như bản giấy. Nếu Bên B không ký Biên bản trong 01 (một) ngày làm việc mà không nêu lý do bằng văn bản, số liệu do Bên A kiểm đếm được coi là đã được Bên B xác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Photos of the wine fridge or shelves and the signed Record are posted to the customer group as soon as the count ends and have the same value as the paper copy. If Party B does not sign within 01 working day without giving written reasons, Party A’s count is deemed confirmed by Party B.</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Biên bản lập thành 02 (hai) bản song ngữ có giá trị như nhau, mỗi Bên giữ 01 (một)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Record is made in two (2) bilingual originals of equal validity, one for each Party.</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 — NGƯỜI KIỂM KÊ</w:t>
            </w:r>
          </w:p>
          <w:p>
            <w:pPr>
              <w:spacing w:after="40" w:before="40" w:line="276"/>
              <w:jc w:val="center"/>
            </w:pPr>
            <w:r>
              <w:rPr>
                <w:rFonts w:ascii="Times New Roman" w:cs="Times New Roman" w:eastAsia="Times New Roman" w:hAnsi="Times New Roman"/>
                <w:i/>
                <w:iCs/>
                <w:color w:val="4A4A4A"/>
                <w:sz w:val="18"/>
                <w:szCs w:val="18"/>
              </w:rPr>
              <w:t xml:space="preserve">FOR PARTY A — COUNTED BY</w:t>
            </w:r>
          </w:p>
          <w:p>
            <w:pPr>
              <w:spacing w:after="40" w:before="40" w:line="276"/>
              <w:jc w:val="center"/>
            </w:pPr>
            <w:r>
              <w:rPr>
                <w:rFonts w:ascii="Times New Roman" w:cs="Times New Roman" w:eastAsia="Times New Roman" w:hAnsi="Times New Roman"/>
                <w:color w:val="4A4A4A"/>
                <w:sz w:val="17"/>
                <w:szCs w:val="17"/>
              </w:rPr>
              <w:t xml:space="preserve">(Ký, ghi rõ họ tên / Signature, full name)</w:t>
            </w:r>
          </w:p>
          <w:p>
            <w:pPr>
              <w:spacing w:after="40" w:before="65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 — NGƯỜI CÙNG KIỂM KÊ</w:t>
            </w:r>
          </w:p>
          <w:p>
            <w:pPr>
              <w:spacing w:after="40" w:before="40" w:line="276"/>
              <w:jc w:val="center"/>
            </w:pPr>
            <w:r>
              <w:rPr>
                <w:rFonts w:ascii="Times New Roman" w:cs="Times New Roman" w:eastAsia="Times New Roman" w:hAnsi="Times New Roman"/>
                <w:i/>
                <w:iCs/>
                <w:color w:val="4A4A4A"/>
                <w:sz w:val="18"/>
                <w:szCs w:val="18"/>
              </w:rPr>
              <w:t xml:space="preserve">FOR PARTY B — COUNTED WITH</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nếu có / Signature, name, title; seal if any)</w:t>
            </w:r>
          </w:p>
          <w:p>
            <w:pPr>
              <w:spacing w:after="40" w:before="65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A ________     Bên B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BM-KG.03</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Biên bản kiểm kê hàng ký gửi · Thắng Ân · QT-BH.02  ·  </w:t>
    </w:r>
    <w:r>
      <w:rPr>
        <w:rFonts w:ascii="Times New Roman" w:cs="Times New Roman" w:eastAsia="Times New Roman" w:hAnsi="Times New Roman"/>
        <w:i/>
        <w:iCs/>
        <w:color w:val="4A4A4A"/>
        <w:sz w:val="15"/>
        <w:szCs w:val="15"/>
      </w:rPr>
      <w:t xml:space="preserve">Consignment stock count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