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A1F2B"/>
          <w:sz w:val="34"/>
          <w:szCs w:val="34"/>
        </w:rPr>
        <w:t xml:space="preserve">PHIẾU KIỂM SOÁT DỰ ÁN NHÃN RIÊNG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4A4A4A"/>
          <w:sz w:val="24"/>
          <w:szCs w:val="24"/>
        </w:rPr>
        <w:t xml:space="preserve">PRIVATE-LABEL PROJECT CONTROL SHEET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A4A4A"/>
          <w:sz w:val="20"/>
          <w:szCs w:val="20"/>
        </w:rPr>
        <w:t xml:space="preserve">Tài liệu nội bộ — không gửi khách hàng  ·  Internal — not for customers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color w:val="1F1F1F"/>
          <w:sz w:val="20"/>
          <w:szCs w:val="20"/>
        </w:rPr>
        <w:t xml:space="preserve">Số / No.: [Số HĐ]/ĐH……/KS      Khách hàng / Customer: ……………………   KAM: ……………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Mỗi cổng (G1–G6) phải được ký xác nhận trước khi chuyển sang bước tiếp theo trong QT-BH.03. Giá vốn, biên lợi nhuận và giá mua từ Nhà sản xuất không ghi trên phiếu này; cấp duyệt giá xem trên hệ thống theo phân quyền.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Each gate (G1–G6) shall be signed off before moving to the next QT-BH.03 step. Cost, margin and Producer prices are not recorded here; price approvers view them in the system under access rights.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G1 DUYỆT CHÀO GIÁ (bước 3–5)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G1 QUOTE APPROVAL (steps 3–5)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Báo giá NSX, MOQ, lead time, quy cách nhãn đã có bằng văn bản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Producer quote, MOQ, lead time, label spec in writing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Giá bán, tỷ giá, thuế suất tham chiếu, điều kiện độc quyền được SD/GĐ duyệt trên hệ thống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Price, FX, tax basis and exclusivity approved by SD/Director in the system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Mẫu đối chứng đã niêm phong 02 chai, ghi mã niêm phong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Reference Sample sealed (2 bottles), seal no. recorded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G2 HỒ SƠ KHÁCH HÀNG VÀ KÝ KẾT (bước 7–8)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G2 CUSTOMER FILE AND SIGNING (steps 7–8)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GCN ĐKDN, MST, giấy phép kinh doanh rượu (nếu bán lại), giấy uỷ quyền người ký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Registration, tax code, alcohol licence (if resale), signatory POA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Tài liệu quyền SHTT của Nhãn riêng (văn bằng, đơn, li-xăng hoặc cam kết)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Private Label IP evidence (certificate, application, licence or undertaking)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Open Account trên hệ thống; HĐ-NR.01 và Đơn hàng đúng mẫu, đã ký đủ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Account opened; HĐ-NR.01 and Order on template, fully signed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G3 ĐIỀU KIỆN ĐẶT HÀNG NSX (bước 14)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G3 RELEASE TO PRODUCER (step 14)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Đã nhận đủ Đợt 1 (Kế toán xác nhận tiền về tài khoản)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Instalment 1 received in full (confirmed by Accounting)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BM-NR.04 đã duyệt; kiểm tra nội dung ghi nhãn bắt buộc và quy cách NSX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BM-NR.04 approved; mandatory particulars and Producer spec checked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Lệnh đặt hàng NSX khớp Đơn hàng (Rượu nền, niên vụ, số lượng, nhãn); email Ngày đặt hàng đã gửi khách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Producer PO matches Order; Production Order Date emailed to customer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G4 NHẬP KHẨU VÀ NHẬP KHO (bước 16–17)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G4 IMPORT AND WAREHOUSING (steps 16–17)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Hồ sơ công bố sản phẩm đúng tên thương mại trên Nhãn riêng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Product declaration under the Private Label brand name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Thông quan, tem rượu nhập khẩu, nhãn phụ tiếng Việt đầy đủ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Customs clearance, import stamps, Vietnamese sub-labels complete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Kiểm đếm nhập kho, chênh lệch ≤ ±2%, ảnh hàng và nhãn; ghi Ngày N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Receiving count, variance ≤ ±2%, photos; Day N recorded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G5 ĐIỀU KIỆN GIAO HÀNG (bước 20)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G5 RELEASE FOR DELIVERY (step 20)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BM-NR.02 (hàng về và đề nghị thanh toán Đợt 2) đã gửi trong Ngày N hoặc N + 1, có bằng chứng gửi email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BM-NR.02 (arrival and Instalment 2 request) sent on Day N or N + 1, email proof kept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Đã nhận đủ Đợt 2; lịch nhắc hạn N + 180 đã tạo trên hệ thống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Instalment 2 received; N + 180 reminder set in the system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G6 QUYẾT TOÁN (bước 25)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G6 CLOSE-OUT (step 25)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900"/>
        <w:gridCol w:w="2500"/>
      </w:tblGrid>
      <w:tr>
        <w:trPr>
          <w:cantSplit/>
          <w:tblHeader/>
        </w:trPr>
        <w:tc>
          <w:tcPr>
            <w:tcW w:type="dxa" w:w="59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Hạng mục kiểm soát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 item</w:t>
            </w:r>
          </w:p>
        </w:tc>
        <w:tc>
          <w:tcPr>
            <w:tcW w:type="dxa" w:w="9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Đạt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Người xác nhận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Confirmed by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Tổng BM-NR.03 khớp số nhập kho; hoá đơn GTGT đủ theo từng lần giao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BM-NR.03 totals match receipts; VAT invoices complete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59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BM-NR.07 đã ký; nhãn dư, Mẫu đối chứng xử lý theo Điều 4.9; hồ sơ lưu đủ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BM-NR.07 signed; surplus labels and samples handled; file complete</w:t>
            </w:r>
          </w:p>
        </w:tc>
        <w:tc>
          <w:tcPr>
            <w:tcW w:type="dxa" w:w="9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t xml:space="preserve">☐</w:t>
            </w:r>
          </w:p>
        </w:tc>
        <w:tc>
          <w:tcPr>
            <w:tcW w:type="dxa" w:w="25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spacing w:after="40" w:before="60" w:line="276"/>
        <w:jc w:val="both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KINH DOANH (KAM)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SALES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tên)</w:t>
            </w:r>
          </w:p>
          <w:p>
            <w:pPr>
              <w:spacing w:after="40" w:before="80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………………………………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SALES ADMIN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SALES ADMIN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tên)</w:t>
            </w:r>
          </w:p>
          <w:p>
            <w:pPr>
              <w:spacing w:after="40" w:before="80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………………………………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GIÁM ĐỐC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DIRECTOR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tên)</w:t>
            </w:r>
          </w:p>
          <w:p>
            <w:pPr>
              <w:spacing w:after="40" w:before="80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PHẠM THỊ CẨM LY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418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BC0" w:sz="4" w:space="4"/>
      </w:pBdr>
      <w:tabs>
        <w:tab w:val="right" w:pos="9354"/>
      </w:tabs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Thắng Ân  ·  Bộ hồ sơ bán hàng nhãn riêng độc quyền  ·  v2026.10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	Trang / Page </w:t>
    </w:r>
    <w:r>
      <w:rPr>
        <w:rFonts w:ascii="Times New Roman" w:cs="Times New Roman" w:eastAsia="Times New Roman" w:hAnsi="Times New Roman"/>
        <w:b/>
        <w:bCs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/ 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/>
    </w:pPr>
    <w:r>
      <w:rPr>
        <w:rFonts w:ascii="Times New Roman" w:cs="Times New Roman" w:eastAsia="Times New Roman" w:hAnsi="Times New Roman"/>
        <w:b/>
        <w:bCs/>
        <w:color w:val="7A1F2B"/>
        <w:spacing w:val="40"/>
        <w:sz w:val="18"/>
        <w:szCs w:val="18"/>
      </w:rPr>
      <w:t xml:space="preserve">THẮNG ÂN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 |  CÔNG TY CỔ PHẦN THƯƠNG MẠI THẮNG ÂN · THANG AN COMMERCE JSC</w:t>
    </w:r>
    <w:r>
      <w:rPr>
        <w:rFonts w:ascii="Times New Roman" w:cs="Times New Roman" w:eastAsia="Times New Roman" w:hAnsi="Times New Roman"/>
        <w:b/>
        <w:bCs/>
        <w:color w:val="B08D57"/>
        <w:sz w:val="16"/>
        <w:szCs w:val="16"/>
      </w:rPr>
      <w:t xml:space="preserve">	BM-NR.08</w:t>
    </w:r>
  </w:p>
  <w:p>
    <w:pPr>
      <w:pBdr>
        <w:bottom w:val="single" w:color="7A1F2B" w:sz="8" w:space="4"/>
      </w:pBdr>
      <w:tabs>
        <w:tab w:val="right" w:pos="9354"/>
      </w:tabs>
      <w:spacing w:after="120"/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Phiếu kiểm soát dự án nhãn riêng (nội bộ) · Thắng Ân · QT-BH.03  ·  </w:t>
    </w:r>
    <w:r>
      <w:rPr>
        <w:rFonts w:ascii="Times New Roman" w:cs="Times New Roman" w:eastAsia="Times New Roman" w:hAnsi="Times New Roman"/>
        <w:i/>
        <w:iCs/>
        <w:color w:val="4A4A4A"/>
        <w:sz w:val="15"/>
        <w:szCs w:val="15"/>
      </w:rPr>
      <w:t xml:space="preserve">Private-label project control sheet (internal)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BM-BH.10 Hợp đồng mua bán — khách công nợ</dc:title>
  <dc:creator>Thang An Commerce JSC</dc:creator>
  <cp:lastModifiedBy>Un-named</cp:lastModifiedBy>
  <cp:revision>1</cp:revision>
  <dcterms:created xsi:type="dcterms:W3CDTF">2026-10-05T11:18:23.353Z</dcterms:created>
  <dcterms:modified xsi:type="dcterms:W3CDTF">2026-10-05T11:18:23.354Z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