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8963E"/>
          <w:spacing w:val="40"/>
          <w:sz w:val="18"/>
          <w:szCs w:val="18"/>
        </w:rPr>
        <w:t xml:space="preserve">BRIEFING NOTE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F4D3A"/>
          <w:sz w:val="44"/>
          <w:szCs w:val="44"/>
        </w:rPr>
        <w:t xml:space="preserve">Northbank Group kickoff call</w:t>
      </w:r>
    </w:p>
    <w:p>
      <w:pPr>
        <w:pBdr>
          <w:bottom w:val="single" w:color="B8963E" w:sz="8" w:space="6"/>
        </w:pBdr>
        <w:spacing w:after="200"/>
      </w:pPr>
      <w:r>
        <w:rPr>
          <w:rFonts w:ascii="Calibri" w:cs="Calibri" w:eastAsia="Calibri" w:hAnsi="Calibri"/>
          <w:color w:val="5B6B63"/>
          <w:sz w:val="22"/>
          <w:szCs w:val="22"/>
        </w:rPr>
        <w:t xml:space="preserve">Prepared for Jordan Hale, Managing Director, Cedarline Partners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40"/>
      </w:tblGrid>
      <w:tr>
        <w:trPr>
          <w:tblHeader/>
        </w:trP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When</w:t>
            </w:r>
          </w:p>
        </w:tc>
        <w:tc>
          <w:tcPr>
            <w:tcW w:type="dxa" w:w="7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Wednesday 18 November 2026, 10:00 to 11:50 New York time (17:00 to 18:50 in Harare)</w:t>
            </w:r>
          </w:p>
        </w:tc>
      </w:tr>
      <w:t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Where</w:t>
            </w:r>
          </w:p>
        </w:tc>
        <w:tc>
          <w:tcPr>
            <w:tcW w:type="dxa" w:w="7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Video call, placeholder link in the calendar invite. Nobody has been invited in this sample.</w:t>
            </w:r>
          </w:p>
        </w:tc>
      </w:tr>
      <w:t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Who</w:t>
            </w:r>
          </w:p>
        </w:tc>
        <w:tc>
          <w:tcPr>
            <w:tcW w:type="dxa" w:w="7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Jordan Hale (Cedarline), Priya Nair and Tom Eze (Northbank Group, fictional), assistant taking notes</w:t>
            </w:r>
          </w:p>
        </w:tc>
      </w:tr>
      <w:t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Purpose</w:t>
            </w:r>
          </w:p>
        </w:tc>
        <w:tc>
          <w:tcPr>
            <w:tcW w:type="dxa" w:w="7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Agree goals, scope and the first four weeks, and collect access for the team</w:t>
            </w:r>
          </w:p>
        </w:tc>
      </w:tr>
      <w:tr>
        <w:tc>
          <w:tcPr>
            <w:tcW w:type="dxa" w:w="2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Time check</w:t>
            </w:r>
          </w:p>
        </w:tc>
        <w:tc>
          <w:tcPr>
            <w:tcW w:type="dxa" w:w="7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New York is on UTC-5 from 1 November, so the gap to Harare is 7 hours on this date</w:t>
            </w:r>
          </w:p>
        </w:tc>
      </w:tr>
    </w:tbl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1F4D3A"/>
          <w:sz w:val="28"/>
          <w:szCs w:val="28"/>
        </w:rPr>
        <w:t xml:space="preserve">What you need to know in one minute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A24"/>
          <w:sz w:val="22"/>
          <w:szCs w:val="22"/>
        </w:rPr>
        <w:t xml:space="preserve">Northbank signed the advisory agreement last week. The reply to their counsel is drafted and waiting for your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A24"/>
          <w:sz w:val="22"/>
          <w:szCs w:val="22"/>
        </w:rPr>
        <w:t xml:space="preserve">Priya Nair leads for Northbank and cares most about the timeline. Tom Eze owns the data and will ask about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A24"/>
          <w:sz w:val="22"/>
          <w:szCs w:val="22"/>
        </w:rPr>
        <w:t xml:space="preserve">The welcome email and the onboarding board are ready. Week one is planned in Trello and Asana.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1F4D3A"/>
          <w:sz w:val="28"/>
          <w:szCs w:val="28"/>
        </w:rPr>
        <w:t xml:space="preserve">Agenda and who speaks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40"/>
        <w:gridCol w:w="3200"/>
      </w:tblGrid>
      <w:tr>
        <w:trPr>
          <w:tblHeader/>
        </w:trPr>
        <w:tc>
          <w:tcPr>
            <w:tcW w:type="dxa" w:w="1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(NY)</w:t>
            </w:r>
          </w:p>
        </w:tc>
        <w:tc>
          <w:tcPr>
            <w:tcW w:type="dxa" w:w="46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1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10:00</w:t>
            </w:r>
          </w:p>
        </w:tc>
        <w:tc>
          <w:tcPr>
            <w:tcW w:type="dxa" w:w="46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Welcome and introductions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Jordan Hale</w:t>
            </w:r>
          </w:p>
        </w:tc>
      </w:tr>
      <w:tr>
        <w:tc>
          <w:tcPr>
            <w:tcW w:type="dxa" w:w="1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10:10</w:t>
            </w:r>
          </w:p>
        </w:tc>
        <w:tc>
          <w:tcPr>
            <w:tcW w:type="dxa" w:w="46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Goals and success measures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Priya Nair</w:t>
            </w:r>
          </w:p>
        </w:tc>
      </w:tr>
      <w:tr>
        <w:tc>
          <w:tcPr>
            <w:tcW w:type="dxa" w:w="1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10:35</w:t>
            </w:r>
          </w:p>
        </w:tc>
        <w:tc>
          <w:tcPr>
            <w:tcW w:type="dxa" w:w="46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Scope and timeline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Jordan Hale</w:t>
            </w:r>
          </w:p>
        </w:tc>
      </w:tr>
      <w:tr>
        <w:tc>
          <w:tcPr>
            <w:tcW w:type="dxa" w:w="1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11:00</w:t>
            </w:r>
          </w:p>
        </w:tc>
        <w:tc>
          <w:tcPr>
            <w:tcW w:type="dxa" w:w="46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Access and tools checklist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Tom Eze</w:t>
            </w:r>
          </w:p>
        </w:tc>
      </w:tr>
      <w:tr>
        <w:tc>
          <w:tcPr>
            <w:tcW w:type="dxa" w:w="1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11:20</w:t>
            </w:r>
          </w:p>
        </w:tc>
        <w:tc>
          <w:tcPr>
            <w:tcW w:type="dxa" w:w="46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Risks and questions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11:40</w:t>
            </w:r>
          </w:p>
        </w:tc>
        <w:tc>
          <w:tcPr>
            <w:tcW w:type="dxa" w:w="46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Next steps and owners</w:t>
            </w:r>
          </w:p>
        </w:tc>
        <w:tc>
          <w:tcPr>
            <w:tcW w:type="dxa" w:w="32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Assistant reads back</w:t>
            </w:r>
          </w:p>
        </w:tc>
      </w:tr>
    </w:tbl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1F4D3A"/>
          <w:sz w:val="28"/>
          <w:szCs w:val="28"/>
        </w:rPr>
        <w:t xml:space="preserve">Decisions needed from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A24"/>
          <w:sz w:val="22"/>
          <w:szCs w:val="22"/>
        </w:rPr>
        <w:t xml:space="preserve">Confirm the four week scope as drafted, or name what comes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A24"/>
          <w:sz w:val="22"/>
          <w:szCs w:val="22"/>
        </w:rPr>
        <w:t xml:space="preserve">Approve sending the follow-up note within one hour of the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A24"/>
          <w:sz w:val="22"/>
          <w:szCs w:val="22"/>
        </w:rPr>
        <w:t xml:space="preserve">Choose who attends the Friday check in from Cedarline.</w:t>
      </w:r>
    </w:p>
    <w:p>
      <w:pPr>
        <w:pStyle w:val="Heading2"/>
        <w:pageBreakBefore/>
        <w:spacing w:after="100" w:before="240"/>
      </w:pPr>
      <w:r>
        <w:rPr>
          <w:rFonts w:ascii="Cambria" w:cs="Cambria" w:eastAsia="Cambria" w:hAnsi="Cambria"/>
          <w:b/>
          <w:bCs/>
          <w:color w:val="1F4D3A"/>
          <w:sz w:val="28"/>
          <w:szCs w:val="28"/>
        </w:rPr>
        <w:t xml:space="preserve">Open risks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2500"/>
      </w:tblGrid>
      <w:tr>
        <w:trPr>
          <w:tblHeader/>
        </w:trP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would do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1F4D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Access requests arrive late</w:t>
            </w:r>
          </w:p>
        </w:tc>
        <w:tc>
          <w:tcPr>
            <w:tcW w:type="dxa" w:w="4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Send the list on day one and chase on day three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Scope grows during the call</w:t>
            </w:r>
          </w:p>
        </w:tc>
        <w:tc>
          <w:tcPr>
            <w:tcW w:type="dxa" w:w="4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Write new asks in a parking list, decide after the call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shd w:fill="FBF8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Jordan Hale</w:t>
            </w:r>
          </w:p>
        </w:tc>
      </w:tr>
      <w:tr>
        <w:tc>
          <w:tcPr>
            <w:tcW w:type="dxa" w:w="27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Time zone slip on the follow-up call</w:t>
            </w:r>
          </w:p>
        </w:tc>
        <w:tc>
          <w:tcPr>
            <w:tcW w:type="dxa" w:w="414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Confirm the time in both zones in writing</w:t>
            </w:r>
          </w:p>
        </w:tc>
        <w:tc>
          <w:tcPr>
            <w:tcW w:type="dxa" w:w="2500"/>
            <w:tcBorders>
              <w:top w:val="single" w:color="C9C2AE" w:sz="4"/>
              <w:left w:val="single" w:color="C9C2AE" w:sz="4"/>
              <w:bottom w:val="single" w:color="C9C2AE" w:sz="4"/>
              <w:right w:val="single" w:color="C9C2A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A24"/>
                <w:sz w:val="20"/>
                <w:szCs w:val="20"/>
              </w:rPr>
              <w:t xml:space="preserve">Assistant</w:t>
            </w:r>
          </w:p>
        </w:tc>
      </w:tr>
    </w:tbl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1F4D3A"/>
          <w:sz w:val="28"/>
          <w:szCs w:val="28"/>
        </w:rPr>
        <w:t xml:space="preserve">After the call</w:t>
      </w:r>
    </w:p>
    <w:p>
      <w:pPr>
        <w:spacing w:after="120"/>
      </w:pPr>
      <w:r>
        <w:rPr>
          <w:rFonts w:ascii="Calibri" w:cs="Calibri" w:eastAsia="Calibri" w:hAnsi="Calibri"/>
          <w:color w:val="1E2A24"/>
          <w:sz w:val="22"/>
          <w:szCs w:val="22"/>
        </w:rPr>
        <w:t xml:space="preserve">Minutes and the action list go to you within one hour. Each action has one owner and one date. Draft follow-up email stays in drafts until you approve it.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This note is a practice sample on invented people and data. It shows format and judgement, not a real engagement.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3"/>
        <w:sz w:val="16"/>
        <w:szCs w:val="16"/>
      </w:rPr>
      <w:t xml:space="preserve">Cedarline Partners and Northbank Group are fictional. Page </w:t>
    </w:r>
    <w:r>
      <w:rPr>
        <w:rFonts w:ascii="Calibri" w:cs="Calibri" w:eastAsia="Calibri" w:hAnsi="Calibri"/>
        <w:color w:val="5B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63"/>
        <w:sz w:val="16"/>
        <w:szCs w:val="16"/>
      </w:rPr>
      <w:t xml:space="preserve">SAMPLE | Practice project on fictional data | Not client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briefing note: Northbank Group kickoff</dc:title>
  <dc:creator>Tadiwanashe Brenda Chitsva</dc:creator>
  <cp:lastModifiedBy>Tadiwanashe Brenda Chitsva</cp:lastModifiedBy>
  <cp:revision>1</cp:revision>
  <dcterms:created xsi:type="dcterms:W3CDTF">2026-10-15T14:25:26.129Z</dcterms:created>
  <dcterms:modified xsi:type="dcterms:W3CDTF">2026-10-15T14:25:26.129Z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