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4"/>
          <w:szCs w:val="24"/>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hereby applies for approval to undertake the loan business under the Facility, with ICBC (DIFC Branch) participating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which will sign a Loan Risk Agreement with ICBC (DIFC Branch) in respect of its CNH 100 million share. The ICBC Group's internal syndication therefore totals CNH 500 million — ICBC Almaty Branch CNH 100 million (signing on its own behalf), and ICBC (DIFC Branch) CNH 300 million and ICBC (Asia) CNH 100 million fronted by ICBC (DIFC Branch), which acts as the lead / Face Lender branch for the internal syndication. Bank of China (Dubai) Branch, as coordinator, is expected to commit CNH 500 million (understood to have been approved within Bank of China (Dubai)); accordingly, no single ICBC lender will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4"/>
          <w:szCs w:val="24"/>
        </w:rPr>
        <w:t>Part 1.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4"/>
          <w:szCs w:val="24"/>
        </w:rPr>
        <w:lastRenderedPageBreak/>
        <w:t>Part 2.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2025</w:t>
      </w:r>
    </w:p>
    <w:p w14:paraId="36284C12" w14:textId="77777777"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14:paraId="42FB1220" w14:textId="77777777" w:rsidR="0059742E" w:rsidRDefault="00C764C0">
      <w:pPr>
        <w:spacing w:before="160" w:after="60"/>
      </w:pPr>
      <w:r>
        <w:rPr>
          <w:b/>
          <w:bCs/>
          <w:color w:val="2E6DA4"/>
        </w:rPr>
        <w:t>Asset Analysis</w:t>
      </w:r>
    </w:p>
    <w:p w14:paraId="34F32952" w14:textId="77777777"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14:paraId="6F850481" w14:textId="77777777" w:rsidR="0059742E" w:rsidRDefault="00C764C0">
      <w:pPr>
        <w:pStyle w:val="ListParagraph"/>
        <w:numPr>
          <w:ilvl w:val="0"/>
          <w:numId w:val="2"/>
        </w:numPr>
        <w:spacing w:before="40" w:after="40"/>
      </w:pPr>
      <w:r>
        <w:rPr>
          <w:color w:val="1A1A1A"/>
        </w:rPr>
        <w:t xml:space="preserve">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w:t>
      </w:r>
      <w:r>
        <w:rPr>
          <w:color w:val="1A1A1A"/>
        </w:rPr>
        <w:lastRenderedPageBreak/>
        <w:t>from, and should not be read as, the non-performing loan (NPL) ratio: NBU’s regulatory NPL ratio reported to the Central Bank of Uzbekistan (CBU) was approximately 2.8% as of 1 January 2026 (see Section 2.4).</w:t>
      </w:r>
    </w:p>
    <w:p w14:paraId="5D0AC146" w14:textId="77777777"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14:paraId="00A57060" w14:textId="77777777"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14:paraId="65D4D376" w14:textId="77777777"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14:paraId="30C145BD" w14:textId="77777777" w:rsidR="0059742E" w:rsidRDefault="00C764C0">
      <w:pPr>
        <w:spacing w:before="160" w:after="60"/>
      </w:pPr>
      <w:r>
        <w:rPr>
          <w:b/>
          <w:bCs/>
          <w:color w:val="2E6DA4"/>
        </w:rPr>
        <w:t>Liability Analysis</w:t>
      </w:r>
    </w:p>
    <w:p w14:paraId="019D29DF" w14:textId="77777777"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14:paraId="055C0B0F" w14:textId="77777777"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14:paraId="3720F706" w14:textId="77777777"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14:paraId="06B1657A" w14:textId="77777777" w:rsidR="0059742E" w:rsidRDefault="00C764C0">
      <w:pPr>
        <w:spacing w:before="160" w:after="60"/>
      </w:pPr>
      <w:r>
        <w:rPr>
          <w:b/>
          <w:bCs/>
          <w:color w:val="2E6DA4"/>
        </w:rPr>
        <w:t>Income Analysis</w:t>
      </w:r>
    </w:p>
    <w:p w14:paraId="5E8EA7B3" w14:textId="77777777"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14:paraId="21C46894" w14:textId="77777777"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14:paraId="06ECB47C" w14:textId="77777777"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14:paraId="41D4ADCC" w14:textId="77777777"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14:paraId="171C4028" w14:textId="77777777"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(regulatory / Stage 3)</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~2.9%¹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~3.7%</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NPL ratios for the Uzbek banks are shown on the Central Bank of Uzbekistan (CBU) regulatory basis from the CBU’s monthly NPL statistics for June 2025 — NBU approximately 2.9% and SQB approximately 3.7%, against a banking-sector average of approximately 3.8% — on which consistent basis NBU’s asset quality compares favourably with SQB and the sector. Agrobank (approximately 5.8%) and the Kazakh banks (Halyk 6.6%, Kaspi 5.7%) are shown on the IFRS Stage 3 / non-performing basis per their own disclosures, as the CBU does not separately publish their regulatory NPL. NBU’s IFRS Stage 3 ratio was 4.2% at 30 June 2025; the difference from the 2.9% regulatory figure reflects the more conservative IFRS staging definition, and the 5.6% figure cited elsewhere is NBU’s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(monthly NPL statistics, June 2025);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4"/>
          <w:szCs w:val="24"/>
        </w:rPr>
        <w:lastRenderedPageBreak/>
        <w:t>Part 3.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4"/>
          <w:szCs w:val="24"/>
        </w:rPr>
        <w:lastRenderedPageBreak/>
        <w:t>Part 4.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4"/>
          <w:szCs w:val="24"/>
        </w:rPr>
        <w:lastRenderedPageBreak/>
        <w:t>Part 5.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4"/>
          <w:szCs w:val="24"/>
        </w:rPr>
        <w:t>Part 6.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4"/>
          <w:szCs w:val="24"/>
        </w:rPr>
        <w:t>Part 7.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4"/>
          <w:szCs w:val="24"/>
        </w:rPr>
        <w:t>Part 8.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