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13A2E" w14:textId="77777777" w:rsidR="0059742E" w:rsidRDefault="00C764C0">
      <w:pPr>
        <w:spacing w:after="40"/>
      </w:pPr>
      <w:r>
        <w:rPr>
          <w:b/>
          <w:bCs/>
          <w:color w:val="1A3A5C"/>
          <w:sz w:val="32"/>
          <w:szCs w:val="32"/>
        </w:rPr>
        <w:t>JSC National Bank for Foreign Economic Activity of the Republic of Uzbekistan ("Borrower" or "NBU")</w:t>
      </w:r>
    </w:p>
    <w:p w14:paraId="21B1C490"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710DC282" w14:textId="77777777">
        <w:tc>
          <w:tcPr>
            <w:tcW w:w="2100" w:type="dxa"/>
            <w:shd w:val="clear" w:color="auto" w:fill="FFFFFF"/>
            <w:tcMar>
              <w:top w:w="40" w:type="dxa"/>
              <w:left w:w="100" w:type="dxa"/>
              <w:bottom w:w="40" w:type="dxa"/>
              <w:right w:w="100" w:type="dxa"/>
            </w:tcMar>
            <w:vAlign w:val="center"/>
          </w:tcPr>
          <w:p w14:paraId="3BCE9796"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F9A3612"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5A1955E9"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1901B1C6" w14:textId="77777777" w:rsidR="00BA183A" w:rsidRDefault="00000000">
            <w:pPr>
              <w:spacing w:before="20" w:after="20"/>
            </w:pPr>
            <w:r>
              <w:rPr>
                <w:color w:val="1A1A1A"/>
                <w:sz w:val="18"/>
                <w:szCs w:val="18"/>
              </w:rPr>
              <w:t>UZS 144.7 trillion (~USD 11.9 billion)</w:t>
            </w:r>
          </w:p>
        </w:tc>
      </w:tr>
      <w:tr w:rsidR="00BA183A" w14:paraId="19745AE4" w14:textId="77777777">
        <w:tc>
          <w:tcPr>
            <w:tcW w:w="2100" w:type="dxa"/>
            <w:shd w:val="clear" w:color="auto" w:fill="FFFFFF"/>
            <w:tcMar>
              <w:top w:w="40" w:type="dxa"/>
              <w:left w:w="100" w:type="dxa"/>
              <w:bottom w:w="40" w:type="dxa"/>
              <w:right w:w="100" w:type="dxa"/>
            </w:tcMar>
            <w:vAlign w:val="center"/>
          </w:tcPr>
          <w:p w14:paraId="37EBDD4E"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6E95B859"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00CE2553"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7F7A7F58" w14:textId="77777777" w:rsidR="00BA183A" w:rsidRDefault="00000000">
            <w:pPr>
              <w:spacing w:before="20" w:after="20"/>
            </w:pPr>
            <w:r>
              <w:rPr>
                <w:color w:val="1A1A1A"/>
                <w:sz w:val="18"/>
                <w:szCs w:val="18"/>
              </w:rPr>
              <w:t>UZS 19.97 trillion (~USD 1.64 billion)</w:t>
            </w:r>
          </w:p>
        </w:tc>
      </w:tr>
      <w:tr w:rsidR="00BA183A" w14:paraId="2CF29EE0" w14:textId="77777777">
        <w:tc>
          <w:tcPr>
            <w:tcW w:w="2100" w:type="dxa"/>
            <w:shd w:val="clear" w:color="auto" w:fill="FFFFFF"/>
            <w:tcMar>
              <w:top w:w="40" w:type="dxa"/>
              <w:left w:w="100" w:type="dxa"/>
              <w:bottom w:w="40" w:type="dxa"/>
              <w:right w:w="100" w:type="dxa"/>
            </w:tcMar>
            <w:vAlign w:val="center"/>
          </w:tcPr>
          <w:p w14:paraId="1FCFAEE0"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7D749D3D"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7DC13381"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77E1CFED" w14:textId="77777777" w:rsidR="00BA183A" w:rsidRDefault="00000000">
            <w:pPr>
              <w:spacing w:before="20" w:after="20"/>
            </w:pPr>
            <w:r>
              <w:rPr>
                <w:color w:val="1A1A1A"/>
                <w:sz w:val="18"/>
                <w:szCs w:val="18"/>
              </w:rPr>
              <w:t>Republic of Uzbekistan</w:t>
            </w:r>
          </w:p>
        </w:tc>
      </w:tr>
      <w:tr w:rsidR="00BA183A" w14:paraId="3069D729" w14:textId="77777777">
        <w:tc>
          <w:tcPr>
            <w:tcW w:w="2100" w:type="dxa"/>
            <w:shd w:val="clear" w:color="auto" w:fill="FFFFFF"/>
            <w:tcMar>
              <w:top w:w="40" w:type="dxa"/>
              <w:left w:w="100" w:type="dxa"/>
              <w:bottom w:w="40" w:type="dxa"/>
              <w:right w:w="100" w:type="dxa"/>
            </w:tcMar>
            <w:vAlign w:val="center"/>
          </w:tcPr>
          <w:p w14:paraId="72C5C0E0"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278558D9"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41AE3FE5"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54D5FD78" w14:textId="77777777" w:rsidR="00BA183A" w:rsidRDefault="00000000">
            <w:pPr>
              <w:spacing w:before="20" w:after="20"/>
            </w:pPr>
            <w:r>
              <w:rPr>
                <w:color w:val="1A1A1A"/>
                <w:sz w:val="18"/>
                <w:szCs w:val="18"/>
              </w:rPr>
              <w:t>Deloitte &amp; Touche</w:t>
            </w:r>
          </w:p>
        </w:tc>
      </w:tr>
    </w:tbl>
    <w:p w14:paraId="67700F51" w14:textId="77777777"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w:t>
      </w:r>
    </w:p>
    <w:p w14:paraId="510884F2"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495F04E4" w14:textId="77777777">
        <w:tc>
          <w:tcPr>
            <w:tcW w:w="3360" w:type="dxa"/>
            <w:shd w:val="clear" w:color="auto" w:fill="2E4057"/>
            <w:tcMar>
              <w:top w:w="40" w:type="dxa"/>
              <w:left w:w="100" w:type="dxa"/>
              <w:bottom w:w="40" w:type="dxa"/>
              <w:right w:w="100" w:type="dxa"/>
            </w:tcMar>
            <w:vAlign w:val="center"/>
          </w:tcPr>
          <w:p w14:paraId="4EE10EAE"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AFD1017" w14:textId="77777777" w:rsidR="00BA183A" w:rsidRDefault="00000000">
            <w:pPr>
              <w:spacing w:before="20" w:after="20"/>
            </w:pPr>
            <w:r>
              <w:rPr>
                <w:b/>
                <w:bCs/>
                <w:color w:val="FFFFFF"/>
                <w:sz w:val="18"/>
                <w:szCs w:val="18"/>
              </w:rPr>
              <w:t>Detail (per term sheet)</w:t>
            </w:r>
          </w:p>
        </w:tc>
      </w:tr>
      <w:tr w:rsidR="00BA183A" w14:paraId="26906985" w14:textId="77777777">
        <w:tc>
          <w:tcPr>
            <w:tcW w:w="3360" w:type="dxa"/>
            <w:shd w:val="clear" w:color="auto" w:fill="FFFFFF"/>
            <w:tcMar>
              <w:top w:w="40" w:type="dxa"/>
              <w:left w:w="100" w:type="dxa"/>
              <w:bottom w:w="40" w:type="dxa"/>
              <w:right w:w="100" w:type="dxa"/>
            </w:tcMar>
            <w:vAlign w:val="center"/>
          </w:tcPr>
          <w:p w14:paraId="5D4B840E"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3515F623"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14C9F918" w14:textId="77777777">
        <w:tc>
          <w:tcPr>
            <w:tcW w:w="3360" w:type="dxa"/>
            <w:shd w:val="clear" w:color="auto" w:fill="FFFFFF"/>
            <w:tcMar>
              <w:top w:w="40" w:type="dxa"/>
              <w:left w:w="100" w:type="dxa"/>
              <w:bottom w:w="40" w:type="dxa"/>
              <w:right w:w="100" w:type="dxa"/>
            </w:tcMar>
            <w:vAlign w:val="center"/>
          </w:tcPr>
          <w:p w14:paraId="0D2CCDC4"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0ADE7F65"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7ED613C" w14:textId="77777777">
        <w:tc>
          <w:tcPr>
            <w:tcW w:w="3360" w:type="dxa"/>
            <w:shd w:val="clear" w:color="auto" w:fill="FFFFFF"/>
            <w:tcMar>
              <w:top w:w="40" w:type="dxa"/>
              <w:left w:w="100" w:type="dxa"/>
              <w:bottom w:w="40" w:type="dxa"/>
              <w:right w:w="100" w:type="dxa"/>
            </w:tcMar>
            <w:vAlign w:val="center"/>
          </w:tcPr>
          <w:p w14:paraId="2365D86D"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152C84BF" w14:textId="77777777" w:rsidR="00BA183A" w:rsidRDefault="00000000">
            <w:pPr>
              <w:spacing w:before="20" w:after="20"/>
            </w:pPr>
            <w:r>
              <w:rPr>
                <w:color w:val="1A1A1A"/>
                <w:sz w:val="18"/>
                <w:szCs w:val="18"/>
              </w:rPr>
              <w:t>To be confirmed</w:t>
            </w:r>
          </w:p>
        </w:tc>
      </w:tr>
      <w:tr w:rsidR="00BA183A" w14:paraId="0A418D4B" w14:textId="77777777">
        <w:tc>
          <w:tcPr>
            <w:tcW w:w="3360" w:type="dxa"/>
            <w:shd w:val="clear" w:color="auto" w:fill="FFFFFF"/>
            <w:tcMar>
              <w:top w:w="40" w:type="dxa"/>
              <w:left w:w="100" w:type="dxa"/>
              <w:bottom w:w="40" w:type="dxa"/>
              <w:right w:w="100" w:type="dxa"/>
            </w:tcMar>
            <w:vAlign w:val="center"/>
          </w:tcPr>
          <w:p w14:paraId="18B83070"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6D26F2E8"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44EBBA32" w14:textId="77777777">
        <w:tc>
          <w:tcPr>
            <w:tcW w:w="3360" w:type="dxa"/>
            <w:shd w:val="clear" w:color="auto" w:fill="FFFFFF"/>
            <w:tcMar>
              <w:top w:w="40" w:type="dxa"/>
              <w:left w:w="100" w:type="dxa"/>
              <w:bottom w:w="40" w:type="dxa"/>
              <w:right w:w="100" w:type="dxa"/>
            </w:tcMar>
            <w:vAlign w:val="center"/>
          </w:tcPr>
          <w:p w14:paraId="0FD63603"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27E2DAAC" w14:textId="77777777" w:rsidR="00BA183A" w:rsidRDefault="00000000">
            <w:pPr>
              <w:spacing w:before="20" w:after="20"/>
            </w:pPr>
            <w:r>
              <w:rPr>
                <w:color w:val="1A1A1A"/>
                <w:sz w:val="18"/>
                <w:szCs w:val="18"/>
              </w:rPr>
              <w:t>Term Loan Facility; senior unsecured; documented on LMA-recommended form</w:t>
            </w:r>
          </w:p>
        </w:tc>
      </w:tr>
      <w:tr w:rsidR="00BA183A" w14:paraId="03854DEF" w14:textId="77777777">
        <w:tc>
          <w:tcPr>
            <w:tcW w:w="3360" w:type="dxa"/>
            <w:shd w:val="clear" w:color="auto" w:fill="FFFFFF"/>
            <w:tcMar>
              <w:top w:w="40" w:type="dxa"/>
              <w:left w:w="100" w:type="dxa"/>
              <w:bottom w:w="40" w:type="dxa"/>
              <w:right w:w="100" w:type="dxa"/>
            </w:tcMar>
            <w:vAlign w:val="center"/>
          </w:tcPr>
          <w:p w14:paraId="2252F57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639FC63F" w14:textId="77777777" w:rsidR="00BA183A" w:rsidRDefault="00000000">
            <w:pPr>
              <w:spacing w:before="20" w:after="20"/>
            </w:pPr>
            <w:r>
              <w:rPr>
                <w:color w:val="1A1A1A"/>
                <w:sz w:val="18"/>
                <w:szCs w:val="18"/>
              </w:rPr>
              <w:t>Up to CNH 2.0 billion (launching at CNH 1.0 billion)</w:t>
            </w:r>
          </w:p>
        </w:tc>
      </w:tr>
      <w:tr w:rsidR="00BA183A" w14:paraId="1AC3509E" w14:textId="77777777">
        <w:tc>
          <w:tcPr>
            <w:tcW w:w="3360" w:type="dxa"/>
            <w:shd w:val="clear" w:color="auto" w:fill="FFFFFF"/>
            <w:tcMar>
              <w:top w:w="40" w:type="dxa"/>
              <w:left w:w="100" w:type="dxa"/>
              <w:bottom w:w="40" w:type="dxa"/>
              <w:right w:w="100" w:type="dxa"/>
            </w:tcMar>
            <w:vAlign w:val="center"/>
          </w:tcPr>
          <w:p w14:paraId="2C0B84A5"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50EC77F8"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027F1E20" w14:textId="77777777">
        <w:tc>
          <w:tcPr>
            <w:tcW w:w="3360" w:type="dxa"/>
            <w:shd w:val="clear" w:color="auto" w:fill="FFFFFF"/>
            <w:tcMar>
              <w:top w:w="40" w:type="dxa"/>
              <w:left w:w="100" w:type="dxa"/>
              <w:bottom w:w="40" w:type="dxa"/>
              <w:right w:w="100" w:type="dxa"/>
            </w:tcMar>
            <w:vAlign w:val="center"/>
          </w:tcPr>
          <w:p w14:paraId="51F889F9"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46D207B9" w14:textId="77777777" w:rsidR="00BA183A" w:rsidRDefault="00000000">
            <w:pPr>
              <w:spacing w:before="20" w:after="20"/>
            </w:pPr>
            <w:r>
              <w:rPr>
                <w:color w:val="1A1A1A"/>
                <w:sz w:val="18"/>
                <w:szCs w:val="18"/>
              </w:rPr>
              <w:t>General corporate purposes</w:t>
            </w:r>
          </w:p>
        </w:tc>
      </w:tr>
      <w:tr w:rsidR="00BA183A" w14:paraId="0952990B" w14:textId="77777777">
        <w:tc>
          <w:tcPr>
            <w:tcW w:w="3360" w:type="dxa"/>
            <w:shd w:val="clear" w:color="auto" w:fill="FFFFFF"/>
            <w:tcMar>
              <w:top w:w="40" w:type="dxa"/>
              <w:left w:w="100" w:type="dxa"/>
              <w:bottom w:w="40" w:type="dxa"/>
              <w:right w:w="100" w:type="dxa"/>
            </w:tcMar>
            <w:vAlign w:val="center"/>
          </w:tcPr>
          <w:p w14:paraId="61B363E6" w14:textId="77777777" w:rsidR="00BA183A" w:rsidRDefault="00000000">
            <w:pPr>
              <w:spacing w:before="20" w:after="20"/>
            </w:pPr>
            <w:r>
              <w:rPr>
                <w:b/>
                <w:bCs/>
                <w:color w:val="1A1A1A"/>
                <w:sz w:val="18"/>
                <w:szCs w:val="18"/>
              </w:rPr>
              <w:t>Tenor / Maturity</w:t>
            </w:r>
          </w:p>
        </w:tc>
        <w:tc>
          <w:tcPr>
            <w:tcW w:w="6720" w:type="dxa"/>
            <w:shd w:val="clear" w:color="auto" w:fill="FFFFFF"/>
            <w:tcMar>
              <w:top w:w="40" w:type="dxa"/>
              <w:left w:w="100" w:type="dxa"/>
              <w:bottom w:w="40" w:type="dxa"/>
              <w:right w:w="100" w:type="dxa"/>
            </w:tcMar>
            <w:vAlign w:val="center"/>
          </w:tcPr>
          <w:p w14:paraId="3A0C6A30"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E7BA5D2" w14:textId="77777777">
        <w:tc>
          <w:tcPr>
            <w:tcW w:w="3360" w:type="dxa"/>
            <w:shd w:val="clear" w:color="auto" w:fill="FFFFFF"/>
            <w:tcMar>
              <w:top w:w="40" w:type="dxa"/>
              <w:left w:w="100" w:type="dxa"/>
              <w:bottom w:w="40" w:type="dxa"/>
              <w:right w:w="100" w:type="dxa"/>
            </w:tcMar>
            <w:vAlign w:val="center"/>
          </w:tcPr>
          <w:p w14:paraId="40C5FA29"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061AD575"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1D495C82" w14:textId="77777777">
        <w:tc>
          <w:tcPr>
            <w:tcW w:w="3360" w:type="dxa"/>
            <w:shd w:val="clear" w:color="auto" w:fill="FFFFFF"/>
            <w:tcMar>
              <w:top w:w="40" w:type="dxa"/>
              <w:left w:w="100" w:type="dxa"/>
              <w:bottom w:w="40" w:type="dxa"/>
              <w:right w:w="100" w:type="dxa"/>
            </w:tcMar>
            <w:vAlign w:val="center"/>
          </w:tcPr>
          <w:p w14:paraId="78954B9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1281EC0D"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16B52F30" w14:textId="77777777">
        <w:tc>
          <w:tcPr>
            <w:tcW w:w="3360" w:type="dxa"/>
            <w:shd w:val="clear" w:color="auto" w:fill="FFFFFF"/>
            <w:tcMar>
              <w:top w:w="40" w:type="dxa"/>
              <w:left w:w="100" w:type="dxa"/>
              <w:bottom w:w="40" w:type="dxa"/>
              <w:right w:w="100" w:type="dxa"/>
            </w:tcMar>
            <w:vAlign w:val="center"/>
          </w:tcPr>
          <w:p w14:paraId="226E9A08"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0817DE3B" w14:textId="77777777" w:rsidR="00BA183A" w:rsidRDefault="00000000">
            <w:pPr>
              <w:spacing w:before="20" w:after="20"/>
            </w:pPr>
            <w:r>
              <w:rPr>
                <w:color w:val="1A1A1A"/>
                <w:sz w:val="18"/>
                <w:szCs w:val="18"/>
              </w:rPr>
              <w:t>3.8% per annum</w:t>
            </w:r>
          </w:p>
        </w:tc>
      </w:tr>
      <w:tr w:rsidR="00BA183A" w14:paraId="461D037D" w14:textId="77777777">
        <w:tc>
          <w:tcPr>
            <w:tcW w:w="3360" w:type="dxa"/>
            <w:shd w:val="clear" w:color="auto" w:fill="FFFFFF"/>
            <w:tcMar>
              <w:top w:w="40" w:type="dxa"/>
              <w:left w:w="100" w:type="dxa"/>
              <w:bottom w:w="40" w:type="dxa"/>
              <w:right w:w="100" w:type="dxa"/>
            </w:tcMar>
            <w:vAlign w:val="center"/>
          </w:tcPr>
          <w:p w14:paraId="3FE00F4B" w14:textId="77777777" w:rsidR="00BA183A" w:rsidRDefault="00000000">
            <w:pPr>
              <w:spacing w:before="20" w:after="20"/>
            </w:pPr>
            <w:r>
              <w:rPr>
                <w:b/>
                <w:bCs/>
                <w:color w:val="1A1A1A"/>
                <w:sz w:val="18"/>
                <w:szCs w:val="18"/>
              </w:rPr>
              <w:lastRenderedPageBreak/>
              <w:t>Upfront Fee</w:t>
            </w:r>
          </w:p>
        </w:tc>
        <w:tc>
          <w:tcPr>
            <w:tcW w:w="6720" w:type="dxa"/>
            <w:shd w:val="clear" w:color="auto" w:fill="FFFFFF"/>
            <w:tcMar>
              <w:top w:w="40" w:type="dxa"/>
              <w:left w:w="100" w:type="dxa"/>
              <w:bottom w:w="40" w:type="dxa"/>
              <w:right w:w="100" w:type="dxa"/>
            </w:tcMar>
            <w:vAlign w:val="center"/>
          </w:tcPr>
          <w:p w14:paraId="11B77555" w14:textId="77777777" w:rsidR="00BA183A" w:rsidRDefault="00000000">
            <w:pPr>
              <w:spacing w:before="20" w:after="20"/>
            </w:pPr>
            <w:r>
              <w:rPr>
                <w:color w:val="1A1A1A"/>
                <w:sz w:val="18"/>
                <w:szCs w:val="18"/>
              </w:rPr>
              <w:t>0.6% flat, calculated on the total facility amount</w:t>
            </w:r>
          </w:p>
        </w:tc>
      </w:tr>
      <w:tr w:rsidR="00BA183A" w14:paraId="2171DB73" w14:textId="77777777">
        <w:tc>
          <w:tcPr>
            <w:tcW w:w="3360" w:type="dxa"/>
            <w:shd w:val="clear" w:color="auto" w:fill="FFFFFF"/>
            <w:tcMar>
              <w:top w:w="40" w:type="dxa"/>
              <w:left w:w="100" w:type="dxa"/>
              <w:bottom w:w="40" w:type="dxa"/>
              <w:right w:w="100" w:type="dxa"/>
            </w:tcMar>
            <w:vAlign w:val="center"/>
          </w:tcPr>
          <w:p w14:paraId="621BA26F"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3355DD" w14:textId="77777777" w:rsidR="00BA183A" w:rsidRDefault="00000000">
            <w:pPr>
              <w:spacing w:before="20" w:after="20"/>
            </w:pPr>
            <w:r>
              <w:rPr>
                <w:color w:val="1A1A1A"/>
                <w:sz w:val="18"/>
                <w:szCs w:val="18"/>
              </w:rPr>
              <w:t>6 months (or as mutually agreed); actual/360</w:t>
            </w:r>
          </w:p>
        </w:tc>
      </w:tr>
      <w:tr w:rsidR="00BA183A" w14:paraId="4AA52F83" w14:textId="77777777">
        <w:tc>
          <w:tcPr>
            <w:tcW w:w="3360" w:type="dxa"/>
            <w:shd w:val="clear" w:color="auto" w:fill="FFFFFF"/>
            <w:tcMar>
              <w:top w:w="40" w:type="dxa"/>
              <w:left w:w="100" w:type="dxa"/>
              <w:bottom w:w="40" w:type="dxa"/>
              <w:right w:w="100" w:type="dxa"/>
            </w:tcMar>
            <w:vAlign w:val="center"/>
          </w:tcPr>
          <w:p w14:paraId="27FC8E4A"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1EEB799D" w14:textId="77777777" w:rsidR="00BA183A" w:rsidRDefault="00000000">
            <w:pPr>
              <w:spacing w:before="20" w:after="20"/>
            </w:pPr>
            <w:r>
              <w:rPr>
                <w:color w:val="1A1A1A"/>
                <w:sz w:val="18"/>
                <w:szCs w:val="18"/>
              </w:rPr>
              <w:t>2% per annum above the applicable rate</w:t>
            </w:r>
          </w:p>
        </w:tc>
      </w:tr>
      <w:tr w:rsidR="00BA183A" w14:paraId="257E8129" w14:textId="77777777">
        <w:tc>
          <w:tcPr>
            <w:tcW w:w="3360" w:type="dxa"/>
            <w:shd w:val="clear" w:color="auto" w:fill="FFFFFF"/>
            <w:tcMar>
              <w:top w:w="40" w:type="dxa"/>
              <w:left w:w="100" w:type="dxa"/>
              <w:bottom w:w="40" w:type="dxa"/>
              <w:right w:w="100" w:type="dxa"/>
            </w:tcMar>
            <w:vAlign w:val="center"/>
          </w:tcPr>
          <w:p w14:paraId="3E1C8643"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75791BA"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3F9E1C0A" w14:textId="77777777">
        <w:tc>
          <w:tcPr>
            <w:tcW w:w="3360" w:type="dxa"/>
            <w:shd w:val="clear" w:color="auto" w:fill="FFFFFF"/>
            <w:tcMar>
              <w:top w:w="40" w:type="dxa"/>
              <w:left w:w="100" w:type="dxa"/>
              <w:bottom w:w="40" w:type="dxa"/>
              <w:right w:w="100" w:type="dxa"/>
            </w:tcMar>
            <w:vAlign w:val="center"/>
          </w:tcPr>
          <w:p w14:paraId="012DCDA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55372548"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74F298E9" w14:textId="77777777">
        <w:tc>
          <w:tcPr>
            <w:tcW w:w="3360" w:type="dxa"/>
            <w:shd w:val="clear" w:color="auto" w:fill="FFFFFF"/>
            <w:tcMar>
              <w:top w:w="40" w:type="dxa"/>
              <w:left w:w="100" w:type="dxa"/>
              <w:bottom w:w="40" w:type="dxa"/>
              <w:right w:w="100" w:type="dxa"/>
            </w:tcMar>
            <w:vAlign w:val="center"/>
          </w:tcPr>
          <w:p w14:paraId="2FA68B9E"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2346FA07" w14:textId="77777777" w:rsidR="00BA183A" w:rsidRDefault="00000000">
            <w:pPr>
              <w:spacing w:before="20" w:after="20"/>
            </w:pPr>
            <w:r>
              <w:rPr>
                <w:color w:val="1A1A1A"/>
                <w:sz w:val="18"/>
                <w:szCs w:val="18"/>
              </w:rPr>
              <w:t>English law; courts of England (exclusive, with an enforcement carve-out)</w:t>
            </w:r>
          </w:p>
        </w:tc>
      </w:tr>
    </w:tbl>
    <w:p w14:paraId="19E10F98" w14:textId="77777777" w:rsidR="00BA183A" w:rsidRDefault="00000000">
      <w:pPr>
        <w:spacing w:before="80" w:after="120"/>
      </w:pPr>
      <w:r>
        <w:rPr>
          <w:color w:val="1A1A1A"/>
        </w:rPr>
        <w:t>ICBC (DIFC Branch)'s participation is proposed at CNH 300 million, subject to FID approval, and is within the maximum supportable limit assessed in Section 6 (USD 51.4 million). The economics of the proposed participation are set out in Section 8 (Cost-Income Analysis), and the credit terms, financial covenants and risk mitigants in Section 7.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6A1FF1E3" w14:textId="77777777" w:rsidR="0059742E" w:rsidRDefault="00C764C0">
      <w:pPr>
        <w:spacing w:before="280" w:after="120"/>
      </w:pPr>
      <w:r>
        <w:rPr>
          <w:b/>
          <w:bCs/>
          <w:color w:val="1A3A5C"/>
          <w:sz w:val="26"/>
          <w:szCs w:val="26"/>
        </w:rPr>
        <w:t>Part 1 - Overall Evaluation of Customer</w:t>
      </w:r>
    </w:p>
    <w:p w14:paraId="668F9017"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3C15E74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C97C183"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E77B6E"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F7717AE"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D45D8E" w14:textId="77777777" w:rsidR="0059742E" w:rsidRPr="00697AFE" w:rsidRDefault="00C764C0">
            <w:r>
              <w:rPr>
                <w:sz w:val="18"/>
                <w:szCs w:val="18"/>
              </w:rPr>
              <w:t>UZS 144.7 trillion (~USD 11.9 billion)</w:t>
            </w:r>
          </w:p>
        </w:tc>
      </w:tr>
      <w:tr w:rsidR="0059742E" w:rsidRPr="00697AFE" w14:paraId="381D0DEC"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566EB4"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1E1B60D"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B11CF36"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473731" w14:textId="77777777" w:rsidR="0059742E" w:rsidRPr="00697AFE" w:rsidRDefault="00C764C0">
            <w:r>
              <w:rPr>
                <w:sz w:val="18"/>
                <w:szCs w:val="18"/>
              </w:rPr>
              <w:t>UZS 19.97 trillion (~USD 1.64 billion)</w:t>
            </w:r>
          </w:p>
        </w:tc>
      </w:tr>
      <w:tr w:rsidR="0059742E" w:rsidRPr="00697AFE" w14:paraId="44D7914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DABD646"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48167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C92C7AB"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02CF4D" w14:textId="77777777" w:rsidR="0059742E" w:rsidRPr="00697AFE" w:rsidRDefault="00C764C0">
            <w:r>
              <w:rPr>
                <w:sz w:val="18"/>
                <w:szCs w:val="18"/>
              </w:rPr>
              <w:t>Republic of Uzbekistan</w:t>
            </w:r>
          </w:p>
        </w:tc>
      </w:tr>
      <w:tr w:rsidR="0059742E" w:rsidRPr="00697AFE" w14:paraId="4F83FC7D"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CECC4CF" w14:textId="77777777" w:rsidR="0059742E" w:rsidRPr="00697AFE" w:rsidRDefault="00C764C0">
            <w:pPr>
              <w:jc w:val="center"/>
            </w:pPr>
            <w:r>
              <w:rPr>
                <w:b/>
                <w:bCs/>
                <w:sz w:val="18"/>
                <w:szCs w:val="18"/>
              </w:rPr>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46EA47"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967EA9"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985DD34" w14:textId="77777777" w:rsidR="0059742E" w:rsidRPr="00697AFE" w:rsidRDefault="00C764C0">
            <w:r>
              <w:rPr>
                <w:sz w:val="18"/>
                <w:szCs w:val="18"/>
              </w:rPr>
              <w:t>Deloitte &amp; Touche</w:t>
            </w:r>
          </w:p>
        </w:tc>
      </w:tr>
    </w:tbl>
    <w:p w14:paraId="157A3722" w14:textId="77777777" w:rsidR="0059742E" w:rsidRDefault="00C764C0">
      <w:pPr>
        <w:spacing w:before="60" w:after="60"/>
      </w:pPr>
      <w:r>
        <w:rPr>
          <w:i/>
          <w:iCs/>
          <w:color w:val="777777"/>
          <w:sz w:val="16"/>
          <w:szCs w:val="16"/>
        </w:rPr>
        <w:t>USD/UZS = 12,150 (as of April 2026)</w:t>
      </w:r>
    </w:p>
    <w:p w14:paraId="0CA1C02A"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3455B033"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4B18E534" w14:textId="77777777">
        <w:tc>
          <w:tcPr>
            <w:tcW w:w="5180" w:type="dxa"/>
            <w:shd w:val="clear" w:color="auto" w:fill="2E4057"/>
            <w:tcMar>
              <w:top w:w="40" w:type="dxa"/>
              <w:left w:w="100" w:type="dxa"/>
              <w:bottom w:w="40" w:type="dxa"/>
              <w:right w:w="100" w:type="dxa"/>
            </w:tcMar>
            <w:vAlign w:val="center"/>
          </w:tcPr>
          <w:p w14:paraId="56555D0F"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23DFDBB2"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5DFC0DE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29AF7499" w14:textId="77777777" w:rsidR="003B07C8" w:rsidRDefault="00000000">
            <w:pPr>
              <w:spacing w:before="20" w:after="20"/>
              <w:jc w:val="right"/>
            </w:pPr>
            <w:r>
              <w:rPr>
                <w:b/>
                <w:bCs/>
                <w:color w:val="FFFFFF"/>
                <w:sz w:val="18"/>
                <w:szCs w:val="18"/>
              </w:rPr>
              <w:t>Holding</w:t>
            </w:r>
          </w:p>
        </w:tc>
      </w:tr>
      <w:tr w:rsidR="003B07C8" w14:paraId="269186C2" w14:textId="77777777">
        <w:tc>
          <w:tcPr>
            <w:tcW w:w="5180" w:type="dxa"/>
            <w:shd w:val="clear" w:color="auto" w:fill="FFFFFF"/>
            <w:tcMar>
              <w:top w:w="40" w:type="dxa"/>
              <w:left w:w="100" w:type="dxa"/>
              <w:bottom w:w="40" w:type="dxa"/>
              <w:right w:w="100" w:type="dxa"/>
            </w:tcMar>
            <w:vAlign w:val="center"/>
          </w:tcPr>
          <w:p w14:paraId="151DCAA5"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32F3CBBF"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DDC33E1"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13BF223F" w14:textId="77777777" w:rsidR="003B07C8" w:rsidRDefault="00000000">
            <w:pPr>
              <w:spacing w:before="20" w:after="20"/>
              <w:jc w:val="right"/>
            </w:pPr>
            <w:r>
              <w:rPr>
                <w:b/>
                <w:bCs/>
                <w:color w:val="1A1A1A"/>
                <w:sz w:val="18"/>
                <w:szCs w:val="18"/>
              </w:rPr>
              <w:t>61.86%</w:t>
            </w:r>
          </w:p>
        </w:tc>
      </w:tr>
      <w:tr w:rsidR="003B07C8" w14:paraId="17CD82A0" w14:textId="77777777">
        <w:tc>
          <w:tcPr>
            <w:tcW w:w="5180" w:type="dxa"/>
            <w:shd w:val="clear" w:color="auto" w:fill="FFFFFF"/>
            <w:tcMar>
              <w:top w:w="40" w:type="dxa"/>
              <w:left w:w="100" w:type="dxa"/>
              <w:bottom w:w="40" w:type="dxa"/>
              <w:right w:w="100" w:type="dxa"/>
            </w:tcMar>
            <w:vAlign w:val="center"/>
          </w:tcPr>
          <w:p w14:paraId="37EB78F9"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5F8CC0A5"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35C77221"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3F721CF4" w14:textId="77777777" w:rsidR="003B07C8" w:rsidRDefault="00000000">
            <w:pPr>
              <w:spacing w:before="20" w:after="20"/>
              <w:jc w:val="right"/>
            </w:pPr>
            <w:r>
              <w:rPr>
                <w:b/>
                <w:bCs/>
                <w:color w:val="1A1A1A"/>
                <w:sz w:val="18"/>
                <w:szCs w:val="18"/>
              </w:rPr>
              <w:t>38.14%</w:t>
            </w:r>
          </w:p>
        </w:tc>
      </w:tr>
      <w:tr w:rsidR="003B07C8" w14:paraId="71F156AB" w14:textId="77777777">
        <w:tc>
          <w:tcPr>
            <w:tcW w:w="5180" w:type="dxa"/>
            <w:shd w:val="clear" w:color="auto" w:fill="DCE6F1"/>
            <w:tcMar>
              <w:top w:w="40" w:type="dxa"/>
              <w:left w:w="100" w:type="dxa"/>
              <w:bottom w:w="40" w:type="dxa"/>
              <w:right w:w="100" w:type="dxa"/>
            </w:tcMar>
            <w:vAlign w:val="center"/>
          </w:tcPr>
          <w:p w14:paraId="421900A1"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5439E56C"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4C233E45"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7F18B554" w14:textId="77777777" w:rsidR="003B07C8" w:rsidRDefault="00000000">
            <w:pPr>
              <w:spacing w:before="20" w:after="20"/>
              <w:jc w:val="right"/>
            </w:pPr>
            <w:r>
              <w:rPr>
                <w:b/>
                <w:bCs/>
                <w:color w:val="1A1A1A"/>
                <w:sz w:val="18"/>
                <w:szCs w:val="18"/>
              </w:rPr>
              <w:t>100.00%</w:t>
            </w:r>
          </w:p>
        </w:tc>
      </w:tr>
    </w:tbl>
    <w:p w14:paraId="5296C166"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7C8659D1" w14:textId="77777777" w:rsidR="0059742E" w:rsidRDefault="00C764C0">
      <w:pPr>
        <w:spacing w:before="60" w:after="80"/>
      </w:pPr>
      <w:r>
        <w:rPr>
          <w:color w:val="1A1A1A"/>
        </w:rPr>
        <w:lastRenderedPageBreak/>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4930991E"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686EE6D8"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19AC93C"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2A26B15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296DB5A4"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70DE168D"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31409BC"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02C63FC0" w14:textId="77777777" w:rsidR="003B07C8" w:rsidRDefault="00000000">
      <w:pPr>
        <w:pBdr>
          <w:bottom w:val="single" w:sz="4" w:space="2" w:color="2E6DA4"/>
        </w:pBdr>
        <w:spacing w:before="200" w:after="80"/>
      </w:pPr>
      <w:r>
        <w:rPr>
          <w:b/>
          <w:bCs/>
          <w:color w:val="2E6DA4"/>
          <w:sz w:val="22"/>
          <w:szCs w:val="22"/>
        </w:rPr>
        <w:t>1.2 Shareholders</w:t>
      </w:r>
    </w:p>
    <w:p w14:paraId="0A88630C"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2D4C82FA" w14:textId="77777777" w:rsidR="003B07C8" w:rsidRDefault="00000000">
      <w:pPr>
        <w:spacing w:before="60" w:after="80"/>
      </w:pPr>
      <w:r>
        <w:rPr>
          <w:color w:val="1A1A1A"/>
        </w:rPr>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6B498374"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7E44F781" w14:textId="77777777" w:rsidR="003B07C8" w:rsidRDefault="00000000">
      <w:pPr>
        <w:pBdr>
          <w:bottom w:val="single" w:sz="4" w:space="2" w:color="2E6DA4"/>
        </w:pBdr>
        <w:spacing w:before="200" w:after="80"/>
      </w:pPr>
      <w:r>
        <w:rPr>
          <w:b/>
          <w:bCs/>
          <w:color w:val="2E6DA4"/>
          <w:sz w:val="22"/>
          <w:szCs w:val="22"/>
        </w:rPr>
        <w:t>1.3 Subsidiary List</w:t>
      </w:r>
    </w:p>
    <w:p w14:paraId="36D809EC"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619CB9C8" w14:textId="77777777">
        <w:tc>
          <w:tcPr>
            <w:tcW w:w="3050" w:type="dxa"/>
            <w:shd w:val="clear" w:color="auto" w:fill="2E4057"/>
            <w:tcMar>
              <w:top w:w="40" w:type="dxa"/>
              <w:left w:w="100" w:type="dxa"/>
              <w:bottom w:w="40" w:type="dxa"/>
              <w:right w:w="100" w:type="dxa"/>
            </w:tcMar>
            <w:vAlign w:val="center"/>
          </w:tcPr>
          <w:p w14:paraId="19017888"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879AC0E"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1ECA8D33"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5B979785" w14:textId="77777777" w:rsidR="003B07C8" w:rsidRDefault="00000000">
            <w:pPr>
              <w:spacing w:before="20" w:after="20"/>
            </w:pPr>
            <w:r>
              <w:rPr>
                <w:b/>
                <w:bCs/>
                <w:color w:val="FFFFFF"/>
                <w:sz w:val="18"/>
                <w:szCs w:val="18"/>
              </w:rPr>
              <w:t>Notes / basis</w:t>
            </w:r>
          </w:p>
        </w:tc>
      </w:tr>
      <w:tr w:rsidR="003B07C8" w14:paraId="39034EC8" w14:textId="77777777">
        <w:tc>
          <w:tcPr>
            <w:tcW w:w="3050" w:type="dxa"/>
            <w:shd w:val="clear" w:color="auto" w:fill="FFFFFF"/>
            <w:tcMar>
              <w:top w:w="40" w:type="dxa"/>
              <w:left w:w="100" w:type="dxa"/>
              <w:bottom w:w="40" w:type="dxa"/>
              <w:right w:w="100" w:type="dxa"/>
            </w:tcMar>
            <w:vAlign w:val="center"/>
          </w:tcPr>
          <w:p w14:paraId="54902025" w14:textId="77777777" w:rsidR="003B07C8" w:rsidRDefault="00000000">
            <w:pPr>
              <w:spacing w:before="20" w:after="20"/>
            </w:pPr>
            <w:r>
              <w:rPr>
                <w:color w:val="1A1A1A"/>
                <w:sz w:val="18"/>
                <w:szCs w:val="18"/>
              </w:rPr>
              <w:lastRenderedPageBreak/>
              <w:t>NBU Invest Group LLC</w:t>
            </w:r>
          </w:p>
        </w:tc>
        <w:tc>
          <w:tcPr>
            <w:tcW w:w="3050" w:type="dxa"/>
            <w:shd w:val="clear" w:color="auto" w:fill="FFFFFF"/>
            <w:tcMar>
              <w:top w:w="40" w:type="dxa"/>
              <w:left w:w="100" w:type="dxa"/>
              <w:bottom w:w="40" w:type="dxa"/>
              <w:right w:w="100" w:type="dxa"/>
            </w:tcMar>
            <w:vAlign w:val="center"/>
          </w:tcPr>
          <w:p w14:paraId="382E1A43"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5BB2489E"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6198ABCA" w14:textId="77777777" w:rsidR="003B07C8" w:rsidRDefault="00000000">
            <w:pPr>
              <w:spacing w:before="20" w:after="20"/>
            </w:pPr>
            <w:r>
              <w:rPr>
                <w:color w:val="1A1A1A"/>
                <w:sz w:val="18"/>
                <w:szCs w:val="18"/>
              </w:rPr>
              <w:t>Manages stakes in priority sectors (textiles, construction materials, agriculture, etc.)</w:t>
            </w:r>
          </w:p>
        </w:tc>
      </w:tr>
      <w:tr w:rsidR="003B07C8" w14:paraId="4B142E19" w14:textId="77777777">
        <w:tc>
          <w:tcPr>
            <w:tcW w:w="3050" w:type="dxa"/>
            <w:shd w:val="clear" w:color="auto" w:fill="FFFFFF"/>
            <w:tcMar>
              <w:top w:w="40" w:type="dxa"/>
              <w:left w:w="100" w:type="dxa"/>
              <w:bottom w:w="40" w:type="dxa"/>
              <w:right w:w="100" w:type="dxa"/>
            </w:tcMar>
            <w:vAlign w:val="center"/>
          </w:tcPr>
          <w:p w14:paraId="4EF225CC"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3AA0E677"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49B63786"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6E7CF6C7" w14:textId="77777777" w:rsidR="003B07C8" w:rsidRDefault="00000000">
            <w:pPr>
              <w:spacing w:before="20" w:after="20"/>
            </w:pPr>
            <w:r>
              <w:rPr>
                <w:color w:val="1A1A1A"/>
                <w:sz w:val="18"/>
                <w:szCs w:val="18"/>
              </w:rPr>
              <w:t>Associate; co-shareholders Uzbek-Oman Investment Co. (44.1%) and Maybank (10.4%) (IFC, 2022)</w:t>
            </w:r>
          </w:p>
        </w:tc>
      </w:tr>
      <w:tr w:rsidR="003B07C8" w14:paraId="61D498F1" w14:textId="77777777">
        <w:tc>
          <w:tcPr>
            <w:tcW w:w="3050" w:type="dxa"/>
            <w:shd w:val="clear" w:color="auto" w:fill="FFFFFF"/>
            <w:tcMar>
              <w:top w:w="40" w:type="dxa"/>
              <w:left w:w="100" w:type="dxa"/>
              <w:bottom w:w="40" w:type="dxa"/>
              <w:right w:w="100" w:type="dxa"/>
            </w:tcMar>
            <w:vAlign w:val="center"/>
          </w:tcPr>
          <w:p w14:paraId="60394E05"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117306F6"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04DEC97D"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71E463C6" w14:textId="77777777" w:rsidR="003B07C8" w:rsidRDefault="00000000">
            <w:pPr>
              <w:spacing w:before="20" w:after="20"/>
            </w:pPr>
            <w:r>
              <w:rPr>
                <w:color w:val="1A1A1A"/>
                <w:sz w:val="18"/>
                <w:szCs w:val="18"/>
              </w:rPr>
              <w:t>Held and managed via NBU Invest Group; consolidated where controlled</w:t>
            </w:r>
          </w:p>
        </w:tc>
      </w:tr>
    </w:tbl>
    <w:p w14:paraId="33FC32B0"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rsidR="003B07C8" w:rsidRDefault="00000000">
      <w:pPr>
        <w:pBdr>
          <w:bottom w:val="single" w:sz="4" w:space="2" w:color="2E6DA4"/>
        </w:pBdr>
        <w:spacing w:before="200" w:after="80"/>
      </w:pPr>
      <w:r>
        <w:rPr>
          <w:b/>
          <w:bCs/>
          <w:color w:val="2E6DA4"/>
          <w:sz w:val="22"/>
          <w:szCs w:val="22"/>
        </w:rPr>
        <w:t>1.4 Client Management and Transaction Structure</w:t>
      </w:r>
    </w:p>
    <w:p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Detail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ICBC Almaty Branch is the client management branch for NBU.</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sA+ (pending final approval); valid for one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CNH 500 million in aggregate — ICBC Almaty Branch CNH 100 million, ICBC (Asia) CNH 100 million and ICBC (Dubai) CNH 300 million.</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Intra-banking (inter-bank) credit.</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1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Nil (CNH 0).</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Yes, upon approval.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Not expected.</w:t>
            </w:r>
          </w:p>
        </w:tc>
      </w:tr>
    </w:tbl>
    <w:p w14:paraId="6D315B4F" w14:textId="77777777" w:rsidR="0059742E" w:rsidRDefault="00C764C0">
      <w:r>
        <w:br w:type="page"/>
      </w:r>
    </w:p>
    <w:p w14:paraId="1988C995" w14:textId="77777777" w:rsidR="0059742E" w:rsidRDefault="00C764C0">
      <w:pPr>
        <w:spacing w:before="280" w:after="120"/>
      </w:pPr>
      <w:r>
        <w:rPr>
          <w:b/>
          <w:bCs/>
          <w:color w:val="1A3A5C"/>
          <w:sz w:val="26"/>
          <w:szCs w:val="26"/>
        </w:rPr>
        <w:lastRenderedPageBreak/>
        <w:t>Part 2 - Evaluation and Financial Position</w:t>
      </w:r>
    </w:p>
    <w:p w14:paraId="2FAA118D" w14:textId="77777777" w:rsidR="0059742E" w:rsidRDefault="00C764C0">
      <w:pPr>
        <w:pBdr>
          <w:bottom w:val="single" w:sz="4" w:space="2" w:color="2E6DA4"/>
        </w:pBdr>
        <w:spacing w:before="200" w:after="80"/>
      </w:pPr>
      <w:r>
        <w:rPr>
          <w:b/>
          <w:bCs/>
          <w:color w:val="2E6DA4"/>
          <w:sz w:val="22"/>
          <w:szCs w:val="22"/>
        </w:rPr>
        <w:t>2.1 Financial Situation</w:t>
      </w:r>
    </w:p>
    <w:p w14:paraId="2A701F72"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2A732E5C" w14:textId="77777777" w:rsidR="00BA183A" w:rsidRDefault="00000000">
      <w:pPr>
        <w:spacing w:before="180" w:after="60"/>
      </w:pPr>
      <w:r>
        <w:rPr>
          <w:b/>
          <w:bCs/>
          <w:color w:val="2E6DA4"/>
        </w:rPr>
        <w:t>Interim IFRS Financial Statements (Reviewed, H1 2025)</w:t>
      </w:r>
    </w:p>
    <w:p w14:paraId="1FC64003"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13927C99"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5178986E" w14:textId="77777777">
        <w:tc>
          <w:tcPr>
            <w:tcW w:w="4320" w:type="dxa"/>
            <w:shd w:val="clear" w:color="auto" w:fill="2E4057"/>
            <w:tcMar>
              <w:top w:w="40" w:type="dxa"/>
              <w:left w:w="100" w:type="dxa"/>
              <w:bottom w:w="40" w:type="dxa"/>
              <w:right w:w="100" w:type="dxa"/>
            </w:tcMar>
            <w:vAlign w:val="center"/>
          </w:tcPr>
          <w:p w14:paraId="75C2B453"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498CBD94"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3751A01F"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31 Dec 2023</w:t>
            </w:r>
          </w:p>
        </w:tc>
      </w:tr>
      <w:tr w:rsidR="00BA183A" w14:paraId="3AEADA05" w14:textId="77777777">
        <w:tc>
          <w:tcPr>
            <w:tcW w:w="10080" w:type="dxa"/>
            <w:gridSpan w:val="4"/>
            <w:shd w:val="clear" w:color="auto" w:fill="EDF2F7"/>
            <w:tcMar>
              <w:top w:w="40" w:type="dxa"/>
              <w:left w:w="100" w:type="dxa"/>
              <w:bottom w:w="40" w:type="dxa"/>
              <w:right w:w="100" w:type="dxa"/>
            </w:tcMar>
            <w:vAlign w:val="center"/>
          </w:tcPr>
          <w:p w14:paraId="1A7CA5A1" w14:textId="77777777" w:rsidR="00BA183A" w:rsidRDefault="00000000">
            <w:pPr>
              <w:spacing w:before="20" w:after="20"/>
            </w:pPr>
            <w:r>
              <w:rPr>
                <w:b/>
                <w:bCs/>
                <w:color w:val="1A3A5C"/>
                <w:sz w:val="18"/>
                <w:szCs w:val="18"/>
              </w:rPr>
              <w:t>ASSETS</w:t>
            </w:r>
          </w:p>
        </w:tc>
      </w:tr>
      <w:tr w:rsidR="00BA183A" w14:paraId="382AE40A" w14:textId="77777777">
        <w:tc>
          <w:tcPr>
            <w:tcW w:w="4320" w:type="dxa"/>
            <w:shd w:val="clear" w:color="auto" w:fill="FFFFFF"/>
            <w:tcMar>
              <w:top w:w="40" w:type="dxa"/>
              <w:left w:w="100" w:type="dxa"/>
              <w:bottom w:w="40" w:type="dxa"/>
              <w:right w:w="100" w:type="dxa"/>
            </w:tcMar>
            <w:vAlign w:val="center"/>
          </w:tcPr>
          <w:p w14:paraId="5EBAC50F"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3E26C916"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0FD1566"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14,377,483</w:t>
            </w:r>
          </w:p>
        </w:tc>
      </w:tr>
      <w:tr w:rsidR="00BA183A" w14:paraId="32B84908" w14:textId="77777777">
        <w:tc>
          <w:tcPr>
            <w:tcW w:w="4320" w:type="dxa"/>
            <w:shd w:val="clear" w:color="auto" w:fill="FFFFFF"/>
            <w:tcMar>
              <w:top w:w="40" w:type="dxa"/>
              <w:left w:w="100" w:type="dxa"/>
              <w:bottom w:w="40" w:type="dxa"/>
              <w:right w:w="100" w:type="dxa"/>
            </w:tcMar>
            <w:vAlign w:val="center"/>
          </w:tcPr>
          <w:p w14:paraId="607B2261"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6EE2DFC4"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10AF5E10"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6,943,790</w:t>
            </w:r>
          </w:p>
        </w:tc>
      </w:tr>
      <w:tr w:rsidR="00BA183A" w14:paraId="06241E16" w14:textId="77777777">
        <w:tc>
          <w:tcPr>
            <w:tcW w:w="4320" w:type="dxa"/>
            <w:shd w:val="clear" w:color="auto" w:fill="FFFFFF"/>
            <w:tcMar>
              <w:top w:w="40" w:type="dxa"/>
              <w:left w:w="100" w:type="dxa"/>
              <w:bottom w:w="40" w:type="dxa"/>
              <w:right w:w="100" w:type="dxa"/>
            </w:tcMar>
            <w:vAlign w:val="center"/>
          </w:tcPr>
          <w:p w14:paraId="62D67ABE"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592FA5C3"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13F70268"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94,783,232</w:t>
            </w:r>
          </w:p>
        </w:tc>
      </w:tr>
      <w:tr w:rsidR="00BA183A" w14:paraId="1F37B3AF" w14:textId="77777777">
        <w:tc>
          <w:tcPr>
            <w:tcW w:w="4320" w:type="dxa"/>
            <w:shd w:val="clear" w:color="auto" w:fill="FFFFFF"/>
            <w:tcMar>
              <w:top w:w="40" w:type="dxa"/>
              <w:left w:w="100" w:type="dxa"/>
              <w:bottom w:w="40" w:type="dxa"/>
              <w:right w:w="100" w:type="dxa"/>
            </w:tcMar>
            <w:vAlign w:val="center"/>
          </w:tcPr>
          <w:p w14:paraId="32A2DE5A"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2D38EA8E"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7B8B047A"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7,140,848</w:t>
            </w:r>
          </w:p>
        </w:tc>
      </w:tr>
      <w:tr w:rsidR="00BA183A" w14:paraId="62982CD5" w14:textId="77777777">
        <w:tc>
          <w:tcPr>
            <w:tcW w:w="4320" w:type="dxa"/>
            <w:shd w:val="clear" w:color="auto" w:fill="FFFFFF"/>
            <w:tcMar>
              <w:top w:w="40" w:type="dxa"/>
              <w:left w:w="100" w:type="dxa"/>
              <w:bottom w:w="40" w:type="dxa"/>
              <w:right w:w="100" w:type="dxa"/>
            </w:tcMar>
            <w:vAlign w:val="center"/>
          </w:tcPr>
          <w:p w14:paraId="36F501B0"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704E90DB"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11180C2F"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3,244,053</w:t>
            </w:r>
          </w:p>
        </w:tc>
      </w:tr>
      <w:tr w:rsidR="00BA183A" w14:paraId="729E13D9" w14:textId="77777777">
        <w:tc>
          <w:tcPr>
            <w:tcW w:w="4320" w:type="dxa"/>
            <w:shd w:val="clear" w:color="auto" w:fill="FFFFFF"/>
            <w:tcMar>
              <w:top w:w="40" w:type="dxa"/>
              <w:left w:w="100" w:type="dxa"/>
              <w:bottom w:w="40" w:type="dxa"/>
              <w:right w:w="100" w:type="dxa"/>
            </w:tcMar>
            <w:vAlign w:val="center"/>
          </w:tcPr>
          <w:p w14:paraId="02FCC558"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362B6BE7"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3AD759D5"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126,489,406</w:t>
            </w:r>
          </w:p>
        </w:tc>
      </w:tr>
      <w:tr w:rsidR="00BA183A" w14:paraId="17B95237" w14:textId="77777777">
        <w:tc>
          <w:tcPr>
            <w:tcW w:w="10080" w:type="dxa"/>
            <w:gridSpan w:val="4"/>
            <w:shd w:val="clear" w:color="auto" w:fill="EDF2F7"/>
            <w:tcMar>
              <w:top w:w="40" w:type="dxa"/>
              <w:left w:w="100" w:type="dxa"/>
              <w:bottom w:w="40" w:type="dxa"/>
              <w:right w:w="100" w:type="dxa"/>
            </w:tcMar>
            <w:vAlign w:val="center"/>
          </w:tcPr>
          <w:p w14:paraId="356C5302" w14:textId="77777777" w:rsidR="00BA183A" w:rsidRDefault="00000000">
            <w:pPr>
              <w:spacing w:before="20" w:after="20"/>
            </w:pPr>
            <w:r>
              <w:rPr>
                <w:b/>
                <w:bCs/>
                <w:color w:val="1A3A5C"/>
                <w:sz w:val="18"/>
                <w:szCs w:val="18"/>
              </w:rPr>
              <w:t>LIABILITIES</w:t>
            </w:r>
          </w:p>
        </w:tc>
      </w:tr>
      <w:tr w:rsidR="00BA183A" w14:paraId="3A6621F5" w14:textId="77777777">
        <w:tc>
          <w:tcPr>
            <w:tcW w:w="4320" w:type="dxa"/>
            <w:shd w:val="clear" w:color="auto" w:fill="FFFFFF"/>
            <w:tcMar>
              <w:top w:w="40" w:type="dxa"/>
              <w:left w:w="100" w:type="dxa"/>
              <w:bottom w:w="40" w:type="dxa"/>
              <w:right w:w="100" w:type="dxa"/>
            </w:tcMar>
            <w:vAlign w:val="center"/>
          </w:tcPr>
          <w:p w14:paraId="3B93BD54"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2DD325F2"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8637402"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1,045,549</w:t>
            </w:r>
          </w:p>
        </w:tc>
      </w:tr>
      <w:tr w:rsidR="00BA183A" w14:paraId="1FF26BF4" w14:textId="77777777">
        <w:tc>
          <w:tcPr>
            <w:tcW w:w="4320" w:type="dxa"/>
            <w:shd w:val="clear" w:color="auto" w:fill="FFFFFF"/>
            <w:tcMar>
              <w:top w:w="40" w:type="dxa"/>
              <w:left w:w="100" w:type="dxa"/>
              <w:bottom w:w="40" w:type="dxa"/>
              <w:right w:w="100" w:type="dxa"/>
            </w:tcMar>
            <w:vAlign w:val="center"/>
          </w:tcPr>
          <w:p w14:paraId="7B317470"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334CF4FC"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2A5F2A9C"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11,497,362</w:t>
            </w:r>
          </w:p>
        </w:tc>
      </w:tr>
      <w:tr w:rsidR="00BA183A" w14:paraId="266ABE1A" w14:textId="77777777">
        <w:tc>
          <w:tcPr>
            <w:tcW w:w="4320" w:type="dxa"/>
            <w:shd w:val="clear" w:color="auto" w:fill="FFFFFF"/>
            <w:tcMar>
              <w:top w:w="40" w:type="dxa"/>
              <w:left w:w="100" w:type="dxa"/>
              <w:bottom w:w="40" w:type="dxa"/>
              <w:right w:w="100" w:type="dxa"/>
            </w:tcMar>
            <w:vAlign w:val="center"/>
          </w:tcPr>
          <w:p w14:paraId="32243BD8"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33189CE5"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247C559"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33,968,762</w:t>
            </w:r>
          </w:p>
        </w:tc>
      </w:tr>
      <w:tr w:rsidR="00BA183A" w14:paraId="3CF2397E" w14:textId="77777777">
        <w:tc>
          <w:tcPr>
            <w:tcW w:w="4320" w:type="dxa"/>
            <w:shd w:val="clear" w:color="auto" w:fill="FFFFFF"/>
            <w:tcMar>
              <w:top w:w="40" w:type="dxa"/>
              <w:left w:w="100" w:type="dxa"/>
              <w:bottom w:w="40" w:type="dxa"/>
              <w:right w:w="100" w:type="dxa"/>
            </w:tcMar>
            <w:vAlign w:val="center"/>
          </w:tcPr>
          <w:p w14:paraId="680BABF5"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22D0BEE8"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3D388926"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55,467,518</w:t>
            </w:r>
          </w:p>
        </w:tc>
      </w:tr>
      <w:tr w:rsidR="00BA183A" w14:paraId="3F969363" w14:textId="77777777">
        <w:tc>
          <w:tcPr>
            <w:tcW w:w="4320" w:type="dxa"/>
            <w:shd w:val="clear" w:color="auto" w:fill="FFFFFF"/>
            <w:tcMar>
              <w:top w:w="40" w:type="dxa"/>
              <w:left w:w="100" w:type="dxa"/>
              <w:bottom w:w="40" w:type="dxa"/>
              <w:right w:w="100" w:type="dxa"/>
            </w:tcMar>
            <w:vAlign w:val="center"/>
          </w:tcPr>
          <w:p w14:paraId="33946393"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5EBCDF35"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ECBE82C"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3,655,270</w:t>
            </w:r>
          </w:p>
        </w:tc>
      </w:tr>
      <w:tr w:rsidR="00BA183A" w14:paraId="52B654AA" w14:textId="77777777">
        <w:tc>
          <w:tcPr>
            <w:tcW w:w="4320" w:type="dxa"/>
            <w:shd w:val="clear" w:color="auto" w:fill="FFFFFF"/>
            <w:tcMar>
              <w:top w:w="40" w:type="dxa"/>
              <w:left w:w="100" w:type="dxa"/>
              <w:bottom w:w="40" w:type="dxa"/>
              <w:right w:w="100" w:type="dxa"/>
            </w:tcMar>
            <w:vAlign w:val="center"/>
          </w:tcPr>
          <w:p w14:paraId="0EA107A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52B008A1"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47FCB4"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1,783,232</w:t>
            </w:r>
          </w:p>
        </w:tc>
      </w:tr>
      <w:tr w:rsidR="00BA183A" w14:paraId="6DD22BD6" w14:textId="77777777">
        <w:tc>
          <w:tcPr>
            <w:tcW w:w="4320" w:type="dxa"/>
            <w:shd w:val="clear" w:color="auto" w:fill="FFFFFF"/>
            <w:tcMar>
              <w:top w:w="40" w:type="dxa"/>
              <w:left w:w="100" w:type="dxa"/>
              <w:bottom w:w="40" w:type="dxa"/>
              <w:right w:w="100" w:type="dxa"/>
            </w:tcMar>
            <w:vAlign w:val="center"/>
          </w:tcPr>
          <w:p w14:paraId="37DADE57"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62908E9D"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EBC0329"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585,306</w:t>
            </w:r>
          </w:p>
        </w:tc>
      </w:tr>
      <w:tr w:rsidR="00BA183A" w14:paraId="16B548EE" w14:textId="77777777">
        <w:tc>
          <w:tcPr>
            <w:tcW w:w="4320" w:type="dxa"/>
            <w:shd w:val="clear" w:color="auto" w:fill="FFFFFF"/>
            <w:tcMar>
              <w:top w:w="40" w:type="dxa"/>
              <w:left w:w="100" w:type="dxa"/>
              <w:bottom w:w="40" w:type="dxa"/>
              <w:right w:w="100" w:type="dxa"/>
            </w:tcMar>
            <w:vAlign w:val="center"/>
          </w:tcPr>
          <w:p w14:paraId="32E898D2"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203B6F4E"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2329D3F6"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108,002,999</w:t>
            </w:r>
          </w:p>
        </w:tc>
      </w:tr>
      <w:tr w:rsidR="00BA183A" w14:paraId="0D362C8B" w14:textId="77777777">
        <w:tc>
          <w:tcPr>
            <w:tcW w:w="10080" w:type="dxa"/>
            <w:gridSpan w:val="4"/>
            <w:shd w:val="clear" w:color="auto" w:fill="EDF2F7"/>
            <w:tcMar>
              <w:top w:w="40" w:type="dxa"/>
              <w:left w:w="100" w:type="dxa"/>
              <w:bottom w:w="40" w:type="dxa"/>
              <w:right w:w="100" w:type="dxa"/>
            </w:tcMar>
            <w:vAlign w:val="center"/>
          </w:tcPr>
          <w:p w14:paraId="43BB8DA8" w14:textId="77777777" w:rsidR="00BA183A" w:rsidRDefault="00000000">
            <w:pPr>
              <w:spacing w:before="20" w:after="20"/>
            </w:pPr>
            <w:r>
              <w:rPr>
                <w:b/>
                <w:bCs/>
                <w:color w:val="1A3A5C"/>
                <w:sz w:val="18"/>
                <w:szCs w:val="18"/>
              </w:rPr>
              <w:t>EQUITY</w:t>
            </w:r>
          </w:p>
        </w:tc>
      </w:tr>
      <w:tr w:rsidR="00BA183A" w14:paraId="629AFF6D" w14:textId="77777777">
        <w:tc>
          <w:tcPr>
            <w:tcW w:w="4320" w:type="dxa"/>
            <w:shd w:val="clear" w:color="auto" w:fill="FFFFFF"/>
            <w:tcMar>
              <w:top w:w="40" w:type="dxa"/>
              <w:left w:w="100" w:type="dxa"/>
              <w:bottom w:w="40" w:type="dxa"/>
              <w:right w:w="100" w:type="dxa"/>
            </w:tcMar>
            <w:vAlign w:val="center"/>
          </w:tcPr>
          <w:p w14:paraId="7257810C" w14:textId="77777777" w:rsidR="00BA183A" w:rsidRDefault="00000000">
            <w:pPr>
              <w:spacing w:before="20" w:after="20"/>
            </w:pPr>
            <w:r>
              <w:rPr>
                <w:color w:val="1A1A1A"/>
                <w:sz w:val="18"/>
                <w:szCs w:val="18"/>
              </w:rPr>
              <w:t>Share capital</w:t>
            </w:r>
          </w:p>
        </w:tc>
        <w:tc>
          <w:tcPr>
            <w:tcW w:w="1920" w:type="dxa"/>
            <w:shd w:val="clear" w:color="auto" w:fill="FFFFFF"/>
            <w:tcMar>
              <w:top w:w="40" w:type="dxa"/>
              <w:left w:w="100" w:type="dxa"/>
              <w:bottom w:w="40" w:type="dxa"/>
              <w:right w:w="100" w:type="dxa"/>
            </w:tcMar>
            <w:vAlign w:val="center"/>
          </w:tcPr>
          <w:p w14:paraId="21FE9E2D"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4006DEB8"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15,476,078</w:t>
            </w:r>
          </w:p>
        </w:tc>
      </w:tr>
      <w:tr w:rsidR="00BA183A" w14:paraId="735AC2BC" w14:textId="77777777">
        <w:tc>
          <w:tcPr>
            <w:tcW w:w="4320" w:type="dxa"/>
            <w:shd w:val="clear" w:color="auto" w:fill="FFFFFF"/>
            <w:tcMar>
              <w:top w:w="40" w:type="dxa"/>
              <w:left w:w="100" w:type="dxa"/>
              <w:bottom w:w="40" w:type="dxa"/>
              <w:right w:w="100" w:type="dxa"/>
            </w:tcMar>
            <w:vAlign w:val="center"/>
          </w:tcPr>
          <w:p w14:paraId="6F45D67B" w14:textId="77777777" w:rsidR="00BA183A" w:rsidRDefault="00000000">
            <w:pPr>
              <w:spacing w:before="20" w:after="20"/>
            </w:pPr>
            <w:r>
              <w:rPr>
                <w:color w:val="1A1A1A"/>
                <w:sz w:val="18"/>
                <w:szCs w:val="18"/>
              </w:rPr>
              <w:lastRenderedPageBreak/>
              <w:t>Other reserves and retained earnings</w:t>
            </w:r>
          </w:p>
        </w:tc>
        <w:tc>
          <w:tcPr>
            <w:tcW w:w="1920" w:type="dxa"/>
            <w:shd w:val="clear" w:color="auto" w:fill="FFFFFF"/>
            <w:tcMar>
              <w:top w:w="40" w:type="dxa"/>
              <w:left w:w="100" w:type="dxa"/>
              <w:bottom w:w="40" w:type="dxa"/>
              <w:right w:w="100" w:type="dxa"/>
            </w:tcMar>
            <w:vAlign w:val="center"/>
          </w:tcPr>
          <w:p w14:paraId="65421D60"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346DCCE8"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2,966,932</w:t>
            </w:r>
          </w:p>
        </w:tc>
      </w:tr>
      <w:tr w:rsidR="00BA183A" w14:paraId="7232C433" w14:textId="77777777">
        <w:tc>
          <w:tcPr>
            <w:tcW w:w="4320" w:type="dxa"/>
            <w:shd w:val="clear" w:color="auto" w:fill="FFFFFF"/>
            <w:tcMar>
              <w:top w:w="40" w:type="dxa"/>
              <w:left w:w="100" w:type="dxa"/>
              <w:bottom w:w="40" w:type="dxa"/>
              <w:right w:w="100" w:type="dxa"/>
            </w:tcMar>
            <w:vAlign w:val="center"/>
          </w:tcPr>
          <w:p w14:paraId="7BED9A0F"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653C23B7"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4F32FD7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18,443,010</w:t>
            </w:r>
          </w:p>
        </w:tc>
      </w:tr>
      <w:tr w:rsidR="00BA183A" w14:paraId="2067A1A0" w14:textId="77777777">
        <w:tc>
          <w:tcPr>
            <w:tcW w:w="4320" w:type="dxa"/>
            <w:shd w:val="clear" w:color="auto" w:fill="FFFFFF"/>
            <w:tcMar>
              <w:top w:w="40" w:type="dxa"/>
              <w:left w:w="100" w:type="dxa"/>
              <w:bottom w:w="40" w:type="dxa"/>
              <w:right w:w="100" w:type="dxa"/>
            </w:tcMar>
            <w:vAlign w:val="center"/>
          </w:tcPr>
          <w:p w14:paraId="209DD00A"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6142DEAE"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5D65AB40"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43,397</w:t>
            </w:r>
          </w:p>
        </w:tc>
      </w:tr>
      <w:tr w:rsidR="00BA183A" w14:paraId="053F0EF9" w14:textId="77777777">
        <w:tc>
          <w:tcPr>
            <w:tcW w:w="4320" w:type="dxa"/>
            <w:shd w:val="clear" w:color="auto" w:fill="FFFFFF"/>
            <w:tcMar>
              <w:top w:w="40" w:type="dxa"/>
              <w:left w:w="100" w:type="dxa"/>
              <w:bottom w:w="40" w:type="dxa"/>
              <w:right w:w="100" w:type="dxa"/>
            </w:tcMar>
            <w:vAlign w:val="center"/>
          </w:tcPr>
          <w:p w14:paraId="42B035C4"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D0B7458"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3B7B537F"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18,486,407</w:t>
            </w:r>
          </w:p>
        </w:tc>
      </w:tr>
    </w:tbl>
    <w:p w14:paraId="5F2E2625"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372FC4F7" w14:textId="77777777">
        <w:tc>
          <w:tcPr>
            <w:tcW w:w="4320" w:type="dxa"/>
            <w:shd w:val="clear" w:color="auto" w:fill="2E4057"/>
            <w:tcMar>
              <w:top w:w="40" w:type="dxa"/>
              <w:left w:w="100" w:type="dxa"/>
              <w:bottom w:w="40" w:type="dxa"/>
              <w:right w:w="100" w:type="dxa"/>
            </w:tcMar>
            <w:vAlign w:val="center"/>
          </w:tcPr>
          <w:p w14:paraId="087A426B"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552C8B4"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63EA8651"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FY2023*</w:t>
            </w:r>
          </w:p>
        </w:tc>
      </w:tr>
      <w:tr w:rsidR="00BA183A" w14:paraId="28280CC8" w14:textId="77777777">
        <w:tc>
          <w:tcPr>
            <w:tcW w:w="4320" w:type="dxa"/>
            <w:shd w:val="clear" w:color="auto" w:fill="FFFFFF"/>
            <w:tcMar>
              <w:top w:w="40" w:type="dxa"/>
              <w:left w:w="100" w:type="dxa"/>
              <w:bottom w:w="40" w:type="dxa"/>
              <w:right w:w="100" w:type="dxa"/>
            </w:tcMar>
            <w:vAlign w:val="center"/>
          </w:tcPr>
          <w:p w14:paraId="3EA41504"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37C719C3"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6C34297A"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10,606,305</w:t>
            </w:r>
          </w:p>
        </w:tc>
      </w:tr>
      <w:tr w:rsidR="00BA183A" w14:paraId="4D3B5F40" w14:textId="77777777">
        <w:tc>
          <w:tcPr>
            <w:tcW w:w="4320" w:type="dxa"/>
            <w:shd w:val="clear" w:color="auto" w:fill="FFFFFF"/>
            <w:tcMar>
              <w:top w:w="40" w:type="dxa"/>
              <w:left w:w="100" w:type="dxa"/>
              <w:bottom w:w="40" w:type="dxa"/>
              <w:right w:w="100" w:type="dxa"/>
            </w:tcMar>
            <w:vAlign w:val="center"/>
          </w:tcPr>
          <w:p w14:paraId="237F1805"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5DC9369B"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40BA6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(5,069,070)</w:t>
            </w:r>
          </w:p>
        </w:tc>
      </w:tr>
      <w:tr w:rsidR="00BA183A" w14:paraId="22DF49A3" w14:textId="77777777">
        <w:tc>
          <w:tcPr>
            <w:tcW w:w="4320" w:type="dxa"/>
            <w:shd w:val="clear" w:color="auto" w:fill="FFFFFF"/>
            <w:tcMar>
              <w:top w:w="40" w:type="dxa"/>
              <w:left w:w="100" w:type="dxa"/>
              <w:bottom w:w="40" w:type="dxa"/>
              <w:right w:w="100" w:type="dxa"/>
            </w:tcMar>
            <w:vAlign w:val="center"/>
          </w:tcPr>
          <w:p w14:paraId="79C1FAAE"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21BADCA6"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18AF9477"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5,537,235</w:t>
            </w:r>
          </w:p>
        </w:tc>
      </w:tr>
      <w:tr w:rsidR="00BA183A" w14:paraId="49DC4357" w14:textId="77777777">
        <w:tc>
          <w:tcPr>
            <w:tcW w:w="4320" w:type="dxa"/>
            <w:shd w:val="clear" w:color="auto" w:fill="FFFFFF"/>
            <w:tcMar>
              <w:top w:w="40" w:type="dxa"/>
              <w:left w:w="100" w:type="dxa"/>
              <w:bottom w:w="40" w:type="dxa"/>
              <w:right w:w="100" w:type="dxa"/>
            </w:tcMar>
            <w:vAlign w:val="center"/>
          </w:tcPr>
          <w:p w14:paraId="6B18B2BA"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2D8D7279"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266D4AD3"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(1,754,147)</w:t>
            </w:r>
          </w:p>
        </w:tc>
      </w:tr>
      <w:tr w:rsidR="00BA183A" w14:paraId="743EEC8B" w14:textId="77777777">
        <w:tc>
          <w:tcPr>
            <w:tcW w:w="4320" w:type="dxa"/>
            <w:shd w:val="clear" w:color="auto" w:fill="FFFFFF"/>
            <w:tcMar>
              <w:top w:w="40" w:type="dxa"/>
              <w:left w:w="100" w:type="dxa"/>
              <w:bottom w:w="40" w:type="dxa"/>
              <w:right w:w="100" w:type="dxa"/>
            </w:tcMar>
            <w:vAlign w:val="center"/>
          </w:tcPr>
          <w:p w14:paraId="22102D69"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61AACF96"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70EAA167"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813,879</w:t>
            </w:r>
          </w:p>
        </w:tc>
      </w:tr>
      <w:tr w:rsidR="00BA183A" w14:paraId="1285A870" w14:textId="77777777">
        <w:tc>
          <w:tcPr>
            <w:tcW w:w="4320" w:type="dxa"/>
            <w:shd w:val="clear" w:color="auto" w:fill="FFFFFF"/>
            <w:tcMar>
              <w:top w:w="40" w:type="dxa"/>
              <w:left w:w="100" w:type="dxa"/>
              <w:bottom w:w="40" w:type="dxa"/>
              <w:right w:w="100" w:type="dxa"/>
            </w:tcMar>
            <w:vAlign w:val="center"/>
          </w:tcPr>
          <w:p w14:paraId="2D0581B7"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474E0EA4"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18947628"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1,027,812</w:t>
            </w:r>
          </w:p>
        </w:tc>
      </w:tr>
      <w:tr w:rsidR="00BA183A" w14:paraId="1E61F0A0" w14:textId="77777777">
        <w:tc>
          <w:tcPr>
            <w:tcW w:w="4320" w:type="dxa"/>
            <w:shd w:val="clear" w:color="auto" w:fill="FFFFFF"/>
            <w:tcMar>
              <w:top w:w="40" w:type="dxa"/>
              <w:left w:w="100" w:type="dxa"/>
              <w:bottom w:w="40" w:type="dxa"/>
              <w:right w:w="100" w:type="dxa"/>
            </w:tcMar>
            <w:vAlign w:val="center"/>
          </w:tcPr>
          <w:p w14:paraId="2C9B843D"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652CF0CC"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081EBDBF"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(2,059,537)</w:t>
            </w:r>
          </w:p>
        </w:tc>
      </w:tr>
      <w:tr w:rsidR="00BA183A" w14:paraId="1A8AA7C7" w14:textId="77777777">
        <w:tc>
          <w:tcPr>
            <w:tcW w:w="4320" w:type="dxa"/>
            <w:shd w:val="clear" w:color="auto" w:fill="FFFFFF"/>
            <w:tcMar>
              <w:top w:w="40" w:type="dxa"/>
              <w:left w:w="100" w:type="dxa"/>
              <w:bottom w:w="40" w:type="dxa"/>
              <w:right w:w="100" w:type="dxa"/>
            </w:tcMar>
            <w:vAlign w:val="center"/>
          </w:tcPr>
          <w:p w14:paraId="2E58F25B"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25566ACC"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7F4BD07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(513,157)</w:t>
            </w:r>
          </w:p>
        </w:tc>
      </w:tr>
      <w:tr w:rsidR="00BA183A" w14:paraId="45DF4CF1" w14:textId="77777777">
        <w:tc>
          <w:tcPr>
            <w:tcW w:w="4320" w:type="dxa"/>
            <w:shd w:val="clear" w:color="auto" w:fill="FFFFFF"/>
            <w:tcMar>
              <w:top w:w="40" w:type="dxa"/>
              <w:left w:w="100" w:type="dxa"/>
              <w:bottom w:w="40" w:type="dxa"/>
              <w:right w:w="100" w:type="dxa"/>
            </w:tcMar>
            <w:vAlign w:val="center"/>
          </w:tcPr>
          <w:p w14:paraId="545338B6"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17B37988"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5B4A20F5"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3,052,085</w:t>
            </w:r>
          </w:p>
        </w:tc>
      </w:tr>
      <w:tr w:rsidR="00BA183A" w14:paraId="74CD9269" w14:textId="77777777">
        <w:tc>
          <w:tcPr>
            <w:tcW w:w="4320" w:type="dxa"/>
            <w:shd w:val="clear" w:color="auto" w:fill="FFFFFF"/>
            <w:tcMar>
              <w:top w:w="40" w:type="dxa"/>
              <w:left w:w="100" w:type="dxa"/>
              <w:bottom w:w="40" w:type="dxa"/>
              <w:right w:w="100" w:type="dxa"/>
            </w:tcMar>
            <w:vAlign w:val="center"/>
          </w:tcPr>
          <w:p w14:paraId="22978FA5"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2B6E7B78"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48836BDB"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(736,642)</w:t>
            </w:r>
          </w:p>
        </w:tc>
      </w:tr>
      <w:tr w:rsidR="00BA183A" w14:paraId="7211C457" w14:textId="77777777">
        <w:tc>
          <w:tcPr>
            <w:tcW w:w="4320" w:type="dxa"/>
            <w:shd w:val="clear" w:color="auto" w:fill="FFFFFF"/>
            <w:tcMar>
              <w:top w:w="40" w:type="dxa"/>
              <w:left w:w="100" w:type="dxa"/>
              <w:bottom w:w="40" w:type="dxa"/>
              <w:right w:w="100" w:type="dxa"/>
            </w:tcMar>
            <w:vAlign w:val="center"/>
          </w:tcPr>
          <w:p w14:paraId="0D76CEE4"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EBC756"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6D4B0528"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2,315,443</w:t>
            </w:r>
          </w:p>
        </w:tc>
      </w:tr>
      <w:tr w:rsidR="00BA183A" w14:paraId="63066530" w14:textId="77777777">
        <w:tc>
          <w:tcPr>
            <w:tcW w:w="4320" w:type="dxa"/>
            <w:shd w:val="clear" w:color="auto" w:fill="FFFFFF"/>
            <w:tcMar>
              <w:top w:w="40" w:type="dxa"/>
              <w:left w:w="100" w:type="dxa"/>
              <w:bottom w:w="40" w:type="dxa"/>
              <w:right w:w="100" w:type="dxa"/>
            </w:tcMar>
            <w:vAlign w:val="center"/>
          </w:tcPr>
          <w:p w14:paraId="2EA644B4"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3BA6740C"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7BBED536"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2,296,771</w:t>
            </w:r>
          </w:p>
        </w:tc>
      </w:tr>
      <w:tr w:rsidR="00BA183A" w14:paraId="012955AC" w14:textId="77777777">
        <w:tc>
          <w:tcPr>
            <w:tcW w:w="4320" w:type="dxa"/>
            <w:shd w:val="clear" w:color="auto" w:fill="FFFFFF"/>
            <w:tcMar>
              <w:top w:w="40" w:type="dxa"/>
              <w:left w:w="100" w:type="dxa"/>
              <w:bottom w:w="40" w:type="dxa"/>
              <w:right w:w="100" w:type="dxa"/>
            </w:tcMar>
            <w:vAlign w:val="center"/>
          </w:tcPr>
          <w:p w14:paraId="0764C3EC"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FBCF446"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4EF3FC78"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18,672</w:t>
            </w:r>
          </w:p>
        </w:tc>
      </w:tr>
    </w:tbl>
    <w:p w14:paraId="29C8654D"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07E30F32" w14:textId="77777777" w:rsidR="0059742E" w:rsidRDefault="00C764C0">
      <w:pPr>
        <w:pBdr>
          <w:bottom w:val="single" w:sz="4" w:space="2" w:color="2E6DA4"/>
        </w:pBdr>
        <w:spacing w:before="200" w:after="80"/>
      </w:pPr>
      <w:r>
        <w:rPr>
          <w:b/>
          <w:bCs/>
          <w:color w:val="2E6DA4"/>
          <w:sz w:val="22"/>
          <w:szCs w:val="22"/>
        </w:rPr>
        <w:t>2.2 Financial Performance in 2025</w:t>
      </w:r>
    </w:p>
    <w:p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rsidR="0059742E" w:rsidRDefault="00C764C0">
      <w:pPr>
        <w:spacing w:before="160" w:after="60"/>
      </w:pPr>
      <w:r>
        <w:rPr>
          <w:b/>
          <w:bCs/>
          <w:color w:val="2E6DA4"/>
        </w:rPr>
        <w:t>Asset Analysis</w:t>
      </w:r>
    </w:p>
    <w:p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rsidR="0059742E" w:rsidRDefault="00C764C0">
      <w:pPr>
        <w:pStyle w:val="ListParagraph"/>
        <w:numPr>
          <w:ilvl w:val="0"/>
          <w:numId w:val="2"/>
        </w:numPr>
        <w:spacing w:before="40" w:after="40"/>
      </w:pPr>
      <w:r>
        <w:rPr>
          <w:color w:val="1A1A1A"/>
        </w:rPr>
        <w:t>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from, and should not be read as, the non-performing loan (NPL) ratio: NBU’s regulatory NPL ratio reported to the Central Bank of Uzbekistan (CBU) was approximately 2.8% as of 1 January 2026 (see Section 2.4).</w:t>
      </w:r>
    </w:p>
    <w:p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rsidR="0059742E" w:rsidRDefault="00C764C0">
      <w:pPr>
        <w:spacing w:before="160" w:after="60"/>
      </w:pPr>
      <w:r>
        <w:rPr>
          <w:b/>
          <w:bCs/>
          <w:color w:val="2E6DA4"/>
        </w:rPr>
        <w:t>Liability Analysis</w:t>
      </w:r>
    </w:p>
    <w:p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rsidR="0059742E" w:rsidRDefault="00C764C0">
      <w:pPr>
        <w:spacing w:before="160" w:after="60"/>
      </w:pPr>
      <w:r>
        <w:rPr>
          <w:b/>
          <w:bCs/>
          <w:color w:val="2E6DA4"/>
        </w:rPr>
        <w:t>Income Analysis</w:t>
      </w:r>
    </w:p>
    <w:p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6CED97E5" w14:textId="77777777" w:rsidR="0059742E" w:rsidRDefault="00C764C0">
      <w:pPr>
        <w:pBdr>
          <w:bottom w:val="single" w:sz="4" w:space="2" w:color="2E6DA4"/>
        </w:pBdr>
        <w:spacing w:before="200" w:after="80"/>
      </w:pPr>
      <w:r>
        <w:rPr>
          <w:b/>
          <w:bCs/>
          <w:color w:val="2E6DA4"/>
          <w:sz w:val="22"/>
          <w:szCs w:val="22"/>
        </w:rPr>
        <w:t>2.3 Financial Performance in 2024</w:t>
      </w:r>
    </w:p>
    <w:p w14:paraId="71E930BD"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19FFA8F1" w14:textId="77777777" w:rsidR="003B07C8" w:rsidRDefault="00000000">
      <w:pPr>
        <w:pBdr>
          <w:bottom w:val="single" w:sz="4" w:space="2" w:color="2E6DA4"/>
        </w:pBdr>
        <w:spacing w:before="200" w:after="80"/>
      </w:pPr>
      <w:r>
        <w:rPr>
          <w:b/>
          <w:bCs/>
          <w:color w:val="2E6DA4"/>
          <w:sz w:val="22"/>
          <w:szCs w:val="22"/>
        </w:rPr>
        <w:t>2.4 KPIs Summary, Asset Quality and Regulatory Capital</w:t>
      </w:r>
    </w:p>
    <w:p w14:paraId="0000D6C8"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0DE8492D" w14:textId="77777777">
        <w:tc>
          <w:tcPr>
            <w:tcW w:w="4080" w:type="dxa"/>
            <w:shd w:val="clear" w:color="auto" w:fill="2E4057"/>
            <w:tcMar>
              <w:top w:w="40" w:type="dxa"/>
              <w:left w:w="100" w:type="dxa"/>
              <w:bottom w:w="40" w:type="dxa"/>
              <w:right w:w="100" w:type="dxa"/>
            </w:tcMar>
            <w:vAlign w:val="center"/>
          </w:tcPr>
          <w:p w14:paraId="3B3C7718"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9B1B5A7"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51929871"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7FEEF98B" w14:textId="77777777" w:rsidR="003B07C8" w:rsidRDefault="00000000">
            <w:pPr>
              <w:spacing w:before="20" w:after="20"/>
              <w:jc w:val="right"/>
            </w:pPr>
            <w:r>
              <w:rPr>
                <w:b/>
                <w:bCs/>
                <w:color w:val="FFFFFF"/>
                <w:sz w:val="18"/>
                <w:szCs w:val="18"/>
              </w:rPr>
              <w:t>2025 1H</w:t>
            </w:r>
          </w:p>
        </w:tc>
      </w:tr>
      <w:tr w:rsidR="003B07C8" w14:paraId="373FAC2F" w14:textId="77777777">
        <w:tc>
          <w:tcPr>
            <w:tcW w:w="10080" w:type="dxa"/>
            <w:gridSpan w:val="4"/>
            <w:shd w:val="clear" w:color="auto" w:fill="EDF2F7"/>
            <w:tcMar>
              <w:top w:w="40" w:type="dxa"/>
              <w:left w:w="100" w:type="dxa"/>
              <w:bottom w:w="40" w:type="dxa"/>
              <w:right w:w="100" w:type="dxa"/>
            </w:tcMar>
            <w:vAlign w:val="center"/>
          </w:tcPr>
          <w:p w14:paraId="234C0A9B" w14:textId="77777777" w:rsidR="003B07C8" w:rsidRDefault="00000000">
            <w:pPr>
              <w:spacing w:before="20" w:after="20"/>
            </w:pPr>
            <w:r>
              <w:rPr>
                <w:b/>
                <w:bCs/>
                <w:color w:val="1A3A5C"/>
                <w:sz w:val="18"/>
                <w:szCs w:val="18"/>
              </w:rPr>
              <w:t>Profitability</w:t>
            </w:r>
          </w:p>
        </w:tc>
      </w:tr>
      <w:tr w:rsidR="003B07C8" w14:paraId="23CEBBA1" w14:textId="77777777">
        <w:tc>
          <w:tcPr>
            <w:tcW w:w="4080" w:type="dxa"/>
            <w:shd w:val="clear" w:color="auto" w:fill="FFFFFF"/>
            <w:tcMar>
              <w:top w:w="40" w:type="dxa"/>
              <w:left w:w="100" w:type="dxa"/>
              <w:bottom w:w="40" w:type="dxa"/>
              <w:right w:w="100" w:type="dxa"/>
            </w:tcMar>
            <w:vAlign w:val="center"/>
          </w:tcPr>
          <w:p w14:paraId="20BD52AE"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1A199B41"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365CF5F"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3D169A5" w14:textId="77777777" w:rsidR="003B07C8" w:rsidRDefault="00000000">
            <w:pPr>
              <w:spacing w:before="20" w:after="20"/>
              <w:jc w:val="right"/>
            </w:pPr>
            <w:r>
              <w:rPr>
                <w:b/>
                <w:bCs/>
                <w:color w:val="1A1A1A"/>
                <w:sz w:val="18"/>
                <w:szCs w:val="18"/>
              </w:rPr>
              <w:t>1,653.1</w:t>
            </w:r>
          </w:p>
        </w:tc>
      </w:tr>
      <w:tr w:rsidR="003B07C8" w14:paraId="728DD49A" w14:textId="77777777">
        <w:tc>
          <w:tcPr>
            <w:tcW w:w="4080" w:type="dxa"/>
            <w:shd w:val="clear" w:color="auto" w:fill="FFFFFF"/>
            <w:tcMar>
              <w:top w:w="40" w:type="dxa"/>
              <w:left w:w="100" w:type="dxa"/>
              <w:bottom w:w="40" w:type="dxa"/>
              <w:right w:w="100" w:type="dxa"/>
            </w:tcMar>
            <w:vAlign w:val="center"/>
          </w:tcPr>
          <w:p w14:paraId="4D00DD6A"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353B01C0"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33BEFF36"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41519A00" w14:textId="77777777" w:rsidR="003B07C8" w:rsidRDefault="00000000">
            <w:pPr>
              <w:spacing w:before="20" w:after="20"/>
              <w:jc w:val="right"/>
            </w:pPr>
            <w:r>
              <w:rPr>
                <w:b/>
                <w:bCs/>
                <w:color w:val="1A1A1A"/>
                <w:sz w:val="18"/>
                <w:szCs w:val="18"/>
              </w:rPr>
              <w:t>~136</w:t>
            </w:r>
          </w:p>
        </w:tc>
      </w:tr>
      <w:tr w:rsidR="003B07C8" w14:paraId="497E7361" w14:textId="77777777">
        <w:tc>
          <w:tcPr>
            <w:tcW w:w="4080" w:type="dxa"/>
            <w:shd w:val="clear" w:color="auto" w:fill="FFFFFF"/>
            <w:tcMar>
              <w:top w:w="40" w:type="dxa"/>
              <w:left w:w="100" w:type="dxa"/>
              <w:bottom w:w="40" w:type="dxa"/>
              <w:right w:w="100" w:type="dxa"/>
            </w:tcMar>
            <w:vAlign w:val="center"/>
          </w:tcPr>
          <w:p w14:paraId="462219A5"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253EB8F8"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724AB664"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3744124A" w14:textId="77777777" w:rsidR="003B07C8" w:rsidRDefault="00000000">
            <w:pPr>
              <w:spacing w:before="20" w:after="20"/>
              <w:jc w:val="right"/>
            </w:pPr>
            <w:r>
              <w:rPr>
                <w:b/>
                <w:bCs/>
                <w:color w:val="1A1A1A"/>
                <w:sz w:val="18"/>
                <w:szCs w:val="18"/>
              </w:rPr>
              <w:t>3,258.8</w:t>
            </w:r>
          </w:p>
        </w:tc>
      </w:tr>
      <w:tr w:rsidR="003B07C8" w14:paraId="752BD171" w14:textId="77777777">
        <w:tc>
          <w:tcPr>
            <w:tcW w:w="4080" w:type="dxa"/>
            <w:shd w:val="clear" w:color="auto" w:fill="FFFFFF"/>
            <w:tcMar>
              <w:top w:w="40" w:type="dxa"/>
              <w:left w:w="100" w:type="dxa"/>
              <w:bottom w:w="40" w:type="dxa"/>
              <w:right w:w="100" w:type="dxa"/>
            </w:tcMar>
            <w:vAlign w:val="center"/>
          </w:tcPr>
          <w:p w14:paraId="131D298E"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60CFF3D7"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4CA7558"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06047C93" w14:textId="77777777" w:rsidR="003B07C8" w:rsidRDefault="00000000">
            <w:pPr>
              <w:spacing w:before="20" w:after="20"/>
              <w:jc w:val="right"/>
            </w:pPr>
            <w:r>
              <w:rPr>
                <w:b/>
                <w:bCs/>
                <w:color w:val="1A1A1A"/>
                <w:sz w:val="18"/>
                <w:szCs w:val="18"/>
              </w:rPr>
              <w:t>~29%</w:t>
            </w:r>
          </w:p>
        </w:tc>
      </w:tr>
      <w:tr w:rsidR="003B07C8" w14:paraId="2E7D7951" w14:textId="77777777">
        <w:tc>
          <w:tcPr>
            <w:tcW w:w="4080" w:type="dxa"/>
            <w:shd w:val="clear" w:color="auto" w:fill="FFFFFF"/>
            <w:tcMar>
              <w:top w:w="40" w:type="dxa"/>
              <w:left w:w="100" w:type="dxa"/>
              <w:bottom w:w="40" w:type="dxa"/>
              <w:right w:w="100" w:type="dxa"/>
            </w:tcMar>
            <w:vAlign w:val="center"/>
          </w:tcPr>
          <w:p w14:paraId="2D0EC52D"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2AAF2332"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1BE5F275"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5F933C4F" w14:textId="77777777" w:rsidR="003B07C8" w:rsidRDefault="00000000">
            <w:pPr>
              <w:spacing w:before="20" w:after="20"/>
              <w:jc w:val="right"/>
            </w:pPr>
            <w:r>
              <w:rPr>
                <w:b/>
                <w:bCs/>
                <w:color w:val="1A1A1A"/>
                <w:sz w:val="18"/>
                <w:szCs w:val="18"/>
              </w:rPr>
              <w:t>~1.1%</w:t>
            </w:r>
          </w:p>
        </w:tc>
      </w:tr>
      <w:tr w:rsidR="003B07C8" w14:paraId="159C5BCA" w14:textId="77777777">
        <w:tc>
          <w:tcPr>
            <w:tcW w:w="4080" w:type="dxa"/>
            <w:shd w:val="clear" w:color="auto" w:fill="FFFFFF"/>
            <w:tcMar>
              <w:top w:w="40" w:type="dxa"/>
              <w:left w:w="100" w:type="dxa"/>
              <w:bottom w:w="40" w:type="dxa"/>
              <w:right w:w="100" w:type="dxa"/>
            </w:tcMar>
            <w:vAlign w:val="center"/>
          </w:tcPr>
          <w:p w14:paraId="1EA3F15E"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126F6DEE"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57D90193"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3B1E547F" w14:textId="77777777" w:rsidR="003B07C8" w:rsidRDefault="00000000">
            <w:pPr>
              <w:spacing w:before="20" w:after="20"/>
              <w:jc w:val="right"/>
            </w:pPr>
            <w:r>
              <w:rPr>
                <w:b/>
                <w:bCs/>
                <w:color w:val="1A1A1A"/>
                <w:sz w:val="18"/>
                <w:szCs w:val="18"/>
              </w:rPr>
              <w:t>~9.6%†</w:t>
            </w:r>
          </w:p>
        </w:tc>
      </w:tr>
      <w:tr w:rsidR="003B07C8" w14:paraId="2707EF09" w14:textId="77777777">
        <w:tc>
          <w:tcPr>
            <w:tcW w:w="10080" w:type="dxa"/>
            <w:gridSpan w:val="4"/>
            <w:shd w:val="clear" w:color="auto" w:fill="EDF2F7"/>
            <w:tcMar>
              <w:top w:w="40" w:type="dxa"/>
              <w:left w:w="100" w:type="dxa"/>
              <w:bottom w:w="40" w:type="dxa"/>
              <w:right w:w="100" w:type="dxa"/>
            </w:tcMar>
            <w:vAlign w:val="center"/>
          </w:tcPr>
          <w:p w14:paraId="2A7A0B15" w14:textId="77777777" w:rsidR="003B07C8" w:rsidRDefault="00000000">
            <w:pPr>
              <w:spacing w:before="20" w:after="20"/>
            </w:pPr>
            <w:r>
              <w:rPr>
                <w:b/>
                <w:bCs/>
                <w:color w:val="1A3A5C"/>
                <w:sz w:val="18"/>
                <w:szCs w:val="18"/>
              </w:rPr>
              <w:t>Scale</w:t>
            </w:r>
          </w:p>
        </w:tc>
      </w:tr>
      <w:tr w:rsidR="003B07C8" w14:paraId="782F3D42" w14:textId="77777777">
        <w:tc>
          <w:tcPr>
            <w:tcW w:w="4080" w:type="dxa"/>
            <w:shd w:val="clear" w:color="auto" w:fill="FFFFFF"/>
            <w:tcMar>
              <w:top w:w="40" w:type="dxa"/>
              <w:left w:w="100" w:type="dxa"/>
              <w:bottom w:w="40" w:type="dxa"/>
              <w:right w:w="100" w:type="dxa"/>
            </w:tcMar>
            <w:vAlign w:val="center"/>
          </w:tcPr>
          <w:p w14:paraId="7669EDE7"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58D8BB9D"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0DA26A41"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2AD2E887" w14:textId="77777777" w:rsidR="003B07C8" w:rsidRDefault="00000000">
            <w:pPr>
              <w:spacing w:before="20" w:after="20"/>
              <w:jc w:val="right"/>
            </w:pPr>
            <w:r>
              <w:rPr>
                <w:b/>
                <w:bCs/>
                <w:color w:val="1A1A1A"/>
                <w:sz w:val="18"/>
                <w:szCs w:val="18"/>
              </w:rPr>
              <w:t>145.4</w:t>
            </w:r>
          </w:p>
        </w:tc>
      </w:tr>
      <w:tr w:rsidR="003B07C8" w14:paraId="14749FB7" w14:textId="77777777">
        <w:tc>
          <w:tcPr>
            <w:tcW w:w="4080" w:type="dxa"/>
            <w:shd w:val="clear" w:color="auto" w:fill="FFFFFF"/>
            <w:tcMar>
              <w:top w:w="40" w:type="dxa"/>
              <w:left w:w="100" w:type="dxa"/>
              <w:bottom w:w="40" w:type="dxa"/>
              <w:right w:w="100" w:type="dxa"/>
            </w:tcMar>
            <w:vAlign w:val="center"/>
          </w:tcPr>
          <w:p w14:paraId="474E1259"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1922C676"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66246672"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1D7B0B7E" w14:textId="77777777" w:rsidR="003B07C8" w:rsidRDefault="00000000">
            <w:pPr>
              <w:spacing w:before="20" w:after="20"/>
              <w:jc w:val="right"/>
            </w:pPr>
            <w:r>
              <w:rPr>
                <w:b/>
                <w:bCs/>
                <w:color w:val="1A1A1A"/>
                <w:sz w:val="18"/>
                <w:szCs w:val="18"/>
              </w:rPr>
              <w:t>104.3</w:t>
            </w:r>
          </w:p>
        </w:tc>
      </w:tr>
      <w:tr w:rsidR="003B07C8" w14:paraId="32C630F1" w14:textId="77777777">
        <w:tc>
          <w:tcPr>
            <w:tcW w:w="4080" w:type="dxa"/>
            <w:shd w:val="clear" w:color="auto" w:fill="FFFFFF"/>
            <w:tcMar>
              <w:top w:w="40" w:type="dxa"/>
              <w:left w:w="100" w:type="dxa"/>
              <w:bottom w:w="40" w:type="dxa"/>
              <w:right w:w="100" w:type="dxa"/>
            </w:tcMar>
            <w:vAlign w:val="center"/>
          </w:tcPr>
          <w:p w14:paraId="591FF922"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3AA57C65"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79A20FD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5947CE67" w14:textId="77777777" w:rsidR="003B07C8" w:rsidRDefault="00000000">
            <w:pPr>
              <w:spacing w:before="20" w:after="20"/>
              <w:jc w:val="right"/>
            </w:pPr>
            <w:r>
              <w:rPr>
                <w:b/>
                <w:bCs/>
                <w:color w:val="1A1A1A"/>
                <w:sz w:val="18"/>
                <w:szCs w:val="18"/>
              </w:rPr>
              <w:t>47.3</w:t>
            </w:r>
          </w:p>
        </w:tc>
      </w:tr>
      <w:tr w:rsidR="003B07C8" w14:paraId="3D9E6FE4" w14:textId="77777777">
        <w:tc>
          <w:tcPr>
            <w:tcW w:w="10080" w:type="dxa"/>
            <w:gridSpan w:val="4"/>
            <w:shd w:val="clear" w:color="auto" w:fill="EDF2F7"/>
            <w:tcMar>
              <w:top w:w="40" w:type="dxa"/>
              <w:left w:w="100" w:type="dxa"/>
              <w:bottom w:w="40" w:type="dxa"/>
              <w:right w:w="100" w:type="dxa"/>
            </w:tcMar>
            <w:vAlign w:val="center"/>
          </w:tcPr>
          <w:p w14:paraId="78505A20" w14:textId="77777777" w:rsidR="003B07C8" w:rsidRDefault="00000000">
            <w:pPr>
              <w:spacing w:before="20" w:after="20"/>
            </w:pPr>
            <w:r>
              <w:rPr>
                <w:b/>
                <w:bCs/>
                <w:color w:val="1A3A5C"/>
                <w:sz w:val="18"/>
                <w:szCs w:val="18"/>
              </w:rPr>
              <w:lastRenderedPageBreak/>
              <w:t>Capital &amp; Asset Quality</w:t>
            </w:r>
          </w:p>
        </w:tc>
      </w:tr>
      <w:tr w:rsidR="003B07C8" w14:paraId="175CD557" w14:textId="77777777">
        <w:tc>
          <w:tcPr>
            <w:tcW w:w="4080" w:type="dxa"/>
            <w:shd w:val="clear" w:color="auto" w:fill="FFFFFF"/>
            <w:tcMar>
              <w:top w:w="40" w:type="dxa"/>
              <w:left w:w="100" w:type="dxa"/>
              <w:bottom w:w="40" w:type="dxa"/>
              <w:right w:w="100" w:type="dxa"/>
            </w:tcMar>
            <w:vAlign w:val="center"/>
          </w:tcPr>
          <w:p w14:paraId="023757D2"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2030CC89"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B2374EC"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6A494159" w14:textId="77777777" w:rsidR="003B07C8" w:rsidRDefault="00000000">
            <w:pPr>
              <w:spacing w:before="20" w:after="20"/>
              <w:jc w:val="right"/>
            </w:pPr>
            <w:r>
              <w:rPr>
                <w:b/>
                <w:bCs/>
                <w:color w:val="1A1A1A"/>
                <w:sz w:val="18"/>
                <w:szCs w:val="18"/>
              </w:rPr>
              <w:t>21.1</w:t>
            </w:r>
          </w:p>
        </w:tc>
      </w:tr>
      <w:tr w:rsidR="003B07C8" w14:paraId="1864B38B" w14:textId="77777777">
        <w:tc>
          <w:tcPr>
            <w:tcW w:w="4080" w:type="dxa"/>
            <w:shd w:val="clear" w:color="auto" w:fill="FFFFFF"/>
            <w:tcMar>
              <w:top w:w="40" w:type="dxa"/>
              <w:left w:w="100" w:type="dxa"/>
              <w:bottom w:w="40" w:type="dxa"/>
              <w:right w:w="100" w:type="dxa"/>
            </w:tcMar>
            <w:vAlign w:val="center"/>
          </w:tcPr>
          <w:p w14:paraId="5F71348F"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14FA3682"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5E09C38F"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37A036D7" w14:textId="77777777" w:rsidR="003B07C8" w:rsidRDefault="00000000">
            <w:pPr>
              <w:spacing w:before="20" w:after="20"/>
              <w:jc w:val="right"/>
            </w:pPr>
            <w:r>
              <w:rPr>
                <w:b/>
                <w:bCs/>
                <w:color w:val="1A1A1A"/>
                <w:sz w:val="18"/>
                <w:szCs w:val="18"/>
              </w:rPr>
              <w:t>16.7</w:t>
            </w:r>
          </w:p>
        </w:tc>
      </w:tr>
      <w:tr w:rsidR="003B07C8" w14:paraId="7F711BA0" w14:textId="77777777">
        <w:tc>
          <w:tcPr>
            <w:tcW w:w="4080" w:type="dxa"/>
            <w:shd w:val="clear" w:color="auto" w:fill="FFFFFF"/>
            <w:tcMar>
              <w:top w:w="40" w:type="dxa"/>
              <w:left w:w="100" w:type="dxa"/>
              <w:bottom w:w="40" w:type="dxa"/>
              <w:right w:w="100" w:type="dxa"/>
            </w:tcMar>
            <w:vAlign w:val="center"/>
          </w:tcPr>
          <w:p w14:paraId="6A48A260"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7F8A36A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45EC50E"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2BAB2FA" w14:textId="77777777" w:rsidR="003B07C8" w:rsidRDefault="00000000">
            <w:pPr>
              <w:spacing w:before="20" w:after="20"/>
              <w:jc w:val="right"/>
            </w:pPr>
            <w:r>
              <w:rPr>
                <w:b/>
                <w:bCs/>
                <w:color w:val="1A1A1A"/>
                <w:sz w:val="18"/>
                <w:szCs w:val="18"/>
              </w:rPr>
              <w:t>18.2%</w:t>
            </w:r>
          </w:p>
        </w:tc>
      </w:tr>
      <w:tr w:rsidR="003B07C8" w14:paraId="129645DF" w14:textId="77777777">
        <w:tc>
          <w:tcPr>
            <w:tcW w:w="4080" w:type="dxa"/>
            <w:shd w:val="clear" w:color="auto" w:fill="FFFFFF"/>
            <w:tcMar>
              <w:top w:w="40" w:type="dxa"/>
              <w:left w:w="100" w:type="dxa"/>
              <w:bottom w:w="40" w:type="dxa"/>
              <w:right w:w="100" w:type="dxa"/>
            </w:tcMar>
            <w:vAlign w:val="center"/>
          </w:tcPr>
          <w:p w14:paraId="313DBE3D"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28B80068"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5F44BE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80FD61E" w14:textId="77777777" w:rsidR="003B07C8" w:rsidRDefault="00000000">
            <w:pPr>
              <w:spacing w:before="20" w:after="20"/>
              <w:jc w:val="right"/>
            </w:pPr>
            <w:r>
              <w:rPr>
                <w:b/>
                <w:bCs/>
                <w:color w:val="1A1A1A"/>
                <w:sz w:val="18"/>
                <w:szCs w:val="18"/>
              </w:rPr>
              <w:t>16.9%</w:t>
            </w:r>
          </w:p>
        </w:tc>
      </w:tr>
      <w:tr w:rsidR="003B07C8" w14:paraId="1FBA3221" w14:textId="77777777">
        <w:tc>
          <w:tcPr>
            <w:tcW w:w="4080" w:type="dxa"/>
            <w:shd w:val="clear" w:color="auto" w:fill="FFFFFF"/>
            <w:tcMar>
              <w:top w:w="40" w:type="dxa"/>
              <w:left w:w="100" w:type="dxa"/>
              <w:bottom w:w="40" w:type="dxa"/>
              <w:right w:w="100" w:type="dxa"/>
            </w:tcMar>
            <w:vAlign w:val="center"/>
          </w:tcPr>
          <w:p w14:paraId="2A0330FD"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577B1D7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292764D5"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7541518" w14:textId="77777777" w:rsidR="003B07C8" w:rsidRDefault="00000000">
            <w:pPr>
              <w:spacing w:before="20" w:after="20"/>
              <w:jc w:val="right"/>
            </w:pPr>
            <w:r>
              <w:rPr>
                <w:b/>
                <w:bCs/>
                <w:color w:val="1A1A1A"/>
                <w:sz w:val="18"/>
                <w:szCs w:val="18"/>
              </w:rPr>
              <w:t>2.8%</w:t>
            </w:r>
          </w:p>
        </w:tc>
      </w:tr>
      <w:tr w:rsidR="003B07C8" w14:paraId="6029B638" w14:textId="77777777">
        <w:tc>
          <w:tcPr>
            <w:tcW w:w="4080" w:type="dxa"/>
            <w:shd w:val="clear" w:color="auto" w:fill="FFFFFF"/>
            <w:tcMar>
              <w:top w:w="40" w:type="dxa"/>
              <w:left w:w="100" w:type="dxa"/>
              <w:bottom w:w="40" w:type="dxa"/>
              <w:right w:w="100" w:type="dxa"/>
            </w:tcMar>
            <w:vAlign w:val="center"/>
          </w:tcPr>
          <w:p w14:paraId="4521F1DB"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42483E8B"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894281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6D40DFF" w14:textId="77777777" w:rsidR="003B07C8" w:rsidRDefault="00000000">
            <w:pPr>
              <w:spacing w:before="20" w:after="20"/>
              <w:jc w:val="right"/>
            </w:pPr>
            <w:r>
              <w:rPr>
                <w:b/>
                <w:bCs/>
                <w:color w:val="1A1A1A"/>
                <w:sz w:val="18"/>
                <w:szCs w:val="18"/>
              </w:rPr>
              <w:t>4.2%</w:t>
            </w:r>
          </w:p>
        </w:tc>
      </w:tr>
      <w:tr w:rsidR="003B07C8" w14:paraId="2FB881C4" w14:textId="77777777">
        <w:tc>
          <w:tcPr>
            <w:tcW w:w="10080" w:type="dxa"/>
            <w:gridSpan w:val="4"/>
            <w:shd w:val="clear" w:color="auto" w:fill="EDF2F7"/>
            <w:tcMar>
              <w:top w:w="40" w:type="dxa"/>
              <w:left w:w="100" w:type="dxa"/>
              <w:bottom w:w="40" w:type="dxa"/>
              <w:right w:w="100" w:type="dxa"/>
            </w:tcMar>
            <w:vAlign w:val="center"/>
          </w:tcPr>
          <w:p w14:paraId="3B40603B" w14:textId="77777777" w:rsidR="003B07C8" w:rsidRDefault="00000000">
            <w:pPr>
              <w:spacing w:before="20" w:after="20"/>
            </w:pPr>
            <w:r>
              <w:rPr>
                <w:b/>
                <w:bCs/>
                <w:color w:val="1A3A5C"/>
                <w:sz w:val="18"/>
                <w:szCs w:val="18"/>
              </w:rPr>
              <w:t>Ratings</w:t>
            </w:r>
          </w:p>
        </w:tc>
      </w:tr>
      <w:tr w:rsidR="003B07C8" w14:paraId="0ECDC12E" w14:textId="77777777">
        <w:tc>
          <w:tcPr>
            <w:tcW w:w="4080" w:type="dxa"/>
            <w:shd w:val="clear" w:color="auto" w:fill="FFFFFF"/>
            <w:tcMar>
              <w:top w:w="40" w:type="dxa"/>
              <w:left w:w="100" w:type="dxa"/>
              <w:bottom w:w="40" w:type="dxa"/>
              <w:right w:w="100" w:type="dxa"/>
            </w:tcMar>
            <w:vAlign w:val="center"/>
          </w:tcPr>
          <w:p w14:paraId="5456F6DF"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2749AB78"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043E7FE"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827ED77" w14:textId="77777777" w:rsidR="003B07C8" w:rsidRDefault="00000000">
            <w:pPr>
              <w:spacing w:before="20" w:after="20"/>
              <w:jc w:val="right"/>
            </w:pPr>
            <w:r>
              <w:rPr>
                <w:b/>
                <w:bCs/>
                <w:color w:val="1A1A1A"/>
                <w:sz w:val="18"/>
                <w:szCs w:val="18"/>
              </w:rPr>
              <w:t>Ba3/Stable</w:t>
            </w:r>
          </w:p>
        </w:tc>
      </w:tr>
      <w:tr w:rsidR="003B07C8" w14:paraId="3A475A5A" w14:textId="77777777">
        <w:tc>
          <w:tcPr>
            <w:tcW w:w="4080" w:type="dxa"/>
            <w:shd w:val="clear" w:color="auto" w:fill="FFFFFF"/>
            <w:tcMar>
              <w:top w:w="40" w:type="dxa"/>
              <w:left w:w="100" w:type="dxa"/>
              <w:bottom w:w="40" w:type="dxa"/>
              <w:right w:w="100" w:type="dxa"/>
            </w:tcMar>
            <w:vAlign w:val="center"/>
          </w:tcPr>
          <w:p w14:paraId="0678B81D"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603BDF10"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73E9614B"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B467D72" w14:textId="77777777" w:rsidR="003B07C8" w:rsidRDefault="00000000">
            <w:pPr>
              <w:spacing w:before="20" w:after="20"/>
              <w:jc w:val="right"/>
            </w:pPr>
            <w:r>
              <w:rPr>
                <w:b/>
                <w:bCs/>
                <w:color w:val="1A1A1A"/>
                <w:sz w:val="18"/>
                <w:szCs w:val="18"/>
              </w:rPr>
              <w:t>BB/Stable</w:t>
            </w:r>
          </w:p>
        </w:tc>
      </w:tr>
      <w:tr w:rsidR="003B07C8" w14:paraId="1E95B690" w14:textId="77777777">
        <w:tc>
          <w:tcPr>
            <w:tcW w:w="4080" w:type="dxa"/>
            <w:shd w:val="clear" w:color="auto" w:fill="FFFFFF"/>
            <w:tcMar>
              <w:top w:w="40" w:type="dxa"/>
              <w:left w:w="100" w:type="dxa"/>
              <w:bottom w:w="40" w:type="dxa"/>
              <w:right w:w="100" w:type="dxa"/>
            </w:tcMar>
            <w:vAlign w:val="center"/>
          </w:tcPr>
          <w:p w14:paraId="5E6203A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713369D8"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C70828C"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634D1118" w14:textId="77777777" w:rsidR="003B07C8" w:rsidRDefault="00000000">
            <w:pPr>
              <w:spacing w:before="20" w:after="20"/>
              <w:jc w:val="right"/>
            </w:pPr>
            <w:r>
              <w:rPr>
                <w:b/>
                <w:bCs/>
                <w:color w:val="1A1A1A"/>
                <w:sz w:val="18"/>
                <w:szCs w:val="18"/>
              </w:rPr>
              <w:t>BB-/Stable</w:t>
            </w:r>
          </w:p>
        </w:tc>
      </w:tr>
    </w:tbl>
    <w:p w14:paraId="70897AEA"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53D6395" w14:textId="77777777" w:rsidR="003B07C8" w:rsidRDefault="00000000">
      <w:pPr>
        <w:spacing w:before="120" w:after="20"/>
      </w:pPr>
      <w:r>
        <w:rPr>
          <w:b/>
          <w:bCs/>
          <w:color w:val="1A3A5C"/>
        </w:rPr>
        <w:t>Extended KPI chart — NBU vs peers (key ratios)</w:t>
      </w:r>
    </w:p>
    <w:p w14:paraId="7F223FA4" w14:textId="77777777" w:rsidR="003B07C8" w:rsidRDefault="00000000">
      <w:pPr>
        <w:spacing w:before="40" w:after="40"/>
        <w:jc w:val="center"/>
      </w:pPr>
      <w:r>
        <w:rPr>
          <w:noProof/>
        </w:rPr>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5FF061B9"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6BDEAB4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3F9EB6EC" w14:textId="77777777" w:rsidR="003B07C8" w:rsidRDefault="00000000">
      <w:pPr>
        <w:pBdr>
          <w:bottom w:val="single" w:sz="4" w:space="2" w:color="2E6DA4"/>
        </w:pBdr>
        <w:spacing w:before="200" w:after="80"/>
      </w:pPr>
      <w:r>
        <w:rPr>
          <w:b/>
          <w:bCs/>
          <w:color w:val="2E6DA4"/>
          <w:sz w:val="22"/>
          <w:szCs w:val="22"/>
        </w:rPr>
        <w:t>2.5 Peer Comparison</w:t>
      </w:r>
    </w:p>
    <w:p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tc>
          <w:tcPr>
            <w:tcW w:w="2880" w:type="dxa"/>
            <w:shd w:val="clear" w:color="auto" w:fill="2E4057"/>
            <w:tcMar>
              <w:top w:w="40" w:type="dxa"/>
              <w:left w:w="100" w:type="dxa"/>
              <w:bottom w:w="40" w:type="dxa"/>
              <w:right w:w="100" w:type="dxa"/>
            </w:tcMar>
            <w:vAlign w:val="center"/>
          </w:tcPr>
          <w:p>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Kaspi.kz (2025 1H)</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Profitability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~987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Margin (NIM)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Asset Quality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ratio (Stage 3 / gross loans)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4.2%¹</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Capital Adequacy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Liquidity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~95%</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Scale (USD Million)</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+11.0%</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Credit Ratings</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Baa3/Stable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r>
    </w:tbl>
    <w:p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NBU NPL is shown on the IFRS Stage 3 / gross-loans basis (4.2%); NBU’s regulatory NPL reported to the CBU is 2.8%, and the 5.6% figure cited elsewhere is the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and Moody’s, Fitch and S&amp;P rating publications. Halyk: Moody’s Baa1, Fitch BBB-, S&amp;P BBB- (all Stable). Kaspi.kz: Moody’s Baa3, Fitch BBB- (Stable); not rated by S&amp;P.</w:t>
      </w:r>
    </w:p>
    <w:p w14:paraId="752262EB" w14:textId="77777777" w:rsidR="003B07C8" w:rsidRDefault="00000000">
      <w:pPr>
        <w:spacing w:before="60" w:after="120"/>
      </w:pPr>
      <w:r>
        <w:rPr>
          <w:i/>
          <w:iCs/>
          <w:color w:val="777777"/>
          <w:sz w:val="16"/>
          <w:szCs w:val="16"/>
        </w:rPr>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4339CBE1" w14:textId="77777777" w:rsidR="0059742E" w:rsidRDefault="00C764C0">
      <w:r>
        <w:br w:type="page"/>
      </w:r>
    </w:p>
    <w:p w14:paraId="1B4F4FFB" w14:textId="77777777" w:rsidR="0059742E" w:rsidRDefault="00C764C0">
      <w:pPr>
        <w:spacing w:before="280" w:after="120"/>
      </w:pPr>
      <w:r>
        <w:rPr>
          <w:b/>
          <w:bCs/>
          <w:color w:val="1A3A5C"/>
          <w:sz w:val="26"/>
          <w:szCs w:val="26"/>
        </w:rPr>
        <w:lastRenderedPageBreak/>
        <w:t>Part 3 - Risk Analysis</w:t>
      </w:r>
    </w:p>
    <w:p w14:paraId="4CBC1079" w14:textId="77777777" w:rsidR="0059742E" w:rsidRDefault="00C764C0">
      <w:pPr>
        <w:pBdr>
          <w:bottom w:val="single" w:sz="4" w:space="2" w:color="2E6DA4"/>
        </w:pBdr>
        <w:spacing w:before="200" w:after="80"/>
      </w:pPr>
      <w:r>
        <w:rPr>
          <w:b/>
          <w:bCs/>
          <w:color w:val="2E6DA4"/>
          <w:sz w:val="22"/>
          <w:szCs w:val="22"/>
        </w:rPr>
        <w:t>3.1 Macro Business Environment</w:t>
      </w:r>
    </w:p>
    <w:p w14:paraId="65D0C5F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1546ECDF"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5CF9E893"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rsidR="0059742E" w:rsidRDefault="00C764C0">
      <w:pPr>
        <w:pBdr>
          <w:bottom w:val="single" w:sz="4" w:space="2" w:color="2E6DA4"/>
        </w:pBdr>
        <w:spacing w:before="200" w:after="80"/>
      </w:pPr>
      <w:r>
        <w:rPr>
          <w:b/>
          <w:bCs/>
          <w:color w:val="2E6DA4"/>
          <w:sz w:val="22"/>
          <w:szCs w:val="22"/>
        </w:rPr>
        <w:t>3.2 Country Risk</w:t>
      </w:r>
    </w:p>
    <w:p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rsidR="0059742E" w:rsidRDefault="00C764C0">
      <w:pPr>
        <w:spacing w:before="60" w:after="80"/>
      </w:pPr>
      <w:r>
        <w:rPr>
          <w:color w:val="1A1A1A"/>
        </w:rPr>
        <w:t>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rsidR="0059742E" w:rsidRDefault="00C764C0">
      <w:pPr>
        <w:pBdr>
          <w:bottom w:val="single" w:sz="4" w:space="2" w:color="2E6DA4"/>
        </w:pBdr>
        <w:spacing w:before="200" w:after="80"/>
      </w:pPr>
      <w:r>
        <w:rPr>
          <w:b/>
          <w:bCs/>
          <w:color w:val="2E6DA4"/>
          <w:sz w:val="22"/>
          <w:szCs w:val="22"/>
        </w:rPr>
        <w:t>3.3 Banking Sector Risk</w:t>
      </w:r>
    </w:p>
    <w:p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rsidR="0059742E" w:rsidRDefault="00C764C0">
      <w:pPr>
        <w:pBdr>
          <w:bottom w:val="single" w:sz="4" w:space="2" w:color="2E6DA4"/>
        </w:pBdr>
        <w:spacing w:before="200" w:after="80"/>
      </w:pPr>
      <w:r>
        <w:rPr>
          <w:b/>
          <w:bCs/>
          <w:color w:val="2E6DA4"/>
          <w:sz w:val="22"/>
          <w:szCs w:val="22"/>
        </w:rPr>
        <w:t>3.4 Company Risk Management</w:t>
      </w:r>
    </w:p>
    <w:p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rsidR="0059742E" w:rsidRDefault="00C764C0">
      <w:pPr>
        <w:spacing w:before="60" w:after="80"/>
      </w:pPr>
      <w:r>
        <w:rPr>
          <w:b/>
          <w:bCs/>
          <w:color w:val="1A1A1A"/>
        </w:rPr>
        <w:t xml:space="preserve">Interest-Rate Risk: </w:t>
      </w:r>
      <w:r>
        <w:rPr>
          <w:color w:val="1A1A1A"/>
        </w:rPr>
        <w:t>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478318F6" w14:textId="77777777" w:rsidR="0059742E" w:rsidRDefault="00C764C0">
      <w:r>
        <w:br w:type="page"/>
      </w:r>
    </w:p>
    <w:p w14:paraId="7270A354" w14:textId="77777777" w:rsidR="0059742E" w:rsidRDefault="00C764C0">
      <w:pPr>
        <w:spacing w:before="280" w:after="120"/>
      </w:pPr>
      <w:r>
        <w:rPr>
          <w:b/>
          <w:bCs/>
          <w:color w:val="1A3A5C"/>
          <w:sz w:val="26"/>
          <w:szCs w:val="26"/>
        </w:rPr>
        <w:t>Part 4 - Historical Banking Relationship and Plan</w:t>
      </w:r>
    </w:p>
    <w:p w14:paraId="6636C94C" w14:textId="77777777" w:rsidR="0059742E" w:rsidRDefault="00C764C0">
      <w:pPr>
        <w:pStyle w:val="ListParagraph"/>
        <w:numPr>
          <w:ilvl w:val="0"/>
          <w:numId w:val="2"/>
        </w:numPr>
        <w:spacing w:before="40" w:after="40"/>
      </w:pPr>
      <w:r>
        <w:rPr>
          <w:color w:val="1A1A1A"/>
        </w:rPr>
        <w:lastRenderedPageBreak/>
        <w:t>NBU is the largest bank in Uzbekistan and a key correspondent for cross-border transactions and trade finance in the Central Asian market.</w:t>
      </w:r>
    </w:p>
    <w:p w14:paraId="5ED54525"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36CA82CB"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1208843C"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6BC5A725"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18AA1CDF" w14:textId="77777777" w:rsidR="0059742E" w:rsidRDefault="00C764C0">
      <w:r>
        <w:br w:type="page"/>
      </w:r>
    </w:p>
    <w:p w14:paraId="0B6169D1" w14:textId="77777777" w:rsidR="0059742E" w:rsidRDefault="00C764C0">
      <w:pPr>
        <w:spacing w:before="280" w:after="120"/>
      </w:pPr>
      <w:r>
        <w:rPr>
          <w:b/>
          <w:bCs/>
          <w:color w:val="1A3A5C"/>
          <w:sz w:val="26"/>
          <w:szCs w:val="26"/>
        </w:rPr>
        <w:lastRenderedPageBreak/>
        <w:t>Part 5 - Internal and External Rating of NBU</w:t>
      </w:r>
    </w:p>
    <w:p w14:paraId="33251F3D" w14:textId="77777777" w:rsidR="0059742E" w:rsidRDefault="00C764C0">
      <w:pPr>
        <w:pBdr>
          <w:bottom w:val="single" w:sz="4" w:space="2" w:color="2E6DA4"/>
        </w:pBdr>
        <w:spacing w:before="200" w:after="80"/>
      </w:pPr>
      <w:r>
        <w:rPr>
          <w:b/>
          <w:bCs/>
          <w:color w:val="2E6DA4"/>
          <w:sz w:val="22"/>
          <w:szCs w:val="22"/>
        </w:rPr>
        <w:t>5.1 Credit rating review</w:t>
      </w:r>
    </w:p>
    <w:p w14:paraId="322C365C"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5557054A"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52E4109"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81D966"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7E03CF"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64E94D" w14:textId="77777777" w:rsidR="0059742E" w:rsidRDefault="00C764C0">
            <w:pPr>
              <w:jc w:val="center"/>
            </w:pPr>
            <w:r>
              <w:rPr>
                <w:b/>
                <w:bCs/>
                <w:color w:val="FFFFFF"/>
                <w:sz w:val="18"/>
                <w:szCs w:val="18"/>
              </w:rPr>
              <w:t>Last Confirmed</w:t>
            </w:r>
          </w:p>
        </w:tc>
      </w:tr>
      <w:tr w:rsidR="0059742E" w14:paraId="4C0474D6"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72CB51"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EE9752"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8302E21"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66A63F" w14:textId="77777777" w:rsidR="0059742E" w:rsidRDefault="00C764C0">
            <w:r>
              <w:rPr>
                <w:color w:val="1A1A1A"/>
                <w:sz w:val="18"/>
                <w:szCs w:val="18"/>
              </w:rPr>
              <w:t>September 2023 (last confirmed)</w:t>
            </w:r>
          </w:p>
        </w:tc>
      </w:tr>
      <w:tr w:rsidR="0059742E" w14:paraId="2EDAC104"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2030730"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937A749"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719761B"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D4DACE" w14:textId="77777777" w:rsidR="0059742E" w:rsidRDefault="00C764C0">
            <w:r>
              <w:rPr>
                <w:color w:val="1A1A1A"/>
                <w:sz w:val="18"/>
                <w:szCs w:val="18"/>
              </w:rPr>
              <w:t>2025 (upgraded to BB)</w:t>
            </w:r>
          </w:p>
        </w:tc>
      </w:tr>
      <w:tr w:rsidR="0059742E" w14:paraId="32DAF32F"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2B886D"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D8C80"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A3C83E"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45BFC6" w14:textId="77777777" w:rsidR="0059742E" w:rsidRDefault="00C764C0">
            <w:r>
              <w:rPr>
                <w:color w:val="1A1A1A"/>
                <w:sz w:val="18"/>
                <w:szCs w:val="18"/>
              </w:rPr>
              <w:t>March 2026 (affirmed)</w:t>
            </w:r>
          </w:p>
        </w:tc>
      </w:tr>
    </w:tbl>
    <w:p w14:paraId="14B02D6A"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45CAFF18"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17A90F6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4BC12B3A" w14:textId="77777777" w:rsidR="0059742E" w:rsidRDefault="00C764C0">
      <w:pPr>
        <w:pBdr>
          <w:bottom w:val="single" w:sz="4" w:space="2" w:color="2E6DA4"/>
        </w:pBdr>
        <w:spacing w:before="200" w:after="80"/>
      </w:pPr>
      <w:r>
        <w:rPr>
          <w:b/>
          <w:bCs/>
          <w:color w:val="2E6DA4"/>
          <w:sz w:val="22"/>
          <w:szCs w:val="22"/>
        </w:rPr>
        <w:t>5.2 Credit limit availability</w:t>
      </w:r>
    </w:p>
    <w:p w14:paraId="4CA4221E"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4FBDAEC4"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07E95CFD"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E67530"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62A8010"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7FC68C"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BF0AF72"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B875FEF"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3784485" w14:textId="77777777" w:rsidR="0059742E" w:rsidRDefault="00C764C0">
            <w:pPr>
              <w:jc w:val="center"/>
            </w:pPr>
            <w:r>
              <w:rPr>
                <w:b/>
                <w:bCs/>
                <w:color w:val="FFFFFF"/>
                <w:sz w:val="18"/>
                <w:szCs w:val="18"/>
              </w:rPr>
              <w:t>Derivatives</w:t>
            </w:r>
          </w:p>
        </w:tc>
      </w:tr>
      <w:tr w:rsidR="0059742E" w14:paraId="0FEEB4AE"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EA11201"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43C7DC4"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FB19408"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A88C9D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CB48CF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59067E7" w14:textId="77777777" w:rsidR="0059742E" w:rsidRDefault="00C764C0">
            <w:pPr>
              <w:jc w:val="right"/>
            </w:pPr>
            <w:r>
              <w:rPr>
                <w:color w:val="1A1A1A"/>
                <w:sz w:val="18"/>
                <w:szCs w:val="18"/>
              </w:rPr>
              <w:t>—</w:t>
            </w:r>
          </w:p>
        </w:tc>
      </w:tr>
      <w:tr w:rsidR="0059742E" w14:paraId="00DA399E"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3962DAF"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636E7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8908CB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C7219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03B9F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A552E34" w14:textId="77777777" w:rsidR="0059742E" w:rsidRDefault="00C764C0">
            <w:pPr>
              <w:jc w:val="right"/>
            </w:pPr>
            <w:r>
              <w:rPr>
                <w:color w:val="1A1A1A"/>
                <w:sz w:val="18"/>
                <w:szCs w:val="18"/>
              </w:rPr>
              <w:t>—</w:t>
            </w:r>
          </w:p>
        </w:tc>
      </w:tr>
      <w:tr w:rsidR="0059742E" w14:paraId="4AB185A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E11125"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5B9037"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2B848D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D08A60"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5945F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CDECED5" w14:textId="77777777" w:rsidR="0059742E" w:rsidRDefault="00C764C0">
            <w:pPr>
              <w:jc w:val="right"/>
            </w:pPr>
            <w:r>
              <w:rPr>
                <w:color w:val="1A1A1A"/>
                <w:sz w:val="18"/>
                <w:szCs w:val="18"/>
              </w:rPr>
              <w:t>[FID to confirm]</w:t>
            </w:r>
          </w:p>
        </w:tc>
      </w:tr>
    </w:tbl>
    <w:p w14:paraId="1760AA44"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5122562D" w14:textId="77777777" w:rsidR="0059742E" w:rsidRDefault="00C764C0">
      <w:pPr>
        <w:spacing w:before="280" w:after="120"/>
      </w:pPr>
      <w:r>
        <w:rPr>
          <w:b/>
          <w:bCs/>
          <w:color w:val="1A3A5C"/>
          <w:sz w:val="26"/>
          <w:szCs w:val="26"/>
        </w:rPr>
        <w:lastRenderedPageBreak/>
        <w:t>Part 6 - Evaluation of Credit Risk and Calculation of Reference Value of Credit Line</w:t>
      </w:r>
    </w:p>
    <w:p w14:paraId="2D50DAE9" w14:textId="77777777" w:rsidR="0059742E" w:rsidRDefault="00C764C0">
      <w:pPr>
        <w:pBdr>
          <w:bottom w:val="single" w:sz="4" w:space="2" w:color="2E6DA4"/>
        </w:pBdr>
        <w:spacing w:before="200" w:after="80"/>
      </w:pPr>
      <w:r>
        <w:rPr>
          <w:b/>
          <w:bCs/>
          <w:color w:val="2E6DA4"/>
          <w:sz w:val="22"/>
          <w:szCs w:val="22"/>
        </w:rPr>
        <w:t>6.1 Maximum Credit limit</w:t>
      </w:r>
    </w:p>
    <w:p w14:paraId="11EAD8F7"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799237AB"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444AD67E"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96EA74F"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5157C35" w14:textId="77777777" w:rsidR="0059742E" w:rsidRDefault="00C764C0">
            <w:pPr>
              <w:jc w:val="center"/>
            </w:pPr>
            <w:r>
              <w:rPr>
                <w:b/>
                <w:bCs/>
                <w:color w:val="FFFFFF"/>
                <w:sz w:val="18"/>
                <w:szCs w:val="18"/>
              </w:rPr>
              <w:t>Calculation</w:t>
            </w:r>
          </w:p>
        </w:tc>
      </w:tr>
      <w:tr w:rsidR="0059742E" w14:paraId="7213AD7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3866E"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8D798" w14:textId="77777777" w:rsidR="0059742E" w:rsidRDefault="00C764C0">
            <w:r>
              <w:rPr>
                <w:color w:val="1A1A1A"/>
                <w:sz w:val="18"/>
                <w:szCs w:val="18"/>
              </w:rPr>
              <w:t>= a (risk factor weight) × CT0 = 18% × USD 200 billion = USD 36 billion</w:t>
            </w:r>
          </w:p>
        </w:tc>
      </w:tr>
      <w:tr w:rsidR="0059742E" w14:paraId="2CBA684D"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7F1D656"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13B89F0D" w14:textId="77777777" w:rsidR="0059742E" w:rsidRDefault="00C764C0">
            <w:r>
              <w:rPr>
                <w:color w:val="1A1A1A"/>
                <w:sz w:val="18"/>
                <w:szCs w:val="18"/>
              </w:rPr>
              <w:t>Ba3 / BB corresponds to an internal rating of sA+ (pending final approval). Per ICBC internal rule, risk factor weight a = 18%.</w:t>
            </w:r>
          </w:p>
        </w:tc>
      </w:tr>
      <w:tr w:rsidR="0059742E" w14:paraId="49765F2A"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401CC1"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49BD63A" w14:textId="77777777" w:rsidR="0059742E" w:rsidRDefault="00C764C0">
            <w:r>
              <w:rPr>
                <w:color w:val="1A1A1A"/>
                <w:sz w:val="18"/>
                <w:szCs w:val="18"/>
              </w:rPr>
              <w:t>Per ICBC internal rule, CT0 = USD 200 billion.</w:t>
            </w:r>
          </w:p>
        </w:tc>
      </w:tr>
      <w:tr w:rsidR="0059742E" w14:paraId="0606BC60"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D2D9DE8"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A0FAA58" w14:textId="77777777" w:rsidR="0059742E" w:rsidRDefault="00C764C0">
            <w:r>
              <w:rPr>
                <w:color w:val="1A1A1A"/>
                <w:sz w:val="18"/>
                <w:szCs w:val="18"/>
              </w:rPr>
              <w:t>= b (concentration factor weight) × Total Liabilities = 0.5% × USD 10,270 million = USD 51.4 million</w:t>
            </w:r>
          </w:p>
        </w:tc>
      </w:tr>
      <w:tr w:rsidR="0059742E" w14:paraId="4BBD64DF"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B757083"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36A2FEC"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707A536C"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BD3ADD5"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2C090A8" w14:textId="77777777" w:rsidR="0059742E" w:rsidRDefault="00C764C0">
            <w:r>
              <w:rPr>
                <w:color w:val="1A1A1A"/>
                <w:sz w:val="18"/>
                <w:szCs w:val="18"/>
              </w:rPr>
              <w:t>UZS 124,777.0 billion ÷ 12,150 × 1,000 = approximately USD 10,270 million.</w:t>
            </w:r>
          </w:p>
        </w:tc>
      </w:tr>
      <w:tr w:rsidR="0059742E" w14:paraId="1285BCA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FDF40A3"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BF5DFE" w14:textId="77777777" w:rsidR="0059742E" w:rsidRDefault="00C764C0">
            <w:r>
              <w:rPr>
                <w:color w:val="1A1A1A"/>
                <w:sz w:val="18"/>
                <w:szCs w:val="18"/>
              </w:rPr>
              <w:t>NBU is the largest bank in Uzbekistan and a key correspondent in Central Asia. adj1 = 1.0</w:t>
            </w:r>
          </w:p>
        </w:tc>
      </w:tr>
      <w:tr w:rsidR="0059742E" w14:paraId="467B2CEB"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240C9"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E9C1FC1" w14:textId="77777777" w:rsidR="0059742E" w:rsidRDefault="00C764C0">
            <w:r>
              <w:rPr>
                <w:color w:val="1A1A1A"/>
                <w:sz w:val="18"/>
                <w:szCs w:val="18"/>
              </w:rPr>
              <w:t>Our institution does not have a local branch in Uzbekistan. adj2 = 1.0</w:t>
            </w:r>
          </w:p>
        </w:tc>
      </w:tr>
      <w:tr w:rsidR="0059742E" w14:paraId="440BD3BC"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E770C4F"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2023D7" w14:textId="77777777" w:rsidR="0059742E" w:rsidRDefault="00C764C0">
            <w:r>
              <w:rPr>
                <w:b/>
                <w:bCs/>
                <w:color w:val="1A1A1A"/>
                <w:sz w:val="18"/>
                <w:szCs w:val="18"/>
              </w:rPr>
              <w:t>= min(USD 36 billion, USD 51.4 million) × 1.0 × 1.0 = USD 51.4 million</w:t>
            </w:r>
          </w:p>
        </w:tc>
      </w:tr>
    </w:tbl>
    <w:p w14:paraId="14C6AAF7" w14:textId="77777777" w:rsidR="0059742E" w:rsidRDefault="00C764C0">
      <w:pPr>
        <w:pBdr>
          <w:bottom w:val="single" w:sz="4" w:space="2" w:color="2E6DA4"/>
        </w:pBdr>
        <w:spacing w:before="200" w:after="80"/>
      </w:pPr>
      <w:r>
        <w:rPr>
          <w:b/>
          <w:bCs/>
          <w:color w:val="2E6DA4"/>
          <w:sz w:val="22"/>
          <w:szCs w:val="22"/>
        </w:rPr>
        <w:t>6.2 Summary</w:t>
      </w:r>
    </w:p>
    <w:p w14:paraId="24998D24"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31C85587"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6D85DF67"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3D85792" w14:textId="77777777" w:rsidR="0059742E" w:rsidRDefault="0059742E">
      <w:pPr>
        <w:spacing w:before="360" w:after="60"/>
      </w:pPr>
    </w:p>
    <w:p w14:paraId="5DA45E45" w14:textId="77777777" w:rsidR="00BA183A" w:rsidRDefault="00000000">
      <w:pPr>
        <w:spacing w:before="280" w:after="120"/>
      </w:pPr>
      <w:r>
        <w:rPr>
          <w:b/>
          <w:bCs/>
          <w:color w:val="1A3A5C"/>
          <w:sz w:val="26"/>
          <w:szCs w:val="26"/>
        </w:rPr>
        <w:t>Part 7 - Proposed Key Transaction Terms, Financial Covenants and Risk Mitigants</w:t>
      </w:r>
    </w:p>
    <w:p w14:paraId="05C15BEE" w14:textId="77777777" w:rsidR="00BA183A" w:rsidRDefault="00000000">
      <w:pPr>
        <w:spacing w:before="60" w:after="80"/>
      </w:pPr>
      <w:r>
        <w:rPr>
          <w:color w:val="1A1A1A"/>
        </w:rPr>
        <w:lastRenderedPageBreak/>
        <w:t>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65F06B49"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6A3BF7D3" w14:textId="77777777">
        <w:tc>
          <w:tcPr>
            <w:tcW w:w="3360" w:type="dxa"/>
            <w:shd w:val="clear" w:color="auto" w:fill="2E4057"/>
            <w:tcMar>
              <w:top w:w="40" w:type="dxa"/>
              <w:left w:w="100" w:type="dxa"/>
              <w:bottom w:w="40" w:type="dxa"/>
              <w:right w:w="100" w:type="dxa"/>
            </w:tcMar>
            <w:vAlign w:val="center"/>
          </w:tcPr>
          <w:p w14:paraId="5350C7B4"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5D0A2BB7" w14:textId="77777777" w:rsidR="00BA183A" w:rsidRDefault="00000000">
            <w:pPr>
              <w:spacing w:before="20" w:after="20"/>
            </w:pPr>
            <w:r>
              <w:rPr>
                <w:b/>
                <w:bCs/>
                <w:color w:val="FFFFFF"/>
                <w:sz w:val="18"/>
                <w:szCs w:val="18"/>
              </w:rPr>
              <w:t>Detail</w:t>
            </w:r>
          </w:p>
        </w:tc>
      </w:tr>
      <w:tr w:rsidR="00BA183A" w14:paraId="3DB82849" w14:textId="77777777">
        <w:tc>
          <w:tcPr>
            <w:tcW w:w="3360" w:type="dxa"/>
            <w:shd w:val="clear" w:color="auto" w:fill="FFFFFF"/>
            <w:tcMar>
              <w:top w:w="40" w:type="dxa"/>
              <w:left w:w="100" w:type="dxa"/>
              <w:bottom w:w="40" w:type="dxa"/>
              <w:right w:w="100" w:type="dxa"/>
            </w:tcMar>
            <w:vAlign w:val="center"/>
          </w:tcPr>
          <w:p w14:paraId="199F4C85"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0F474F41" w14:textId="77777777" w:rsidR="00BA183A" w:rsidRDefault="00000000">
            <w:pPr>
              <w:spacing w:before="20" w:after="20"/>
            </w:pPr>
            <w:r>
              <w:rPr>
                <w:color w:val="1A1A1A"/>
                <w:sz w:val="18"/>
                <w:szCs w:val="18"/>
              </w:rPr>
              <w:t>JSC National Bank for Foreign Economic Activity of the Republic of Uzbekistan ("NBU")</w:t>
            </w:r>
          </w:p>
        </w:tc>
      </w:tr>
      <w:tr w:rsidR="00BA183A" w14:paraId="729E7367" w14:textId="77777777">
        <w:tc>
          <w:tcPr>
            <w:tcW w:w="3360" w:type="dxa"/>
            <w:shd w:val="clear" w:color="auto" w:fill="FFFFFF"/>
            <w:tcMar>
              <w:top w:w="40" w:type="dxa"/>
              <w:left w:w="100" w:type="dxa"/>
              <w:bottom w:w="40" w:type="dxa"/>
              <w:right w:w="100" w:type="dxa"/>
            </w:tcMar>
            <w:vAlign w:val="center"/>
          </w:tcPr>
          <w:p w14:paraId="5CEE50C9"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3D9E07CF"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50A12703" w14:textId="77777777">
        <w:tc>
          <w:tcPr>
            <w:tcW w:w="3360" w:type="dxa"/>
            <w:shd w:val="clear" w:color="auto" w:fill="FFFFFF"/>
            <w:tcMar>
              <w:top w:w="40" w:type="dxa"/>
              <w:left w:w="100" w:type="dxa"/>
              <w:bottom w:w="40" w:type="dxa"/>
              <w:right w:w="100" w:type="dxa"/>
            </w:tcMar>
            <w:vAlign w:val="center"/>
          </w:tcPr>
          <w:p w14:paraId="43BE2324"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7056E521"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1EF501AF" w14:textId="77777777">
        <w:tc>
          <w:tcPr>
            <w:tcW w:w="3360" w:type="dxa"/>
            <w:shd w:val="clear" w:color="auto" w:fill="FFFFFF"/>
            <w:tcMar>
              <w:top w:w="40" w:type="dxa"/>
              <w:left w:w="100" w:type="dxa"/>
              <w:bottom w:w="40" w:type="dxa"/>
              <w:right w:w="100" w:type="dxa"/>
            </w:tcMar>
            <w:vAlign w:val="center"/>
          </w:tcPr>
          <w:p w14:paraId="51627A07"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49F03383" w14:textId="77777777" w:rsidR="00BA183A" w:rsidRDefault="00000000">
            <w:pPr>
              <w:spacing w:before="20" w:after="20"/>
            </w:pPr>
            <w:r>
              <w:rPr>
                <w:color w:val="1A1A1A"/>
                <w:sz w:val="18"/>
                <w:szCs w:val="18"/>
              </w:rPr>
              <w:t>Senior unsecured; pari passu with NBU's other senior unsecured obligations</w:t>
            </w:r>
          </w:p>
        </w:tc>
      </w:tr>
      <w:tr w:rsidR="00BA183A" w14:paraId="628B15B8" w14:textId="77777777">
        <w:tc>
          <w:tcPr>
            <w:tcW w:w="3360" w:type="dxa"/>
            <w:shd w:val="clear" w:color="auto" w:fill="FFFFFF"/>
            <w:tcMar>
              <w:top w:w="40" w:type="dxa"/>
              <w:left w:w="100" w:type="dxa"/>
              <w:bottom w:w="40" w:type="dxa"/>
              <w:right w:w="100" w:type="dxa"/>
            </w:tcMar>
            <w:vAlign w:val="center"/>
          </w:tcPr>
          <w:p w14:paraId="384E48ED"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2E508856"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0102371" w14:textId="77777777">
        <w:tc>
          <w:tcPr>
            <w:tcW w:w="3360" w:type="dxa"/>
            <w:shd w:val="clear" w:color="auto" w:fill="FFFFFF"/>
            <w:tcMar>
              <w:top w:w="40" w:type="dxa"/>
              <w:left w:w="100" w:type="dxa"/>
              <w:bottom w:w="40" w:type="dxa"/>
              <w:right w:w="100" w:type="dxa"/>
            </w:tcMar>
            <w:vAlign w:val="center"/>
          </w:tcPr>
          <w:p w14:paraId="0CCD22D1"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34BD5FC7" w14:textId="77777777" w:rsidR="00BA183A" w:rsidRDefault="00000000">
            <w:pPr>
              <w:spacing w:before="20" w:after="20"/>
            </w:pPr>
            <w:r>
              <w:rPr>
                <w:color w:val="1A1A1A"/>
                <w:sz w:val="18"/>
                <w:szCs w:val="18"/>
              </w:rPr>
              <w:t>Primarily USD; UZS where applicable</w:t>
            </w:r>
          </w:p>
        </w:tc>
      </w:tr>
      <w:tr w:rsidR="00BA183A" w14:paraId="49D5D7A2" w14:textId="77777777">
        <w:tc>
          <w:tcPr>
            <w:tcW w:w="3360" w:type="dxa"/>
            <w:shd w:val="clear" w:color="auto" w:fill="FFFFFF"/>
            <w:tcMar>
              <w:top w:w="40" w:type="dxa"/>
              <w:left w:w="100" w:type="dxa"/>
              <w:bottom w:w="40" w:type="dxa"/>
              <w:right w:w="100" w:type="dxa"/>
            </w:tcMar>
            <w:vAlign w:val="center"/>
          </w:tcPr>
          <w:p w14:paraId="662C9132"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56CB21A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47B82A78" w14:textId="77777777">
        <w:tc>
          <w:tcPr>
            <w:tcW w:w="3360" w:type="dxa"/>
            <w:shd w:val="clear" w:color="auto" w:fill="FFFFFF"/>
            <w:tcMar>
              <w:top w:w="40" w:type="dxa"/>
              <w:left w:w="100" w:type="dxa"/>
              <w:bottom w:w="40" w:type="dxa"/>
              <w:right w:w="100" w:type="dxa"/>
            </w:tcMar>
            <w:vAlign w:val="center"/>
          </w:tcPr>
          <w:p w14:paraId="2BBE39E5"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3BBFCA14"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A06EE30" w14:textId="77777777">
        <w:tc>
          <w:tcPr>
            <w:tcW w:w="3360" w:type="dxa"/>
            <w:shd w:val="clear" w:color="auto" w:fill="FFFFFF"/>
            <w:tcMar>
              <w:top w:w="40" w:type="dxa"/>
              <w:left w:w="100" w:type="dxa"/>
              <w:bottom w:w="40" w:type="dxa"/>
              <w:right w:w="100" w:type="dxa"/>
            </w:tcMar>
            <w:vAlign w:val="center"/>
          </w:tcPr>
          <w:p w14:paraId="7F422930"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8331059" w14:textId="77777777" w:rsidR="00BA183A" w:rsidRDefault="00000000">
            <w:pPr>
              <w:spacing w:before="20" w:after="20"/>
            </w:pPr>
            <w:r>
              <w:rPr>
                <w:color w:val="1A1A1A"/>
                <w:sz w:val="18"/>
                <w:szCs w:val="18"/>
              </w:rPr>
              <w:t>Per transaction (see the Section 8 cost-benefit framework); to be confirmed by Treasury / FID</w:t>
            </w:r>
          </w:p>
        </w:tc>
      </w:tr>
    </w:tbl>
    <w:p w14:paraId="06EC88B3" w14:textId="77777777" w:rsidR="00BA183A" w:rsidRDefault="00000000">
      <w:pPr>
        <w:pBdr>
          <w:bottom w:val="single" w:sz="4" w:space="2" w:color="2E6DA4"/>
        </w:pBdr>
        <w:spacing w:before="200" w:after="80"/>
      </w:pPr>
      <w:r>
        <w:rPr>
          <w:b/>
          <w:bCs/>
          <w:color w:val="2E6DA4"/>
          <w:sz w:val="22"/>
          <w:szCs w:val="22"/>
        </w:rPr>
        <w:t>7.2 Proposed Financial Covenants</w:t>
      </w:r>
    </w:p>
    <w:p w14:paraId="3B44E5AA"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5A0DA779" w14:textId="77777777">
        <w:tc>
          <w:tcPr>
            <w:tcW w:w="4080" w:type="dxa"/>
            <w:shd w:val="clear" w:color="auto" w:fill="2E4057"/>
            <w:tcMar>
              <w:top w:w="40" w:type="dxa"/>
              <w:left w:w="100" w:type="dxa"/>
              <w:bottom w:w="40" w:type="dxa"/>
              <w:right w:w="100" w:type="dxa"/>
            </w:tcMar>
            <w:vAlign w:val="center"/>
          </w:tcPr>
          <w:p w14:paraId="5D2B6BCB"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65D33E0F"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7400B431" w14:textId="77777777" w:rsidR="00BA183A" w:rsidRDefault="00000000">
            <w:pPr>
              <w:spacing w:before="20" w:after="20"/>
            </w:pPr>
            <w:r>
              <w:rPr>
                <w:b/>
                <w:bCs/>
                <w:color w:val="FFFFFF"/>
                <w:sz w:val="18"/>
                <w:szCs w:val="18"/>
              </w:rPr>
              <w:t>Basis / reference</w:t>
            </w:r>
          </w:p>
        </w:tc>
      </w:tr>
      <w:tr w:rsidR="00BA183A" w14:paraId="2FF4FFB0" w14:textId="77777777">
        <w:tc>
          <w:tcPr>
            <w:tcW w:w="4080" w:type="dxa"/>
            <w:shd w:val="clear" w:color="auto" w:fill="FFFFFF"/>
            <w:tcMar>
              <w:top w:w="40" w:type="dxa"/>
              <w:left w:w="100" w:type="dxa"/>
              <w:bottom w:w="40" w:type="dxa"/>
              <w:right w:w="100" w:type="dxa"/>
            </w:tcMar>
            <w:vAlign w:val="center"/>
          </w:tcPr>
          <w:p w14:paraId="58DEA78B"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70CE707C"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3ABE41F4" w14:textId="77777777" w:rsidR="00BA183A" w:rsidRDefault="00000000">
            <w:pPr>
              <w:spacing w:before="20" w:after="20"/>
            </w:pPr>
            <w:r>
              <w:rPr>
                <w:color w:val="1A1A1A"/>
                <w:sz w:val="18"/>
                <w:szCs w:val="18"/>
              </w:rPr>
              <w:t>CBU minimum 12%; sector ~18.3%</w:t>
            </w:r>
          </w:p>
        </w:tc>
      </w:tr>
      <w:tr w:rsidR="00BA183A" w14:paraId="60EA68BD" w14:textId="77777777">
        <w:tc>
          <w:tcPr>
            <w:tcW w:w="4080" w:type="dxa"/>
            <w:shd w:val="clear" w:color="auto" w:fill="FFFFFF"/>
            <w:tcMar>
              <w:top w:w="40" w:type="dxa"/>
              <w:left w:w="100" w:type="dxa"/>
              <w:bottom w:w="40" w:type="dxa"/>
              <w:right w:w="100" w:type="dxa"/>
            </w:tcMar>
            <w:vAlign w:val="center"/>
          </w:tcPr>
          <w:p w14:paraId="6501D8CE"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12E736D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4B2EE3EA" w14:textId="77777777" w:rsidR="00BA183A" w:rsidRDefault="00000000">
            <w:pPr>
              <w:spacing w:before="20" w:after="20"/>
            </w:pPr>
            <w:r>
              <w:rPr>
                <w:color w:val="1A1A1A"/>
                <w:sz w:val="18"/>
                <w:szCs w:val="18"/>
              </w:rPr>
              <w:t>CBU minimum 8%; sector ~15.2%</w:t>
            </w:r>
          </w:p>
        </w:tc>
      </w:tr>
      <w:tr w:rsidR="00BA183A" w14:paraId="6E79E5CE" w14:textId="77777777">
        <w:tc>
          <w:tcPr>
            <w:tcW w:w="4080" w:type="dxa"/>
            <w:shd w:val="clear" w:color="auto" w:fill="FFFFFF"/>
            <w:tcMar>
              <w:top w:w="40" w:type="dxa"/>
              <w:left w:w="100" w:type="dxa"/>
              <w:bottom w:w="40" w:type="dxa"/>
              <w:right w:w="100" w:type="dxa"/>
            </w:tcMar>
            <w:vAlign w:val="center"/>
          </w:tcPr>
          <w:p w14:paraId="1BC1079C"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74DA331"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587A7F7E" w14:textId="77777777" w:rsidR="00BA183A" w:rsidRDefault="00000000">
            <w:pPr>
              <w:spacing w:before="20" w:after="20"/>
            </w:pPr>
            <w:r>
              <w:rPr>
                <w:color w:val="1A1A1A"/>
                <w:sz w:val="18"/>
                <w:szCs w:val="18"/>
              </w:rPr>
              <w:t>NBU ~2.8%; sector ~4.1%</w:t>
            </w:r>
          </w:p>
        </w:tc>
      </w:tr>
      <w:tr w:rsidR="00BA183A" w14:paraId="0D61CF15" w14:textId="77777777">
        <w:tc>
          <w:tcPr>
            <w:tcW w:w="4080" w:type="dxa"/>
            <w:shd w:val="clear" w:color="auto" w:fill="FFFFFF"/>
            <w:tcMar>
              <w:top w:w="40" w:type="dxa"/>
              <w:left w:w="100" w:type="dxa"/>
              <w:bottom w:w="40" w:type="dxa"/>
              <w:right w:w="100" w:type="dxa"/>
            </w:tcMar>
            <w:vAlign w:val="center"/>
          </w:tcPr>
          <w:p w14:paraId="5571F24A"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0F68F4CD"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48840FE0" w14:textId="77777777" w:rsidR="00BA183A" w:rsidRDefault="00000000">
            <w:pPr>
              <w:spacing w:before="20" w:after="20"/>
            </w:pPr>
            <w:r>
              <w:rPr>
                <w:color w:val="1A1A1A"/>
                <w:sz w:val="18"/>
                <w:szCs w:val="18"/>
              </w:rPr>
              <w:t>Basel III / CBU</w:t>
            </w:r>
          </w:p>
        </w:tc>
      </w:tr>
      <w:tr w:rsidR="00BA183A" w14:paraId="3D1BCA02" w14:textId="77777777">
        <w:tc>
          <w:tcPr>
            <w:tcW w:w="4080" w:type="dxa"/>
            <w:shd w:val="clear" w:color="auto" w:fill="FFFFFF"/>
            <w:tcMar>
              <w:top w:w="40" w:type="dxa"/>
              <w:left w:w="100" w:type="dxa"/>
              <w:bottom w:w="40" w:type="dxa"/>
              <w:right w:w="100" w:type="dxa"/>
            </w:tcMar>
            <w:vAlign w:val="center"/>
          </w:tcPr>
          <w:p w14:paraId="7C520FC6"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7334132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2FCF41CB" w14:textId="77777777" w:rsidR="00BA183A" w:rsidRDefault="00000000">
            <w:pPr>
              <w:spacing w:before="20" w:after="20"/>
            </w:pPr>
            <w:r>
              <w:rPr>
                <w:color w:val="1A1A1A"/>
                <w:sz w:val="18"/>
                <w:szCs w:val="18"/>
              </w:rPr>
              <w:t>Basel III / CBU</w:t>
            </w:r>
          </w:p>
        </w:tc>
      </w:tr>
      <w:tr w:rsidR="00BA183A" w14:paraId="6BF193FF" w14:textId="77777777">
        <w:tc>
          <w:tcPr>
            <w:tcW w:w="4080" w:type="dxa"/>
            <w:shd w:val="clear" w:color="auto" w:fill="FFFFFF"/>
            <w:tcMar>
              <w:top w:w="40" w:type="dxa"/>
              <w:left w:w="100" w:type="dxa"/>
              <w:bottom w:w="40" w:type="dxa"/>
              <w:right w:w="100" w:type="dxa"/>
            </w:tcMar>
            <w:vAlign w:val="center"/>
          </w:tcPr>
          <w:p w14:paraId="6E219095"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18B48683"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60991619" w14:textId="77777777" w:rsidR="00BA183A" w:rsidRDefault="00000000">
            <w:pPr>
              <w:spacing w:before="20" w:after="20"/>
            </w:pPr>
            <w:r>
              <w:rPr>
                <w:color w:val="1A1A1A"/>
                <w:sz w:val="18"/>
                <w:szCs w:val="18"/>
              </w:rPr>
              <w:t>Quasi-sovereign support is core to the credit</w:t>
            </w:r>
          </w:p>
        </w:tc>
      </w:tr>
      <w:tr w:rsidR="00BA183A" w14:paraId="538F13DE" w14:textId="77777777">
        <w:tc>
          <w:tcPr>
            <w:tcW w:w="4080" w:type="dxa"/>
            <w:shd w:val="clear" w:color="auto" w:fill="FFFFFF"/>
            <w:tcMar>
              <w:top w:w="40" w:type="dxa"/>
              <w:left w:w="100" w:type="dxa"/>
              <w:bottom w:w="40" w:type="dxa"/>
              <w:right w:w="100" w:type="dxa"/>
            </w:tcMar>
            <w:vAlign w:val="center"/>
          </w:tcPr>
          <w:p w14:paraId="2DC79274" w14:textId="77777777" w:rsidR="00BA183A" w:rsidRDefault="00000000">
            <w:pPr>
              <w:spacing w:before="20" w:after="20"/>
            </w:pPr>
            <w:r>
              <w:rPr>
                <w:color w:val="1A1A1A"/>
                <w:sz w:val="18"/>
                <w:szCs w:val="18"/>
              </w:rPr>
              <w:lastRenderedPageBreak/>
              <w:t>Licence and ratings maintenance</w:t>
            </w:r>
          </w:p>
        </w:tc>
        <w:tc>
          <w:tcPr>
            <w:tcW w:w="2880" w:type="dxa"/>
            <w:shd w:val="clear" w:color="auto" w:fill="FFFFFF"/>
            <w:tcMar>
              <w:top w:w="40" w:type="dxa"/>
              <w:left w:w="100" w:type="dxa"/>
              <w:bottom w:w="40" w:type="dxa"/>
              <w:right w:w="100" w:type="dxa"/>
            </w:tcMar>
            <w:vAlign w:val="center"/>
          </w:tcPr>
          <w:p w14:paraId="5C4A2682"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23B4362D" w14:textId="77777777" w:rsidR="00BA183A" w:rsidRDefault="00000000">
            <w:pPr>
              <w:spacing w:before="20" w:after="20"/>
            </w:pPr>
            <w:r>
              <w:rPr>
                <w:color w:val="1A1A1A"/>
                <w:sz w:val="18"/>
                <w:szCs w:val="18"/>
              </w:rPr>
              <w:t>Franchise / rating linkage</w:t>
            </w:r>
          </w:p>
        </w:tc>
      </w:tr>
      <w:tr w:rsidR="00BA183A" w14:paraId="794B8CE2" w14:textId="77777777">
        <w:tc>
          <w:tcPr>
            <w:tcW w:w="4080" w:type="dxa"/>
            <w:shd w:val="clear" w:color="auto" w:fill="FFFFFF"/>
            <w:tcMar>
              <w:top w:w="40" w:type="dxa"/>
              <w:left w:w="100" w:type="dxa"/>
              <w:bottom w:w="40" w:type="dxa"/>
              <w:right w:w="100" w:type="dxa"/>
            </w:tcMar>
            <w:vAlign w:val="center"/>
          </w:tcPr>
          <w:p w14:paraId="32FA1C57" w14:textId="77777777" w:rsidR="00BA183A" w:rsidRDefault="00000000">
            <w:pPr>
              <w:spacing w:before="20" w:after="20"/>
            </w:pPr>
            <w:r>
              <w:rPr>
                <w:color w:val="1A1A1A"/>
                <w:sz w:val="18"/>
                <w:szCs w:val="18"/>
              </w:rPr>
              <w:t>Negative pledge / pari passu / cross-default</w:t>
            </w:r>
          </w:p>
        </w:tc>
        <w:tc>
          <w:tcPr>
            <w:tcW w:w="2880" w:type="dxa"/>
            <w:shd w:val="clear" w:color="auto" w:fill="FFFFFF"/>
            <w:tcMar>
              <w:top w:w="40" w:type="dxa"/>
              <w:left w:w="100" w:type="dxa"/>
              <w:bottom w:w="40" w:type="dxa"/>
              <w:right w:w="100" w:type="dxa"/>
            </w:tcMar>
            <w:vAlign w:val="center"/>
          </w:tcPr>
          <w:p w14:paraId="401E16A3"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5D574DAB" w14:textId="77777777" w:rsidR="00BA183A" w:rsidRDefault="00000000">
            <w:pPr>
              <w:spacing w:before="20" w:after="20"/>
            </w:pPr>
            <w:r>
              <w:rPr>
                <w:color w:val="1A1A1A"/>
                <w:sz w:val="18"/>
                <w:szCs w:val="18"/>
              </w:rPr>
              <w:t>Market standard</w:t>
            </w:r>
          </w:p>
        </w:tc>
      </w:tr>
      <w:tr w:rsidR="00BA183A" w14:paraId="61513934" w14:textId="77777777">
        <w:tc>
          <w:tcPr>
            <w:tcW w:w="4080" w:type="dxa"/>
            <w:shd w:val="clear" w:color="auto" w:fill="FFFFFF"/>
            <w:tcMar>
              <w:top w:w="40" w:type="dxa"/>
              <w:left w:w="100" w:type="dxa"/>
              <w:bottom w:w="40" w:type="dxa"/>
              <w:right w:w="100" w:type="dxa"/>
            </w:tcMar>
            <w:vAlign w:val="center"/>
          </w:tcPr>
          <w:p w14:paraId="6268AC4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64A68C31"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645D108F" w14:textId="77777777" w:rsidR="00BA183A" w:rsidRDefault="00000000">
            <w:pPr>
              <w:spacing w:before="20" w:after="20"/>
            </w:pPr>
            <w:r>
              <w:rPr>
                <w:color w:val="1A1A1A"/>
                <w:sz w:val="18"/>
                <w:szCs w:val="18"/>
              </w:rPr>
              <w:t>Compliance / regulatory</w:t>
            </w:r>
          </w:p>
        </w:tc>
      </w:tr>
    </w:tbl>
    <w:p w14:paraId="040C7861"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6D72D7B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69CA3CFA"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0E923756"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1A61A307"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2EB813A5"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66D65B15"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48713308"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39BFA428"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08095BBD" w14:textId="77777777" w:rsidR="00BA183A" w:rsidRDefault="00000000">
      <w:pPr>
        <w:spacing w:before="280" w:after="120"/>
      </w:pPr>
      <w:r>
        <w:rPr>
          <w:b/>
          <w:bCs/>
          <w:color w:val="1A3A5C"/>
          <w:sz w:val="26"/>
          <w:szCs w:val="26"/>
        </w:rPr>
        <w:t>Part 8 - Transaction Details</w:t>
      </w:r>
    </w:p>
    <w:p w14:paraId="6A1126E4" w14:textId="77777777" w:rsidR="00BA183A" w:rsidRDefault="00000000">
      <w:pPr>
        <w:pBdr>
          <w:bottom w:val="single" w:sz="4" w:space="2" w:color="2E6DA4"/>
        </w:pBdr>
        <w:spacing w:before="200" w:after="80"/>
      </w:pPr>
      <w:r>
        <w:rPr>
          <w:b/>
          <w:bCs/>
          <w:color w:val="2E6DA4"/>
          <w:sz w:val="22"/>
          <w:szCs w:val="22"/>
        </w:rPr>
        <w:t>8.1 Cost-Income Analysis</w:t>
      </w:r>
    </w:p>
    <w:p w14:paraId="2F0DF2BD"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45260471" w14:textId="77777777" w:rsidR="00BA183A" w:rsidRDefault="00000000">
      <w:pPr>
        <w:spacing w:before="60" w:after="80"/>
      </w:pPr>
      <w:r>
        <w:rPr>
          <w:color w:val="1A1A1A"/>
        </w:rPr>
        <w:t>Loan yield (fixed): 3.80% per annum (380 bps).</w:t>
      </w:r>
    </w:p>
    <w:p w14:paraId="5E853D56" w14:textId="77777777" w:rsidR="00BA183A" w:rsidRDefault="00000000">
      <w:pPr>
        <w:spacing w:before="60" w:after="80"/>
      </w:pPr>
      <w:r>
        <w:rPr>
          <w:color w:val="1A1A1A"/>
        </w:rPr>
        <w:t>Cost of funds (3-year CNH): 1.46% per annum (146 bps).</w:t>
      </w:r>
    </w:p>
    <w:p w14:paraId="388F07BA" w14:textId="77777777" w:rsidR="00BA183A" w:rsidRDefault="00000000">
      <w:pPr>
        <w:spacing w:before="60" w:after="80"/>
      </w:pPr>
      <w:r>
        <w:rPr>
          <w:color w:val="1A1A1A"/>
        </w:rPr>
        <w:t>Net interest spread: 3.80% - 1.46% = 2.34% per annum (234 bps).</w:t>
      </w:r>
    </w:p>
    <w:p w14:paraId="62282B3B" w14:textId="77777777" w:rsidR="00BA183A" w:rsidRDefault="00000000">
      <w:pPr>
        <w:spacing w:before="60" w:after="80"/>
      </w:pPr>
      <w:r>
        <w:rPr>
          <w:color w:val="1A1A1A"/>
        </w:rPr>
        <w:t>Upfront fee: 0.60% flat on the committed amount (one-time).</w:t>
      </w:r>
    </w:p>
    <w:p w14:paraId="3A0F6D45"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7CDFCD0D" w14:textId="77777777" w:rsidR="00BA183A" w:rsidRDefault="00000000">
      <w:pPr>
        <w:spacing w:before="60" w:after="80"/>
      </w:pPr>
      <w:r>
        <w:rPr>
          <w:color w:val="1A1A1A"/>
        </w:rPr>
        <w:t>Net income to ICBC (DIFC Branch): approximately 2.34% per annum (net interest spread), plus the 0.60% upfront fee.</w:t>
      </w:r>
    </w:p>
    <w:p w14:paraId="30CA5586" w14:textId="77777777" w:rsidR="00BA183A" w:rsidRDefault="00000000">
      <w:pPr>
        <w:spacing w:before="60" w:after="80"/>
      </w:pPr>
      <w:r>
        <w:rPr>
          <w:color w:val="1A1A1A"/>
        </w:rPr>
        <w:lastRenderedPageBreak/>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5D3FBB70" w14:textId="77777777" w:rsidR="0059742E" w:rsidRDefault="00C764C0">
      <w:pPr>
        <w:spacing w:before="100" w:after="60"/>
      </w:pPr>
      <w:r>
        <w:rPr>
          <w:b/>
          <w:bCs/>
        </w:rPr>
        <w:t>Relationship Manager:</w:t>
      </w:r>
      <w:r>
        <w:t xml:space="preserve"> Hanfang Bao</w:t>
      </w:r>
    </w:p>
    <w:p w14:paraId="710695A5" w14:textId="77777777" w:rsidR="0059742E" w:rsidRDefault="00C764C0">
      <w:pPr>
        <w:spacing w:before="60" w:after="60"/>
      </w:pPr>
      <w:r>
        <w:rPr>
          <w:b/>
          <w:bCs/>
        </w:rPr>
        <w:t>Primary Responsible Person of Operation:</w:t>
      </w:r>
      <w:r>
        <w:t xml:space="preserve"> [Name]</w:t>
      </w:r>
    </w:p>
    <w:p w14:paraId="24A7D29B" w14:textId="77777777" w:rsidR="0059742E" w:rsidRDefault="00C764C0">
      <w:pPr>
        <w:spacing w:before="120" w:after="40"/>
      </w:pPr>
      <w:r>
        <w:rPr>
          <w:b/>
          <w:bCs/>
          <w:color w:val="1A3A5C"/>
        </w:rPr>
        <w:t>Financial Institution Department</w:t>
      </w:r>
    </w:p>
    <w:p w14:paraId="55473AEE" w14:textId="77777777" w:rsidR="0059742E" w:rsidRDefault="00C764C0">
      <w:pPr>
        <w:spacing w:before="40" w:after="40"/>
      </w:pPr>
      <w:r>
        <w:rPr>
          <w:color w:val="555555"/>
        </w:rPr>
        <w:t>April 2026</w:t>
      </w:r>
    </w:p>
    <w:p w14:paraId="28ACA643"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1556830C" w14:textId="77777777">
        <w:tc>
          <w:tcPr>
            <w:tcW w:w="10080" w:type="dxa"/>
            <w:gridSpan w:val="3"/>
            <w:shd w:val="clear" w:color="auto" w:fill="FFFFFF"/>
            <w:tcMar>
              <w:top w:w="40" w:type="dxa"/>
              <w:left w:w="100" w:type="dxa"/>
              <w:bottom w:w="40" w:type="dxa"/>
              <w:right w:w="100" w:type="dxa"/>
            </w:tcMar>
            <w:vAlign w:val="center"/>
          </w:tcPr>
          <w:p w14:paraId="02731E1A" w14:textId="77777777" w:rsidR="00BA183A" w:rsidRDefault="00000000">
            <w:pPr>
              <w:spacing w:before="20" w:after="20"/>
            </w:pPr>
            <w:r>
              <w:rPr>
                <w:b/>
                <w:bCs/>
                <w:color w:val="1A1A1A"/>
                <w:sz w:val="18"/>
                <w:szCs w:val="18"/>
              </w:rPr>
              <w:t>Date:</w:t>
            </w:r>
          </w:p>
        </w:tc>
      </w:tr>
      <w:tr w:rsidR="00BA183A" w14:paraId="7782233F" w14:textId="77777777">
        <w:tc>
          <w:tcPr>
            <w:tcW w:w="3360" w:type="dxa"/>
            <w:shd w:val="clear" w:color="auto" w:fill="FFFFFF"/>
            <w:tcMar>
              <w:top w:w="40" w:type="dxa"/>
              <w:left w:w="100" w:type="dxa"/>
              <w:bottom w:w="40" w:type="dxa"/>
              <w:right w:w="100" w:type="dxa"/>
            </w:tcMar>
            <w:vAlign w:val="center"/>
          </w:tcPr>
          <w:p w14:paraId="32EE0E4C"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71A74728"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3961C9A9" w14:textId="77777777" w:rsidR="00BA183A" w:rsidRDefault="00000000">
            <w:pPr>
              <w:spacing w:before="20" w:after="20"/>
              <w:jc w:val="center"/>
            </w:pPr>
            <w:r>
              <w:rPr>
                <w:color w:val="1A1A1A"/>
                <w:sz w:val="18"/>
                <w:szCs w:val="18"/>
              </w:rPr>
              <w:t>[Name]</w:t>
            </w:r>
          </w:p>
        </w:tc>
      </w:tr>
      <w:tr w:rsidR="00BA183A" w14:paraId="483A07AA" w14:textId="77777777">
        <w:tc>
          <w:tcPr>
            <w:tcW w:w="3360" w:type="dxa"/>
            <w:shd w:val="clear" w:color="auto" w:fill="FFFFFF"/>
            <w:tcMar>
              <w:top w:w="40" w:type="dxa"/>
              <w:left w:w="100" w:type="dxa"/>
              <w:bottom w:w="40" w:type="dxa"/>
              <w:right w:w="100" w:type="dxa"/>
            </w:tcMar>
            <w:vAlign w:val="center"/>
          </w:tcPr>
          <w:p w14:paraId="568F1355"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49E59000"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6D22DF7" w14:textId="77777777" w:rsidR="00BA183A" w:rsidRDefault="00000000">
            <w:pPr>
              <w:spacing w:before="20" w:after="20"/>
              <w:jc w:val="center"/>
            </w:pPr>
            <w:r>
              <w:rPr>
                <w:b/>
                <w:bCs/>
                <w:color w:val="1A1A1A"/>
                <w:sz w:val="18"/>
                <w:szCs w:val="18"/>
              </w:rPr>
              <w:t>Head of FID</w:t>
            </w:r>
          </w:p>
        </w:tc>
      </w:tr>
    </w:tbl>
    <w:p w14:paraId="7544E1AA"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53663" w14:textId="77777777" w:rsidR="001D6940" w:rsidRDefault="001D6940">
      <w:r>
        <w:separator/>
      </w:r>
    </w:p>
  </w:endnote>
  <w:endnote w:type="continuationSeparator" w:id="0">
    <w:p w14:paraId="3CFF0393" w14:textId="77777777" w:rsidR="001D6940" w:rsidRDefault="001D6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DCA2"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A035"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4EDD"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2D3" w14:textId="77777777" w:rsidR="001D6940" w:rsidRDefault="001D6940">
      <w:r>
        <w:separator/>
      </w:r>
    </w:p>
  </w:footnote>
  <w:footnote w:type="continuationSeparator" w:id="0">
    <w:p w14:paraId="4C1E6D21" w14:textId="77777777" w:rsidR="001D6940" w:rsidRDefault="001D6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D04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4B36"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1C1A3554"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9DB6"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59742E"/>
    <w:rsid w:val="00621933"/>
    <w:rsid w:val="00641795"/>
    <w:rsid w:val="00697AFE"/>
    <w:rsid w:val="00797A0F"/>
    <w:rsid w:val="007D5564"/>
    <w:rsid w:val="009B67B8"/>
    <w:rsid w:val="00AF2393"/>
    <w:rsid w:val="00B838A5"/>
    <w:rsid w:val="00BA183A"/>
    <w:rsid w:val="00BF0343"/>
    <w:rsid w:val="00C0561B"/>
    <w:rsid w:val="00C764C0"/>
    <w:rsid w:val="00CB4D8B"/>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47483"/>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7214</Words>
  <Characters>41125</Characters>
  <Application>Microsoft Office Word</Application>
  <DocSecurity>0</DocSecurity>
  <Lines>342</Lines>
  <Paragraphs>96</Paragraphs>
  <ScaleCrop>false</ScaleCrop>
  <Company/>
  <LinksUpToDate>false</LinksUpToDate>
  <CharactersWithSpaces>48243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2026-06-12T10:36:00Z</dcterms:created>
  <dcterms:modified xsi:type="dcterms:W3CDTF">2026-06-12T10:36:00Z</dcterms:modified>
</cp:coreProperties>
</file>