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42C3" w14:textId="77777777" w:rsidR="0059742E" w:rsidRDefault="00C764C0">
      <w:pPr>
        <w:spacing w:after="40"/>
      </w:pPr>
      <w:r>
        <w:rPr>
          <w:b/>
          <w:bCs/>
          <w:color w:val="1A3A5C"/>
          <w:sz w:val="32"/>
          <w:szCs w:val="32"/>
        </w:rPr>
        <w:t>JSC National Bank for Foreign Economic Activity of the Republic of Uzbekistan ("Borrower" or "NBU")</w:t>
      </w:r>
    </w:p>
    <w:p w14:paraId="5D32EC4F" w14:textId="77777777" w:rsidR="00BA183A" w:rsidRDefault="00000000">
      <w:pPr>
        <w:spacing w:before="280" w:after="120"/>
      </w:pPr>
      <w:r>
        <w:rPr>
          <w:b/>
          <w:bCs/>
          <w:color w:val="1A3A5C"/>
          <w:sz w:val="24"/>
          <w:szCs w:val="24"/>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42A19282" w14:textId="77777777">
        <w:tc>
          <w:tcPr>
            <w:tcW w:w="2100" w:type="dxa"/>
            <w:shd w:val="clear" w:color="auto" w:fill="FFFFFF"/>
            <w:tcMar>
              <w:top w:w="40" w:type="dxa"/>
              <w:left w:w="100" w:type="dxa"/>
              <w:bottom w:w="40" w:type="dxa"/>
              <w:right w:w="100" w:type="dxa"/>
            </w:tcMar>
            <w:vAlign w:val="center"/>
          </w:tcPr>
          <w:p w14:paraId="05A078C1"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84546B9"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14B71368"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4E703B59" w14:textId="77777777" w:rsidR="00BA183A" w:rsidRDefault="00000000">
            <w:pPr>
              <w:spacing w:before="20" w:after="20"/>
            </w:pPr>
            <w:r>
              <w:rPr>
                <w:color w:val="1A1A1A"/>
                <w:sz w:val="18"/>
                <w:szCs w:val="18"/>
              </w:rPr>
              <w:t>UZS 144.7 trillion (~USD 11.9 billion)</w:t>
            </w:r>
          </w:p>
        </w:tc>
      </w:tr>
      <w:tr w:rsidR="00BA183A" w14:paraId="4E4675B3" w14:textId="77777777">
        <w:tc>
          <w:tcPr>
            <w:tcW w:w="2100" w:type="dxa"/>
            <w:shd w:val="clear" w:color="auto" w:fill="FFFFFF"/>
            <w:tcMar>
              <w:top w:w="40" w:type="dxa"/>
              <w:left w:w="100" w:type="dxa"/>
              <w:bottom w:w="40" w:type="dxa"/>
              <w:right w:w="100" w:type="dxa"/>
            </w:tcMar>
            <w:vAlign w:val="center"/>
          </w:tcPr>
          <w:p w14:paraId="4B7E6283"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4A961AE6"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7B92C530"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48A3C842" w14:textId="77777777" w:rsidR="00BA183A" w:rsidRDefault="00000000">
            <w:pPr>
              <w:spacing w:before="20" w:after="20"/>
            </w:pPr>
            <w:r>
              <w:rPr>
                <w:color w:val="1A1A1A"/>
                <w:sz w:val="18"/>
                <w:szCs w:val="18"/>
              </w:rPr>
              <w:t>UZS 19.97 trillion (~USD 1.64 billion)</w:t>
            </w:r>
          </w:p>
        </w:tc>
      </w:tr>
      <w:tr w:rsidR="00BA183A" w14:paraId="433302D4" w14:textId="77777777">
        <w:tc>
          <w:tcPr>
            <w:tcW w:w="2100" w:type="dxa"/>
            <w:shd w:val="clear" w:color="auto" w:fill="FFFFFF"/>
            <w:tcMar>
              <w:top w:w="40" w:type="dxa"/>
              <w:left w:w="100" w:type="dxa"/>
              <w:bottom w:w="40" w:type="dxa"/>
              <w:right w:w="100" w:type="dxa"/>
            </w:tcMar>
            <w:vAlign w:val="center"/>
          </w:tcPr>
          <w:p w14:paraId="001E392F"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22847BCB"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4F8DEBAB"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1296EDF1" w14:textId="77777777" w:rsidR="00BA183A" w:rsidRDefault="00000000">
            <w:pPr>
              <w:spacing w:before="20" w:after="20"/>
            </w:pPr>
            <w:r>
              <w:rPr>
                <w:color w:val="1A1A1A"/>
                <w:sz w:val="18"/>
                <w:szCs w:val="18"/>
              </w:rPr>
              <w:t>Republic of Uzbekistan</w:t>
            </w:r>
          </w:p>
        </w:tc>
      </w:tr>
      <w:tr w:rsidR="00BA183A" w14:paraId="6B565A85" w14:textId="77777777">
        <w:tc>
          <w:tcPr>
            <w:tcW w:w="2100" w:type="dxa"/>
            <w:shd w:val="clear" w:color="auto" w:fill="FFFFFF"/>
            <w:tcMar>
              <w:top w:w="40" w:type="dxa"/>
              <w:left w:w="100" w:type="dxa"/>
              <w:bottom w:w="40" w:type="dxa"/>
              <w:right w:w="100" w:type="dxa"/>
            </w:tcMar>
            <w:vAlign w:val="center"/>
          </w:tcPr>
          <w:p w14:paraId="17005569"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02D9612F"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6871F8DA"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7764A68D" w14:textId="77777777" w:rsidR="00BA183A" w:rsidRDefault="00000000">
            <w:pPr>
              <w:spacing w:before="20" w:after="20"/>
            </w:pPr>
            <w:r>
              <w:rPr>
                <w:color w:val="1A1A1A"/>
                <w:sz w:val="18"/>
                <w:szCs w:val="18"/>
              </w:rPr>
              <w:t>Deloitte &amp; Touche</w:t>
            </w:r>
          </w:p>
        </w:tc>
      </w:tr>
    </w:tbl>
    <w:p w14:paraId="6ADB7E59" w14:textId="3B3D8DE3"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hereby applies for approval to undertake the loan business under the Facility, with ICBC (DIFC Branch) participating as a lender. ICBC Almaty Branch is the client management branch for NBU</w:t>
      </w:r>
      <w:r w:rsidR="00DA0764">
        <w:rPr>
          <w:rFonts w:hint="eastAsia"/>
          <w:color w:val="1A1A1A"/>
        </w:rPr>
        <w:t xml:space="preserve"> and will commit to 100 million CNH</w:t>
      </w:r>
      <w:r>
        <w:rPr>
          <w:color w:val="1A1A1A"/>
        </w:rPr>
        <w:t xml:space="preserve">; however, under Kazakhstan law ICBC Almaty Branch may sign the commitment letter only on its own behalf and cannot extend its commitment to other ICBC branches; ICBC Almaty Branch's internal rating and credit limit approval for NBU also remain internally in progress (see Section 1.4). Accordingly, and given the larger commitment amount in this syndicated loan, ICBC (DIFC Branch) will act as the Face Lender as between ICBC (DIFC Branch) and ICBC (Asia), with ICBC (DIFC Branch) applying for a CNH 300 million commitment and the remaining CNH 100 million committed by ICBC (Asia), which will sign a Loan Risk Agreement with ICBC (DIFC Branch) in respect of its CNH 100 million share. The ICBC Group's internal syndication therefore totals CNH 500 million — ICBC Almaty Branch CNH 100 million (signing on its own behalf), and ICBC (DIFC Branch) CNH 300 million and ICBC (Asia) CNH 100 million fronted by ICBC (DIFC Branch), which acts as the lead / Face Lender branch for the internal syndication. Bank of China (Dubai) Branch, as coordinator, is expected to commit CNH 500 million (understood to have been approved within Bank of China (Dubai)); accordingly, no single ICBC lender will be the largest lender in the syndicate. To our knowledge, no other Chinese bank will participate in the syndication.</w:t>
      </w:r>
    </w:p>
    <w:p w14:paraId="018B1B0A"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296B0394" w14:textId="77777777">
        <w:tc>
          <w:tcPr>
            <w:tcW w:w="3360" w:type="dxa"/>
            <w:shd w:val="clear" w:color="auto" w:fill="2E4057"/>
            <w:tcMar>
              <w:top w:w="40" w:type="dxa"/>
              <w:left w:w="100" w:type="dxa"/>
              <w:bottom w:w="40" w:type="dxa"/>
              <w:right w:w="100" w:type="dxa"/>
            </w:tcMar>
            <w:vAlign w:val="center"/>
          </w:tcPr>
          <w:p w14:paraId="5099081A"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19D8B380" w14:textId="77777777" w:rsidR="00BA183A" w:rsidRDefault="00000000">
            <w:pPr>
              <w:spacing w:before="20" w:after="20"/>
            </w:pPr>
            <w:r>
              <w:rPr>
                <w:b/>
                <w:bCs/>
                <w:color w:val="FFFFFF"/>
                <w:sz w:val="18"/>
                <w:szCs w:val="18"/>
              </w:rPr>
              <w:t>Detail (per term sheet)</w:t>
            </w:r>
          </w:p>
        </w:tc>
      </w:tr>
      <w:tr w:rsidR="00BA183A" w14:paraId="7C285076" w14:textId="77777777">
        <w:tc>
          <w:tcPr>
            <w:tcW w:w="3360" w:type="dxa"/>
            <w:shd w:val="clear" w:color="auto" w:fill="FFFFFF"/>
            <w:tcMar>
              <w:top w:w="40" w:type="dxa"/>
              <w:left w:w="100" w:type="dxa"/>
              <w:bottom w:w="40" w:type="dxa"/>
              <w:right w:w="100" w:type="dxa"/>
            </w:tcMar>
            <w:vAlign w:val="center"/>
          </w:tcPr>
          <w:p w14:paraId="09750296"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68F0E259"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043D1F3D" w14:textId="77777777">
        <w:tc>
          <w:tcPr>
            <w:tcW w:w="3360" w:type="dxa"/>
            <w:shd w:val="clear" w:color="auto" w:fill="FFFFFF"/>
            <w:tcMar>
              <w:top w:w="40" w:type="dxa"/>
              <w:left w:w="100" w:type="dxa"/>
              <w:bottom w:w="40" w:type="dxa"/>
              <w:right w:w="100" w:type="dxa"/>
            </w:tcMar>
            <w:vAlign w:val="center"/>
          </w:tcPr>
          <w:p w14:paraId="31A3C0CB"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72280462"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D7F9609" w14:textId="77777777">
        <w:tc>
          <w:tcPr>
            <w:tcW w:w="3360" w:type="dxa"/>
            <w:shd w:val="clear" w:color="auto" w:fill="FFFFFF"/>
            <w:tcMar>
              <w:top w:w="40" w:type="dxa"/>
              <w:left w:w="100" w:type="dxa"/>
              <w:bottom w:w="40" w:type="dxa"/>
              <w:right w:w="100" w:type="dxa"/>
            </w:tcMar>
            <w:vAlign w:val="center"/>
          </w:tcPr>
          <w:p w14:paraId="37E40F8C"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43354407" w14:textId="77777777" w:rsidR="00BA183A" w:rsidRDefault="00000000">
            <w:pPr>
              <w:spacing w:before="20" w:after="20"/>
            </w:pPr>
            <w:r>
              <w:rPr>
                <w:color w:val="1A1A1A"/>
                <w:sz w:val="18"/>
                <w:szCs w:val="18"/>
              </w:rPr>
              <w:t>To be confirmed</w:t>
            </w:r>
          </w:p>
        </w:tc>
      </w:tr>
      <w:tr w:rsidR="00BA183A" w14:paraId="41C3A3C1" w14:textId="77777777">
        <w:tc>
          <w:tcPr>
            <w:tcW w:w="3360" w:type="dxa"/>
            <w:shd w:val="clear" w:color="auto" w:fill="FFFFFF"/>
            <w:tcMar>
              <w:top w:w="40" w:type="dxa"/>
              <w:left w:w="100" w:type="dxa"/>
              <w:bottom w:w="40" w:type="dxa"/>
              <w:right w:w="100" w:type="dxa"/>
            </w:tcMar>
            <w:vAlign w:val="center"/>
          </w:tcPr>
          <w:p w14:paraId="52ABBAC6"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2129202A"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74EF32DB" w14:textId="77777777">
        <w:tc>
          <w:tcPr>
            <w:tcW w:w="3360" w:type="dxa"/>
            <w:shd w:val="clear" w:color="auto" w:fill="FFFFFF"/>
            <w:tcMar>
              <w:top w:w="40" w:type="dxa"/>
              <w:left w:w="100" w:type="dxa"/>
              <w:bottom w:w="40" w:type="dxa"/>
              <w:right w:w="100" w:type="dxa"/>
            </w:tcMar>
            <w:vAlign w:val="center"/>
          </w:tcPr>
          <w:p w14:paraId="096DFB4F"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5B4EB128" w14:textId="77777777" w:rsidR="00BA183A" w:rsidRDefault="00000000">
            <w:pPr>
              <w:spacing w:before="20" w:after="20"/>
            </w:pPr>
            <w:r>
              <w:rPr>
                <w:color w:val="1A1A1A"/>
                <w:sz w:val="18"/>
                <w:szCs w:val="18"/>
              </w:rPr>
              <w:t>Term Loan Facility; senior unsecured; documented on LMA-recommended form</w:t>
            </w:r>
          </w:p>
        </w:tc>
      </w:tr>
      <w:tr w:rsidR="00BA183A" w14:paraId="070652B3" w14:textId="77777777">
        <w:tc>
          <w:tcPr>
            <w:tcW w:w="3360" w:type="dxa"/>
            <w:shd w:val="clear" w:color="auto" w:fill="FFFFFF"/>
            <w:tcMar>
              <w:top w:w="40" w:type="dxa"/>
              <w:left w:w="100" w:type="dxa"/>
              <w:bottom w:w="40" w:type="dxa"/>
              <w:right w:w="100" w:type="dxa"/>
            </w:tcMar>
            <w:vAlign w:val="center"/>
          </w:tcPr>
          <w:p w14:paraId="177EE7E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7A937BEE" w14:textId="77777777" w:rsidR="00BA183A" w:rsidRDefault="00000000">
            <w:pPr>
              <w:spacing w:before="20" w:after="20"/>
            </w:pPr>
            <w:r>
              <w:rPr>
                <w:color w:val="1A1A1A"/>
                <w:sz w:val="18"/>
                <w:szCs w:val="18"/>
              </w:rPr>
              <w:t>Up to CNH 2.0 billion (launching at CNH 1.0 billion)</w:t>
            </w:r>
          </w:p>
        </w:tc>
      </w:tr>
      <w:tr w:rsidR="00BA183A" w14:paraId="784B7CD7" w14:textId="77777777">
        <w:tc>
          <w:tcPr>
            <w:tcW w:w="3360" w:type="dxa"/>
            <w:shd w:val="clear" w:color="auto" w:fill="FFFFFF"/>
            <w:tcMar>
              <w:top w:w="40" w:type="dxa"/>
              <w:left w:w="100" w:type="dxa"/>
              <w:bottom w:w="40" w:type="dxa"/>
              <w:right w:w="100" w:type="dxa"/>
            </w:tcMar>
            <w:vAlign w:val="center"/>
          </w:tcPr>
          <w:p w14:paraId="189F4C9C"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324ABD43"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6BE0A14C" w14:textId="77777777">
        <w:tc>
          <w:tcPr>
            <w:tcW w:w="3360" w:type="dxa"/>
            <w:shd w:val="clear" w:color="auto" w:fill="FFFFFF"/>
            <w:tcMar>
              <w:top w:w="40" w:type="dxa"/>
              <w:left w:w="100" w:type="dxa"/>
              <w:bottom w:w="40" w:type="dxa"/>
              <w:right w:w="100" w:type="dxa"/>
            </w:tcMar>
            <w:vAlign w:val="center"/>
          </w:tcPr>
          <w:p w14:paraId="03014B94"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63BD2FD3" w14:textId="77777777" w:rsidR="00BA183A" w:rsidRDefault="00000000">
            <w:pPr>
              <w:spacing w:before="20" w:after="20"/>
            </w:pPr>
            <w:r>
              <w:rPr>
                <w:color w:val="1A1A1A"/>
                <w:sz w:val="18"/>
                <w:szCs w:val="18"/>
              </w:rPr>
              <w:t>General corporate purposes</w:t>
            </w:r>
          </w:p>
        </w:tc>
      </w:tr>
      <w:tr w:rsidR="00BA183A" w14:paraId="3D948C80" w14:textId="77777777">
        <w:tc>
          <w:tcPr>
            <w:tcW w:w="3360" w:type="dxa"/>
            <w:shd w:val="clear" w:color="auto" w:fill="FFFFFF"/>
            <w:tcMar>
              <w:top w:w="40" w:type="dxa"/>
              <w:left w:w="100" w:type="dxa"/>
              <w:bottom w:w="40" w:type="dxa"/>
              <w:right w:w="100" w:type="dxa"/>
            </w:tcMar>
            <w:vAlign w:val="center"/>
          </w:tcPr>
          <w:p w14:paraId="2398C3D1" w14:textId="77777777" w:rsidR="00BA183A" w:rsidRDefault="00000000">
            <w:pPr>
              <w:spacing w:before="20" w:after="20"/>
            </w:pPr>
            <w:r>
              <w:rPr>
                <w:b/>
                <w:bCs/>
                <w:color w:val="1A1A1A"/>
                <w:sz w:val="18"/>
                <w:szCs w:val="18"/>
              </w:rPr>
              <w:lastRenderedPageBreak/>
              <w:t>Tenor / Maturity</w:t>
            </w:r>
          </w:p>
        </w:tc>
        <w:tc>
          <w:tcPr>
            <w:tcW w:w="6720" w:type="dxa"/>
            <w:shd w:val="clear" w:color="auto" w:fill="FFFFFF"/>
            <w:tcMar>
              <w:top w:w="40" w:type="dxa"/>
              <w:left w:w="100" w:type="dxa"/>
              <w:bottom w:w="40" w:type="dxa"/>
              <w:right w:w="100" w:type="dxa"/>
            </w:tcMar>
            <w:vAlign w:val="center"/>
          </w:tcPr>
          <w:p w14:paraId="369CEF49"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1C5B0C6" w14:textId="77777777">
        <w:tc>
          <w:tcPr>
            <w:tcW w:w="3360" w:type="dxa"/>
            <w:shd w:val="clear" w:color="auto" w:fill="FFFFFF"/>
            <w:tcMar>
              <w:top w:w="40" w:type="dxa"/>
              <w:left w:w="100" w:type="dxa"/>
              <w:bottom w:w="40" w:type="dxa"/>
              <w:right w:w="100" w:type="dxa"/>
            </w:tcMar>
            <w:vAlign w:val="center"/>
          </w:tcPr>
          <w:p w14:paraId="06DEE132"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2F71F4B6"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52C0437A" w14:textId="77777777">
        <w:tc>
          <w:tcPr>
            <w:tcW w:w="3360" w:type="dxa"/>
            <w:shd w:val="clear" w:color="auto" w:fill="FFFFFF"/>
            <w:tcMar>
              <w:top w:w="40" w:type="dxa"/>
              <w:left w:w="100" w:type="dxa"/>
              <w:bottom w:w="40" w:type="dxa"/>
              <w:right w:w="100" w:type="dxa"/>
            </w:tcMar>
            <w:vAlign w:val="center"/>
          </w:tcPr>
          <w:p w14:paraId="581B80C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3228653A"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3CE313A1" w14:textId="77777777">
        <w:tc>
          <w:tcPr>
            <w:tcW w:w="3360" w:type="dxa"/>
            <w:shd w:val="clear" w:color="auto" w:fill="FFFFFF"/>
            <w:tcMar>
              <w:top w:w="40" w:type="dxa"/>
              <w:left w:w="100" w:type="dxa"/>
              <w:bottom w:w="40" w:type="dxa"/>
              <w:right w:w="100" w:type="dxa"/>
            </w:tcMar>
            <w:vAlign w:val="center"/>
          </w:tcPr>
          <w:p w14:paraId="34E97E41"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7C9D62C5" w14:textId="77777777" w:rsidR="00BA183A" w:rsidRDefault="00000000">
            <w:pPr>
              <w:spacing w:before="20" w:after="20"/>
            </w:pPr>
            <w:r>
              <w:rPr>
                <w:color w:val="1A1A1A"/>
                <w:sz w:val="18"/>
                <w:szCs w:val="18"/>
              </w:rPr>
              <w:t>3.8% per annum</w:t>
            </w:r>
          </w:p>
        </w:tc>
      </w:tr>
      <w:tr w:rsidR="00BA183A" w14:paraId="3AC96B7E" w14:textId="77777777">
        <w:tc>
          <w:tcPr>
            <w:tcW w:w="3360" w:type="dxa"/>
            <w:shd w:val="clear" w:color="auto" w:fill="FFFFFF"/>
            <w:tcMar>
              <w:top w:w="40" w:type="dxa"/>
              <w:left w:w="100" w:type="dxa"/>
              <w:bottom w:w="40" w:type="dxa"/>
              <w:right w:w="100" w:type="dxa"/>
            </w:tcMar>
            <w:vAlign w:val="center"/>
          </w:tcPr>
          <w:p w14:paraId="6E74EF43" w14:textId="77777777" w:rsidR="00BA183A" w:rsidRDefault="00000000">
            <w:pPr>
              <w:spacing w:before="20" w:after="20"/>
            </w:pPr>
            <w:r>
              <w:rPr>
                <w:b/>
                <w:bCs/>
                <w:color w:val="1A1A1A"/>
                <w:sz w:val="18"/>
                <w:szCs w:val="18"/>
              </w:rPr>
              <w:t>Upfront Fee</w:t>
            </w:r>
          </w:p>
        </w:tc>
        <w:tc>
          <w:tcPr>
            <w:tcW w:w="6720" w:type="dxa"/>
            <w:shd w:val="clear" w:color="auto" w:fill="FFFFFF"/>
            <w:tcMar>
              <w:top w:w="40" w:type="dxa"/>
              <w:left w:w="100" w:type="dxa"/>
              <w:bottom w:w="40" w:type="dxa"/>
              <w:right w:w="100" w:type="dxa"/>
            </w:tcMar>
            <w:vAlign w:val="center"/>
          </w:tcPr>
          <w:p w14:paraId="170BCD23" w14:textId="77777777" w:rsidR="00BA183A" w:rsidRDefault="00000000">
            <w:pPr>
              <w:spacing w:before="20" w:after="20"/>
            </w:pPr>
            <w:r>
              <w:rPr>
                <w:color w:val="1A1A1A"/>
                <w:sz w:val="18"/>
                <w:szCs w:val="18"/>
              </w:rPr>
              <w:t>0.6% flat, calculated on the total facility amount</w:t>
            </w:r>
          </w:p>
        </w:tc>
      </w:tr>
      <w:tr w:rsidR="00BA183A" w14:paraId="0A6EDC5F" w14:textId="77777777">
        <w:tc>
          <w:tcPr>
            <w:tcW w:w="3360" w:type="dxa"/>
            <w:shd w:val="clear" w:color="auto" w:fill="FFFFFF"/>
            <w:tcMar>
              <w:top w:w="40" w:type="dxa"/>
              <w:left w:w="100" w:type="dxa"/>
              <w:bottom w:w="40" w:type="dxa"/>
              <w:right w:w="100" w:type="dxa"/>
            </w:tcMar>
            <w:vAlign w:val="center"/>
          </w:tcPr>
          <w:p w14:paraId="5C2D87F4"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C58AE8" w14:textId="77777777" w:rsidR="00BA183A" w:rsidRDefault="00000000">
            <w:pPr>
              <w:spacing w:before="20" w:after="20"/>
            </w:pPr>
            <w:r>
              <w:rPr>
                <w:color w:val="1A1A1A"/>
                <w:sz w:val="18"/>
                <w:szCs w:val="18"/>
              </w:rPr>
              <w:t>6 months (or as mutually agreed); actual/360</w:t>
            </w:r>
          </w:p>
        </w:tc>
      </w:tr>
      <w:tr w:rsidR="00BA183A" w14:paraId="395E50A6" w14:textId="77777777">
        <w:tc>
          <w:tcPr>
            <w:tcW w:w="3360" w:type="dxa"/>
            <w:shd w:val="clear" w:color="auto" w:fill="FFFFFF"/>
            <w:tcMar>
              <w:top w:w="40" w:type="dxa"/>
              <w:left w:w="100" w:type="dxa"/>
              <w:bottom w:w="40" w:type="dxa"/>
              <w:right w:w="100" w:type="dxa"/>
            </w:tcMar>
            <w:vAlign w:val="center"/>
          </w:tcPr>
          <w:p w14:paraId="5A08E62D"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227338FF" w14:textId="77777777" w:rsidR="00BA183A" w:rsidRDefault="00000000">
            <w:pPr>
              <w:spacing w:before="20" w:after="20"/>
            </w:pPr>
            <w:r>
              <w:rPr>
                <w:color w:val="1A1A1A"/>
                <w:sz w:val="18"/>
                <w:szCs w:val="18"/>
              </w:rPr>
              <w:t>2% per annum above the applicable rate</w:t>
            </w:r>
          </w:p>
        </w:tc>
      </w:tr>
      <w:tr w:rsidR="00BA183A" w14:paraId="7266F593" w14:textId="77777777">
        <w:tc>
          <w:tcPr>
            <w:tcW w:w="3360" w:type="dxa"/>
            <w:shd w:val="clear" w:color="auto" w:fill="FFFFFF"/>
            <w:tcMar>
              <w:top w:w="40" w:type="dxa"/>
              <w:left w:w="100" w:type="dxa"/>
              <w:bottom w:w="40" w:type="dxa"/>
              <w:right w:w="100" w:type="dxa"/>
            </w:tcMar>
            <w:vAlign w:val="center"/>
          </w:tcPr>
          <w:p w14:paraId="7248CB1D"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DA51D6E"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081F4516" w14:textId="77777777">
        <w:tc>
          <w:tcPr>
            <w:tcW w:w="3360" w:type="dxa"/>
            <w:shd w:val="clear" w:color="auto" w:fill="FFFFFF"/>
            <w:tcMar>
              <w:top w:w="40" w:type="dxa"/>
              <w:left w:w="100" w:type="dxa"/>
              <w:bottom w:w="40" w:type="dxa"/>
              <w:right w:w="100" w:type="dxa"/>
            </w:tcMar>
            <w:vAlign w:val="center"/>
          </w:tcPr>
          <w:p w14:paraId="72E808E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4AAA738A"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045DF3B4" w14:textId="77777777">
        <w:tc>
          <w:tcPr>
            <w:tcW w:w="3360" w:type="dxa"/>
            <w:shd w:val="clear" w:color="auto" w:fill="FFFFFF"/>
            <w:tcMar>
              <w:top w:w="40" w:type="dxa"/>
              <w:left w:w="100" w:type="dxa"/>
              <w:bottom w:w="40" w:type="dxa"/>
              <w:right w:w="100" w:type="dxa"/>
            </w:tcMar>
            <w:vAlign w:val="center"/>
          </w:tcPr>
          <w:p w14:paraId="32AA0933"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402FC9CF" w14:textId="77777777" w:rsidR="00BA183A" w:rsidRDefault="00000000">
            <w:pPr>
              <w:spacing w:before="20" w:after="20"/>
            </w:pPr>
            <w:r>
              <w:rPr>
                <w:color w:val="1A1A1A"/>
                <w:sz w:val="18"/>
                <w:szCs w:val="18"/>
              </w:rPr>
              <w:t>English law; courts of England (exclusive, with an enforcement carve-out)</w:t>
            </w:r>
          </w:p>
        </w:tc>
      </w:tr>
      <w:tr w:rsidR="00DA0764" w14:paraId="5827F379" w14:textId="77777777">
        <w:tc>
          <w:tcPr>
            <w:tcW w:w="3360" w:type="dxa"/>
            <w:shd w:val="clear" w:color="auto" w:fill="FFFFFF"/>
            <w:tcMar>
              <w:top w:w="40" w:type="dxa"/>
              <w:left w:w="100" w:type="dxa"/>
              <w:bottom w:w="40" w:type="dxa"/>
              <w:right w:w="100" w:type="dxa"/>
            </w:tcMar>
            <w:vAlign w:val="center"/>
          </w:tcPr>
          <w:p w14:paraId="0E5F8221" w14:textId="7191B710" w:rsidR="00DA0764" w:rsidRDefault="00DA0764">
            <w:pPr>
              <w:spacing w:before="20" w:after="20"/>
              <w:rPr>
                <w:b/>
                <w:bCs/>
                <w:color w:val="1A1A1A"/>
                <w:sz w:val="18"/>
                <w:szCs w:val="18"/>
              </w:rPr>
            </w:pPr>
            <w:r w:rsidRPr="00DA0764">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0E921C4A" w14:textId="77777777" w:rsidR="00DA0764" w:rsidRPr="00DA0764" w:rsidRDefault="00DA0764" w:rsidP="00DA0764">
            <w:pPr>
              <w:spacing w:before="20" w:after="20"/>
              <w:rPr>
                <w:color w:val="1A1A1A"/>
                <w:sz w:val="18"/>
                <w:szCs w:val="18"/>
              </w:rPr>
            </w:pPr>
            <w:r w:rsidRPr="00DA0764">
              <w:rPr>
                <w:color w:val="1A1A1A"/>
                <w:sz w:val="18"/>
                <w:szCs w:val="18"/>
              </w:rPr>
              <w:t xml:space="preserve">1. Capital Adequacy Ratio (to apply to the Borrower on a standalone basis): </w:t>
            </w:r>
          </w:p>
          <w:p w14:paraId="1654038C" w14:textId="77777777" w:rsidR="00DA0764" w:rsidRPr="00DA0764" w:rsidRDefault="00DA0764" w:rsidP="00DA0764">
            <w:pPr>
              <w:spacing w:before="20" w:after="20"/>
              <w:rPr>
                <w:color w:val="1A1A1A"/>
                <w:sz w:val="18"/>
                <w:szCs w:val="18"/>
              </w:rPr>
            </w:pPr>
            <w:r w:rsidRPr="00DA0764">
              <w:rPr>
                <w:color w:val="1A1A1A"/>
                <w:sz w:val="18"/>
                <w:szCs w:val="18"/>
              </w:rPr>
              <w:t xml:space="preserve">Minimum Capital Adequacy Ratio to be the higher of 13% or the minimum </w:t>
            </w:r>
          </w:p>
          <w:p w14:paraId="3018E255" w14:textId="77777777" w:rsidR="00DA0764" w:rsidRPr="00DA0764" w:rsidRDefault="00DA0764" w:rsidP="00DA0764">
            <w:pPr>
              <w:spacing w:before="20" w:after="20"/>
              <w:rPr>
                <w:color w:val="1A1A1A"/>
                <w:sz w:val="18"/>
                <w:szCs w:val="18"/>
              </w:rPr>
            </w:pPr>
            <w:r w:rsidRPr="00DA0764">
              <w:rPr>
                <w:color w:val="1A1A1A"/>
                <w:sz w:val="18"/>
                <w:szCs w:val="18"/>
              </w:rPr>
              <w:t xml:space="preserve">ratio prescribed by the Central Bank of Uzbekistan from time to time; and  </w:t>
            </w:r>
          </w:p>
          <w:p w14:paraId="45AFB3DD" w14:textId="77777777" w:rsidR="00DA0764" w:rsidRPr="00DA0764" w:rsidRDefault="00DA0764" w:rsidP="00DA0764">
            <w:pPr>
              <w:spacing w:before="20" w:after="20"/>
              <w:rPr>
                <w:color w:val="1A1A1A"/>
                <w:sz w:val="18"/>
                <w:szCs w:val="18"/>
              </w:rPr>
            </w:pPr>
            <w:r w:rsidRPr="00DA0764">
              <w:rPr>
                <w:color w:val="1A1A1A"/>
                <w:sz w:val="18"/>
                <w:szCs w:val="18"/>
              </w:rPr>
              <w:t xml:space="preserve">2. Non-Performing Loans </w:t>
            </w:r>
          </w:p>
          <w:p w14:paraId="00940F17" w14:textId="77777777" w:rsidR="00DA0764" w:rsidRPr="00DA0764" w:rsidRDefault="00DA0764" w:rsidP="00DA0764">
            <w:pPr>
              <w:spacing w:before="20" w:after="20"/>
              <w:rPr>
                <w:color w:val="1A1A1A"/>
                <w:sz w:val="18"/>
                <w:szCs w:val="18"/>
              </w:rPr>
            </w:pPr>
            <w:r w:rsidRPr="00DA0764">
              <w:rPr>
                <w:color w:val="1A1A1A"/>
                <w:sz w:val="18"/>
                <w:szCs w:val="18"/>
              </w:rPr>
              <w:t xml:space="preserve">The Borrower shall ensure that at all times it maintains a ratio (expressed as a </w:t>
            </w:r>
          </w:p>
          <w:p w14:paraId="4B1384C0" w14:textId="77777777" w:rsidR="00DA0764" w:rsidRPr="00DA0764" w:rsidRDefault="00DA0764" w:rsidP="00DA0764">
            <w:pPr>
              <w:spacing w:before="20" w:after="20"/>
              <w:rPr>
                <w:color w:val="1A1A1A"/>
                <w:sz w:val="18"/>
                <w:szCs w:val="18"/>
              </w:rPr>
            </w:pPr>
            <w:r w:rsidRPr="00DA0764">
              <w:rPr>
                <w:color w:val="1A1A1A"/>
                <w:sz w:val="18"/>
                <w:szCs w:val="18"/>
              </w:rPr>
              <w:t xml:space="preserve">percentage) of non-performing loans to total loans and advances of not more </w:t>
            </w:r>
          </w:p>
          <w:p w14:paraId="010FD9EC" w14:textId="46D897B6" w:rsidR="00DA0764" w:rsidRDefault="00DA0764" w:rsidP="00DA0764">
            <w:pPr>
              <w:spacing w:before="20" w:after="20"/>
              <w:rPr>
                <w:color w:val="1A1A1A"/>
                <w:sz w:val="18"/>
                <w:szCs w:val="18"/>
              </w:rPr>
            </w:pPr>
            <w:r w:rsidRPr="00DA0764">
              <w:rPr>
                <w:color w:val="1A1A1A"/>
                <w:sz w:val="18"/>
                <w:szCs w:val="18"/>
              </w:rPr>
              <w:t>than 7%.</w:t>
            </w:r>
          </w:p>
        </w:tc>
      </w:tr>
    </w:tbl>
    <w:p w14:paraId="235AEA47" w14:textId="7F27C530" w:rsidR="00BA183A" w:rsidRDefault="00000000">
      <w:pPr>
        <w:spacing w:before="80" w:after="120"/>
      </w:pPr>
      <w:r>
        <w:rPr>
          <w:color w:val="1A1A1A"/>
        </w:rPr>
        <w:t xml:space="preserve">ICBC (DIFC Branch)'s participation is proposed at CNH 300 million, subject to </w:t>
      </w:r>
      <w:r w:rsidR="00DA0764">
        <w:rPr>
          <w:rFonts w:hint="eastAsia"/>
          <w:color w:val="1A1A1A"/>
        </w:rPr>
        <w:t>RMD</w:t>
      </w:r>
      <w:r>
        <w:rPr>
          <w:color w:val="1A1A1A"/>
        </w:rPr>
        <w:t xml:space="preserve"> approval, and is within the maximum supportable limit assessed in Section 6 (USD 51.4 million). The economics of the proposed participation are set out in Section 8 (Cost-Income Analysis), and the credit terms, financial covenants and risk mitigants in Section 7. The Facility is senior unsecured and, in the base case, is not supported by any third-party guarantee, standby letter of credit (SBLC) or dedicated security package; credit risk is mitigated through NBU's quasi-sovereign status and the covenant and monitoring package described in Section 7 (see Sections 7.2 and 7.3).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71DA6DDF" w14:textId="77777777" w:rsidR="0059742E" w:rsidRDefault="00C764C0">
      <w:pPr>
        <w:spacing w:before="280" w:after="120"/>
      </w:pPr>
      <w:r>
        <w:rPr>
          <w:b/>
          <w:bCs/>
          <w:color w:val="1A3A5C"/>
          <w:sz w:val="24"/>
          <w:szCs w:val="24"/>
        </w:rPr>
        <w:t>Part 1. Overall Evaluation of Customer</w:t>
      </w:r>
    </w:p>
    <w:p w14:paraId="63B5FA2C"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4D721F7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74B550E"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00AE995"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DAFB765"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1B755D" w14:textId="77777777" w:rsidR="0059742E" w:rsidRPr="00697AFE" w:rsidRDefault="00C764C0">
            <w:r>
              <w:rPr>
                <w:sz w:val="18"/>
                <w:szCs w:val="18"/>
              </w:rPr>
              <w:t>UZS 144.7 trillion (~USD 11.9 billion)</w:t>
            </w:r>
          </w:p>
        </w:tc>
      </w:tr>
      <w:tr w:rsidR="0059742E" w:rsidRPr="00697AFE" w14:paraId="71A2010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E2DF84A"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49B037A"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E13BEF"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C506C9" w14:textId="77777777" w:rsidR="0059742E" w:rsidRPr="00697AFE" w:rsidRDefault="00C764C0">
            <w:r>
              <w:rPr>
                <w:sz w:val="18"/>
                <w:szCs w:val="18"/>
              </w:rPr>
              <w:t>UZS 19.97 trillion (~USD 1.64 billion)</w:t>
            </w:r>
          </w:p>
        </w:tc>
      </w:tr>
      <w:tr w:rsidR="0059742E" w:rsidRPr="00697AFE" w14:paraId="0A643D05"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F0DF8E7"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298E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2808773"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7D8FCB9" w14:textId="77777777" w:rsidR="0059742E" w:rsidRPr="00697AFE" w:rsidRDefault="00C764C0">
            <w:r>
              <w:rPr>
                <w:sz w:val="18"/>
                <w:szCs w:val="18"/>
              </w:rPr>
              <w:t>Republic of Uzbekistan</w:t>
            </w:r>
          </w:p>
        </w:tc>
      </w:tr>
      <w:tr w:rsidR="0059742E" w:rsidRPr="00697AFE" w14:paraId="48CA0DB1"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85AD4D" w14:textId="77777777" w:rsidR="0059742E" w:rsidRPr="00697AFE" w:rsidRDefault="00C764C0">
            <w:pPr>
              <w:jc w:val="center"/>
            </w:pPr>
            <w:r>
              <w:rPr>
                <w:b/>
                <w:bCs/>
                <w:sz w:val="18"/>
                <w:szCs w:val="18"/>
              </w:rPr>
              <w:lastRenderedPageBreak/>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563D90"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8487F2"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5FFF18" w14:textId="77777777" w:rsidR="0059742E" w:rsidRPr="00697AFE" w:rsidRDefault="00C764C0">
            <w:r>
              <w:rPr>
                <w:sz w:val="18"/>
                <w:szCs w:val="18"/>
              </w:rPr>
              <w:t>Deloitte &amp; Touche</w:t>
            </w:r>
          </w:p>
        </w:tc>
      </w:tr>
    </w:tbl>
    <w:p w14:paraId="0A7C0E34" w14:textId="77777777" w:rsidR="0059742E" w:rsidRDefault="00C764C0">
      <w:pPr>
        <w:spacing w:before="60" w:after="60"/>
      </w:pPr>
      <w:r>
        <w:rPr>
          <w:i/>
          <w:iCs/>
          <w:color w:val="777777"/>
          <w:sz w:val="16"/>
          <w:szCs w:val="16"/>
        </w:rPr>
        <w:t>USD/UZS = 12,150 (as of April 2026)</w:t>
      </w:r>
    </w:p>
    <w:p w14:paraId="54399EA1"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41877A1A"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08EFBA97" w14:textId="77777777">
        <w:tc>
          <w:tcPr>
            <w:tcW w:w="5180" w:type="dxa"/>
            <w:shd w:val="clear" w:color="auto" w:fill="2E4057"/>
            <w:tcMar>
              <w:top w:w="40" w:type="dxa"/>
              <w:left w:w="100" w:type="dxa"/>
              <w:bottom w:w="40" w:type="dxa"/>
              <w:right w:w="100" w:type="dxa"/>
            </w:tcMar>
            <w:vAlign w:val="center"/>
          </w:tcPr>
          <w:p w14:paraId="05641BB4"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6C877D36"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24DB82F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143D2637" w14:textId="77777777" w:rsidR="003B07C8" w:rsidRDefault="00000000">
            <w:pPr>
              <w:spacing w:before="20" w:after="20"/>
              <w:jc w:val="right"/>
            </w:pPr>
            <w:r>
              <w:rPr>
                <w:b/>
                <w:bCs/>
                <w:color w:val="FFFFFF"/>
                <w:sz w:val="18"/>
                <w:szCs w:val="18"/>
              </w:rPr>
              <w:t>Holding</w:t>
            </w:r>
          </w:p>
        </w:tc>
      </w:tr>
      <w:tr w:rsidR="003B07C8" w14:paraId="287C0346" w14:textId="77777777">
        <w:tc>
          <w:tcPr>
            <w:tcW w:w="5180" w:type="dxa"/>
            <w:shd w:val="clear" w:color="auto" w:fill="FFFFFF"/>
            <w:tcMar>
              <w:top w:w="40" w:type="dxa"/>
              <w:left w:w="100" w:type="dxa"/>
              <w:bottom w:w="40" w:type="dxa"/>
              <w:right w:w="100" w:type="dxa"/>
            </w:tcMar>
            <w:vAlign w:val="center"/>
          </w:tcPr>
          <w:p w14:paraId="6FD5E594"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7BD55DD7"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37E03B5"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5461014E" w14:textId="77777777" w:rsidR="003B07C8" w:rsidRDefault="00000000">
            <w:pPr>
              <w:spacing w:before="20" w:after="20"/>
              <w:jc w:val="right"/>
            </w:pPr>
            <w:r>
              <w:rPr>
                <w:b/>
                <w:bCs/>
                <w:color w:val="1A1A1A"/>
                <w:sz w:val="18"/>
                <w:szCs w:val="18"/>
              </w:rPr>
              <w:t>61.86%</w:t>
            </w:r>
          </w:p>
        </w:tc>
      </w:tr>
      <w:tr w:rsidR="003B07C8" w14:paraId="713AE773" w14:textId="77777777">
        <w:tc>
          <w:tcPr>
            <w:tcW w:w="5180" w:type="dxa"/>
            <w:shd w:val="clear" w:color="auto" w:fill="FFFFFF"/>
            <w:tcMar>
              <w:top w:w="40" w:type="dxa"/>
              <w:left w:w="100" w:type="dxa"/>
              <w:bottom w:w="40" w:type="dxa"/>
              <w:right w:w="100" w:type="dxa"/>
            </w:tcMar>
            <w:vAlign w:val="center"/>
          </w:tcPr>
          <w:p w14:paraId="38966A86"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7D816533"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68146384"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713AA0E2" w14:textId="77777777" w:rsidR="003B07C8" w:rsidRDefault="00000000">
            <w:pPr>
              <w:spacing w:before="20" w:after="20"/>
              <w:jc w:val="right"/>
            </w:pPr>
            <w:r>
              <w:rPr>
                <w:b/>
                <w:bCs/>
                <w:color w:val="1A1A1A"/>
                <w:sz w:val="18"/>
                <w:szCs w:val="18"/>
              </w:rPr>
              <w:t>38.14%</w:t>
            </w:r>
          </w:p>
        </w:tc>
      </w:tr>
      <w:tr w:rsidR="003B07C8" w14:paraId="67BD5D95" w14:textId="77777777">
        <w:tc>
          <w:tcPr>
            <w:tcW w:w="5180" w:type="dxa"/>
            <w:shd w:val="clear" w:color="auto" w:fill="DCE6F1"/>
            <w:tcMar>
              <w:top w:w="40" w:type="dxa"/>
              <w:left w:w="100" w:type="dxa"/>
              <w:bottom w:w="40" w:type="dxa"/>
              <w:right w:w="100" w:type="dxa"/>
            </w:tcMar>
            <w:vAlign w:val="center"/>
          </w:tcPr>
          <w:p w14:paraId="7BCE0F99"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2B396548"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53EF4901"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1DD0A101" w14:textId="77777777" w:rsidR="003B07C8" w:rsidRDefault="00000000">
            <w:pPr>
              <w:spacing w:before="20" w:after="20"/>
              <w:jc w:val="right"/>
            </w:pPr>
            <w:r>
              <w:rPr>
                <w:b/>
                <w:bCs/>
                <w:color w:val="1A1A1A"/>
                <w:sz w:val="18"/>
                <w:szCs w:val="18"/>
              </w:rPr>
              <w:t>100.00%</w:t>
            </w:r>
          </w:p>
        </w:tc>
      </w:tr>
    </w:tbl>
    <w:p w14:paraId="66BBFC23"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54C4B0D7" w14:textId="77777777" w:rsidR="0059742E" w:rsidRDefault="00C764C0">
      <w:pPr>
        <w:spacing w:before="60" w:after="80"/>
      </w:pPr>
      <w:r>
        <w:rPr>
          <w:color w:val="1A1A1A"/>
        </w:rPr>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18C1180D"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42C46C6F"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480C3A2"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5ADDC12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08477120"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37CB9372"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7E44672"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2B6F4893" w14:textId="77777777" w:rsidR="003B07C8" w:rsidRDefault="00000000">
      <w:pPr>
        <w:pBdr>
          <w:bottom w:val="single" w:sz="4" w:space="2" w:color="2E6DA4"/>
        </w:pBdr>
        <w:spacing w:before="200" w:after="80"/>
      </w:pPr>
      <w:r>
        <w:rPr>
          <w:b/>
          <w:bCs/>
          <w:color w:val="2E6DA4"/>
          <w:sz w:val="22"/>
          <w:szCs w:val="22"/>
        </w:rPr>
        <w:t>1.2 Shareholders</w:t>
      </w:r>
    </w:p>
    <w:p w14:paraId="673FFBFA"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1CB29817" w14:textId="77777777" w:rsidR="003B07C8" w:rsidRDefault="00000000">
      <w:pPr>
        <w:spacing w:before="60" w:after="80"/>
      </w:pPr>
      <w:r>
        <w:rPr>
          <w:color w:val="1A1A1A"/>
        </w:rPr>
        <w:lastRenderedPageBreak/>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0A815DE9"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1FFC65EC" w14:textId="77777777" w:rsidR="003B07C8" w:rsidRDefault="00000000">
      <w:pPr>
        <w:pBdr>
          <w:bottom w:val="single" w:sz="4" w:space="2" w:color="2E6DA4"/>
        </w:pBdr>
        <w:spacing w:before="200" w:after="80"/>
      </w:pPr>
      <w:r>
        <w:rPr>
          <w:b/>
          <w:bCs/>
          <w:color w:val="2E6DA4"/>
          <w:sz w:val="22"/>
          <w:szCs w:val="22"/>
        </w:rPr>
        <w:t>1.3 Subsidiary List</w:t>
      </w:r>
    </w:p>
    <w:p w14:paraId="30DEE401"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751147CC" w14:textId="77777777">
        <w:tc>
          <w:tcPr>
            <w:tcW w:w="3050" w:type="dxa"/>
            <w:shd w:val="clear" w:color="auto" w:fill="2E4057"/>
            <w:tcMar>
              <w:top w:w="40" w:type="dxa"/>
              <w:left w:w="100" w:type="dxa"/>
              <w:bottom w:w="40" w:type="dxa"/>
              <w:right w:w="100" w:type="dxa"/>
            </w:tcMar>
            <w:vAlign w:val="center"/>
          </w:tcPr>
          <w:p w14:paraId="71DDC8F6"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47373F6"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3C34821A"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45700233" w14:textId="77777777" w:rsidR="003B07C8" w:rsidRDefault="00000000">
            <w:pPr>
              <w:spacing w:before="20" w:after="20"/>
            </w:pPr>
            <w:r>
              <w:rPr>
                <w:b/>
                <w:bCs/>
                <w:color w:val="FFFFFF"/>
                <w:sz w:val="18"/>
                <w:szCs w:val="18"/>
              </w:rPr>
              <w:t>Notes / basis</w:t>
            </w:r>
          </w:p>
        </w:tc>
      </w:tr>
      <w:tr w:rsidR="003B07C8" w14:paraId="53E002C1" w14:textId="77777777">
        <w:tc>
          <w:tcPr>
            <w:tcW w:w="3050" w:type="dxa"/>
            <w:shd w:val="clear" w:color="auto" w:fill="FFFFFF"/>
            <w:tcMar>
              <w:top w:w="40" w:type="dxa"/>
              <w:left w:w="100" w:type="dxa"/>
              <w:bottom w:w="40" w:type="dxa"/>
              <w:right w:w="100" w:type="dxa"/>
            </w:tcMar>
            <w:vAlign w:val="center"/>
          </w:tcPr>
          <w:p w14:paraId="32FC652E" w14:textId="77777777" w:rsidR="003B07C8" w:rsidRDefault="00000000">
            <w:pPr>
              <w:spacing w:before="20" w:after="20"/>
            </w:pPr>
            <w:r>
              <w:rPr>
                <w:color w:val="1A1A1A"/>
                <w:sz w:val="18"/>
                <w:szCs w:val="18"/>
              </w:rPr>
              <w:t>NBU Invest Group LLC</w:t>
            </w:r>
          </w:p>
        </w:tc>
        <w:tc>
          <w:tcPr>
            <w:tcW w:w="3050" w:type="dxa"/>
            <w:shd w:val="clear" w:color="auto" w:fill="FFFFFF"/>
            <w:tcMar>
              <w:top w:w="40" w:type="dxa"/>
              <w:left w:w="100" w:type="dxa"/>
              <w:bottom w:w="40" w:type="dxa"/>
              <w:right w:w="100" w:type="dxa"/>
            </w:tcMar>
            <w:vAlign w:val="center"/>
          </w:tcPr>
          <w:p w14:paraId="17C26A28"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186F4F35"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013E7375" w14:textId="77777777" w:rsidR="003B07C8" w:rsidRDefault="00000000">
            <w:pPr>
              <w:spacing w:before="20" w:after="20"/>
            </w:pPr>
            <w:r>
              <w:rPr>
                <w:color w:val="1A1A1A"/>
                <w:sz w:val="18"/>
                <w:szCs w:val="18"/>
              </w:rPr>
              <w:t>Manages stakes in priority sectors (textiles, construction materials, agriculture, etc.)</w:t>
            </w:r>
          </w:p>
        </w:tc>
      </w:tr>
      <w:tr w:rsidR="003B07C8" w14:paraId="66F231AD" w14:textId="77777777">
        <w:tc>
          <w:tcPr>
            <w:tcW w:w="3050" w:type="dxa"/>
            <w:shd w:val="clear" w:color="auto" w:fill="FFFFFF"/>
            <w:tcMar>
              <w:top w:w="40" w:type="dxa"/>
              <w:left w:w="100" w:type="dxa"/>
              <w:bottom w:w="40" w:type="dxa"/>
              <w:right w:w="100" w:type="dxa"/>
            </w:tcMar>
            <w:vAlign w:val="center"/>
          </w:tcPr>
          <w:p w14:paraId="53D6893E"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685C00BD"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2C953E1C"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747C7DC7" w14:textId="77777777" w:rsidR="003B07C8" w:rsidRDefault="00000000">
            <w:pPr>
              <w:spacing w:before="20" w:after="20"/>
            </w:pPr>
            <w:r>
              <w:rPr>
                <w:color w:val="1A1A1A"/>
                <w:sz w:val="18"/>
                <w:szCs w:val="18"/>
              </w:rPr>
              <w:t>Associate; co-shareholders Uzbek-Oman Investment Co. (44.1%) and Maybank (10.4%) (IFC, 2022)</w:t>
            </w:r>
          </w:p>
        </w:tc>
      </w:tr>
      <w:tr w:rsidR="003B07C8" w14:paraId="0EDBC47E" w14:textId="77777777">
        <w:tc>
          <w:tcPr>
            <w:tcW w:w="3050" w:type="dxa"/>
            <w:shd w:val="clear" w:color="auto" w:fill="FFFFFF"/>
            <w:tcMar>
              <w:top w:w="40" w:type="dxa"/>
              <w:left w:w="100" w:type="dxa"/>
              <w:bottom w:w="40" w:type="dxa"/>
              <w:right w:w="100" w:type="dxa"/>
            </w:tcMar>
            <w:vAlign w:val="center"/>
          </w:tcPr>
          <w:p w14:paraId="7468B9BF"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70AAD6E9"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650392AB"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551E84DC" w14:textId="77777777" w:rsidR="003B07C8" w:rsidRDefault="00000000">
            <w:pPr>
              <w:spacing w:before="20" w:after="20"/>
            </w:pPr>
            <w:r>
              <w:rPr>
                <w:color w:val="1A1A1A"/>
                <w:sz w:val="18"/>
                <w:szCs w:val="18"/>
              </w:rPr>
              <w:t>Held and managed via NBU Invest Group; consolidated where controlled</w:t>
            </w:r>
          </w:p>
        </w:tc>
      </w:tr>
    </w:tbl>
    <w:p w14:paraId="200DBDB6"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14:paraId="4A33C1D6" w14:textId="77777777" w:rsidR="003B07C8" w:rsidRDefault="00000000">
      <w:pPr>
        <w:pBdr>
          <w:bottom w:val="single" w:sz="4" w:space="2" w:color="2E6DA4"/>
        </w:pBdr>
        <w:spacing w:before="200" w:after="80"/>
      </w:pPr>
      <w:r>
        <w:rPr>
          <w:b/>
          <w:bCs/>
          <w:color w:val="2E6DA4"/>
          <w:sz w:val="22"/>
          <w:szCs w:val="22"/>
        </w:rPr>
        <w:t>1.4 Client Management and Transaction Structure</w:t>
      </w:r>
    </w:p>
    <w:p w14:paraId="3EA01CF6" w14:textId="77777777"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rsidR="00CF198A" w14:paraId="25E605AA" w14:textId="77777777">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F83EAA0" w14:textId="77777777" w:rsidR="00CF198A" w:rsidRDefault="00000000">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CCCD20" w14:textId="77777777" w:rsidR="00CF198A" w:rsidRDefault="00000000">
            <w:pPr>
              <w:jc w:val="center"/>
            </w:pPr>
            <w:r>
              <w:rPr>
                <w:b/>
                <w:bCs/>
                <w:color w:val="FFFFFF"/>
                <w:sz w:val="18"/>
                <w:szCs w:val="18"/>
              </w:rPr>
              <w:t>Detail</w:t>
            </w:r>
          </w:p>
        </w:tc>
      </w:tr>
      <w:tr w:rsidR="00CF198A" w14:paraId="47E218CF"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7417B7" w14:textId="77777777" w:rsidR="00CF198A" w:rsidRDefault="00000000">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BE697F" w14:textId="77777777" w:rsidR="00CF198A" w:rsidRDefault="00000000">
            <w:r>
              <w:rPr>
                <w:color w:val="1A1A1A"/>
                <w:sz w:val="18"/>
                <w:szCs w:val="18"/>
              </w:rPr>
              <w:t>ICBC Almaty Branch is the client management branch for NBU.</w:t>
            </w:r>
          </w:p>
        </w:tc>
      </w:tr>
      <w:tr w:rsidR="00CF198A" w14:paraId="4A51A8A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DE97CA" w14:textId="77777777" w:rsidR="00CF198A" w:rsidRDefault="00000000">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171EB03" w14:textId="77777777" w:rsidR="00CF198A" w:rsidRDefault="00000000">
            <w:r>
              <w:rPr>
                <w:color w:val="1A1A1A"/>
                <w:sz w:val="18"/>
                <w:szCs w:val="18"/>
              </w:rPr>
              <w:t>sA+ (pending final approval); valid for one year.</w:t>
            </w:r>
          </w:p>
        </w:tc>
      </w:tr>
      <w:tr w:rsidR="00CF198A" w14:paraId="6423BE53"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BF20D3" w14:textId="77777777" w:rsidR="00CF198A" w:rsidRDefault="00000000">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5B0D8D" w14:textId="77777777" w:rsidR="00CF198A" w:rsidRDefault="00000000">
            <w:r>
              <w:rPr>
                <w:color w:val="1A1A1A"/>
                <w:sz w:val="18"/>
                <w:szCs w:val="18"/>
              </w:rPr>
              <w:t>CNH 500 million in aggregate — ICBC Almaty Branch CNH 100 million, ICBC (Asia) CNH 100 million and ICBC (Dubai) CNH 300 million.</w:t>
            </w:r>
          </w:p>
        </w:tc>
      </w:tr>
      <w:tr w:rsidR="00CF198A" w14:paraId="1C932BB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4969C4" w14:textId="77777777" w:rsidR="00CF198A" w:rsidRDefault="00000000">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D6B6874" w14:textId="77777777" w:rsidR="00CF198A" w:rsidRDefault="00000000">
            <w:r>
              <w:rPr>
                <w:color w:val="1A1A1A"/>
                <w:sz w:val="18"/>
                <w:szCs w:val="18"/>
              </w:rPr>
              <w:t>Intra-banking (inter-bank) credit.</w:t>
            </w:r>
          </w:p>
        </w:tc>
      </w:tr>
      <w:tr w:rsidR="00CF198A" w14:paraId="0E4DDCDD"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000163" w14:textId="77777777" w:rsidR="00CF198A" w:rsidRDefault="00000000">
            <w:r>
              <w:rPr>
                <w:b/>
                <w:bCs/>
                <w:color w:val="1A1A1A"/>
                <w:sz w:val="18"/>
                <w:szCs w:val="18"/>
              </w:rPr>
              <w:lastRenderedPageBreak/>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4215DE" w14:textId="77777777" w:rsidR="00CF198A" w:rsidRDefault="00000000">
            <w:r>
              <w:rPr>
                <w:color w:val="1A1A1A"/>
                <w:sz w:val="18"/>
                <w:szCs w:val="18"/>
              </w:rPr>
              <w:t>1 year.</w:t>
            </w:r>
          </w:p>
        </w:tc>
      </w:tr>
      <w:tr w:rsidR="00CF198A" w14:paraId="0673DA6C"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C1EBD76" w14:textId="77777777" w:rsidR="00CF198A" w:rsidRDefault="00000000">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573408" w14:textId="77777777" w:rsidR="00CF198A" w:rsidRDefault="00000000">
            <w:r>
              <w:rPr>
                <w:color w:val="1A1A1A"/>
                <w:sz w:val="18"/>
                <w:szCs w:val="18"/>
              </w:rPr>
              <w:t>Nil (CNH 0).</w:t>
            </w:r>
          </w:p>
        </w:tc>
      </w:tr>
      <w:tr w:rsidR="00CF198A" w14:paraId="151DCAE9"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8F0799" w14:textId="77777777" w:rsidR="00CF198A" w:rsidRDefault="00000000">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B23526B" w14:textId="77777777" w:rsidR="00CF198A" w:rsidRDefault="00000000">
            <w:r>
              <w:rPr>
                <w:color w:val="1A1A1A"/>
                <w:sz w:val="18"/>
                <w:szCs w:val="18"/>
              </w:rPr>
              <w:t>Yes, upon approval.</w:t>
            </w:r>
          </w:p>
        </w:tc>
      </w:tr>
      <w:tr w:rsidR="00CF198A" w14:paraId="5E60E0A6"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FDFFD2" w14:textId="77777777" w:rsidR="00CF198A" w:rsidRDefault="00000000">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4BF773" w14:textId="77777777" w:rsidR="00CF198A" w:rsidRDefault="00000000">
            <w:r>
              <w:rPr>
                <w:color w:val="1A1A1A"/>
                <w:sz w:val="18"/>
                <w:szCs w:val="18"/>
              </w:rPr>
              <w:t>Not expected.</w:t>
            </w:r>
          </w:p>
        </w:tc>
      </w:tr>
    </w:tbl>
    <w:p w14:paraId="45973365" w14:textId="77777777" w:rsidR="0059742E" w:rsidRDefault="00C764C0">
      <w:r>
        <w:br w:type="page"/>
      </w:r>
    </w:p>
    <w:p w14:paraId="549B8388" w14:textId="77777777" w:rsidR="0059742E" w:rsidRDefault="00C764C0">
      <w:pPr>
        <w:spacing w:before="280" w:after="120"/>
      </w:pPr>
      <w:r>
        <w:rPr>
          <w:b/>
          <w:bCs/>
          <w:color w:val="1A3A5C"/>
          <w:sz w:val="24"/>
          <w:szCs w:val="24"/>
        </w:rPr>
        <w:lastRenderedPageBreak/>
        <w:t>Part 2. Evaluation and Financial Position</w:t>
      </w:r>
    </w:p>
    <w:p w14:paraId="6D11CA13" w14:textId="77777777" w:rsidR="0059742E" w:rsidRDefault="00C764C0">
      <w:pPr>
        <w:pBdr>
          <w:bottom w:val="single" w:sz="4" w:space="2" w:color="2E6DA4"/>
        </w:pBdr>
        <w:spacing w:before="200" w:after="80"/>
      </w:pPr>
      <w:r>
        <w:rPr>
          <w:b/>
          <w:bCs/>
          <w:color w:val="2E6DA4"/>
          <w:sz w:val="22"/>
          <w:szCs w:val="22"/>
        </w:rPr>
        <w:t>2.1 Financial Situation</w:t>
      </w:r>
    </w:p>
    <w:p w14:paraId="5E823AA7"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45110D55" w14:textId="77777777" w:rsidR="00BA183A" w:rsidRDefault="00000000">
      <w:pPr>
        <w:spacing w:before="180" w:after="60"/>
      </w:pPr>
      <w:r>
        <w:rPr>
          <w:b/>
          <w:bCs/>
          <w:color w:val="2E6DA4"/>
        </w:rPr>
        <w:t>Interim IFRS Financial Statements (Reviewed, H1 2025)</w:t>
      </w:r>
    </w:p>
    <w:p w14:paraId="3A39489A"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42A303CD"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D887AD6" w14:textId="77777777">
        <w:tc>
          <w:tcPr>
            <w:tcW w:w="4320" w:type="dxa"/>
            <w:shd w:val="clear" w:color="auto" w:fill="2E4057"/>
            <w:tcMar>
              <w:top w:w="40" w:type="dxa"/>
              <w:left w:w="100" w:type="dxa"/>
              <w:bottom w:w="40" w:type="dxa"/>
              <w:right w:w="100" w:type="dxa"/>
            </w:tcMar>
            <w:vAlign w:val="center"/>
          </w:tcPr>
          <w:p w14:paraId="02D5B0BC"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AE9C6EE"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55817FDD"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14:paraId="6413253D" w14:textId="77777777" w:rsidR="00BA183A" w:rsidRDefault="00000000">
            <w:pPr>
              <w:spacing w:before="20" w:after="20"/>
              <w:jc w:val="right"/>
            </w:pPr>
            <w:r>
              <w:rPr>
                <w:b/>
                <w:bCs/>
                <w:color w:val="FFFFFF"/>
                <w:sz w:val="18"/>
                <w:szCs w:val="18"/>
              </w:rPr>
              <w:t>31 Dec 2023</w:t>
            </w:r>
          </w:p>
        </w:tc>
      </w:tr>
      <w:tr w:rsidR="00BA183A" w14:paraId="505C0E99" w14:textId="77777777">
        <w:tc>
          <w:tcPr>
            <w:tcW w:w="10080" w:type="dxa"/>
            <w:gridSpan w:val="4"/>
            <w:shd w:val="clear" w:color="auto" w:fill="EDF2F7"/>
            <w:tcMar>
              <w:top w:w="40" w:type="dxa"/>
              <w:left w:w="100" w:type="dxa"/>
              <w:bottom w:w="40" w:type="dxa"/>
              <w:right w:w="100" w:type="dxa"/>
            </w:tcMar>
            <w:vAlign w:val="center"/>
          </w:tcPr>
          <w:p w14:paraId="07DD503E" w14:textId="77777777" w:rsidR="00BA183A" w:rsidRDefault="00000000">
            <w:pPr>
              <w:spacing w:before="20" w:after="20"/>
            </w:pPr>
            <w:r>
              <w:rPr>
                <w:b/>
                <w:bCs/>
                <w:color w:val="1A3A5C"/>
                <w:sz w:val="18"/>
                <w:szCs w:val="18"/>
              </w:rPr>
              <w:t>ASSETS</w:t>
            </w:r>
          </w:p>
        </w:tc>
      </w:tr>
      <w:tr w:rsidR="00BA183A" w14:paraId="12556C26" w14:textId="77777777">
        <w:tc>
          <w:tcPr>
            <w:tcW w:w="4320" w:type="dxa"/>
            <w:shd w:val="clear" w:color="auto" w:fill="FFFFFF"/>
            <w:tcMar>
              <w:top w:w="40" w:type="dxa"/>
              <w:left w:w="100" w:type="dxa"/>
              <w:bottom w:w="40" w:type="dxa"/>
              <w:right w:w="100" w:type="dxa"/>
            </w:tcMar>
            <w:vAlign w:val="center"/>
          </w:tcPr>
          <w:p w14:paraId="76A8E6A2"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48A4DA00"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74C034B"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14:paraId="3A275785" w14:textId="77777777" w:rsidR="00BA183A" w:rsidRDefault="00000000">
            <w:pPr>
              <w:spacing w:before="20" w:after="20"/>
              <w:jc w:val="right"/>
            </w:pPr>
            <w:r>
              <w:rPr>
                <w:color w:val="1A1A1A"/>
                <w:sz w:val="18"/>
                <w:szCs w:val="18"/>
              </w:rPr>
              <w:t>14,377,483</w:t>
            </w:r>
          </w:p>
        </w:tc>
      </w:tr>
      <w:tr w:rsidR="00BA183A" w14:paraId="769FE7B2" w14:textId="77777777">
        <w:tc>
          <w:tcPr>
            <w:tcW w:w="4320" w:type="dxa"/>
            <w:shd w:val="clear" w:color="auto" w:fill="FFFFFF"/>
            <w:tcMar>
              <w:top w:w="40" w:type="dxa"/>
              <w:left w:w="100" w:type="dxa"/>
              <w:bottom w:w="40" w:type="dxa"/>
              <w:right w:w="100" w:type="dxa"/>
            </w:tcMar>
            <w:vAlign w:val="center"/>
          </w:tcPr>
          <w:p w14:paraId="7222B7AE"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38ED9229"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0D0D03CB"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14:paraId="47572E81" w14:textId="77777777" w:rsidR="00BA183A" w:rsidRDefault="00000000">
            <w:pPr>
              <w:spacing w:before="20" w:after="20"/>
              <w:jc w:val="right"/>
            </w:pPr>
            <w:r>
              <w:rPr>
                <w:color w:val="1A1A1A"/>
                <w:sz w:val="18"/>
                <w:szCs w:val="18"/>
              </w:rPr>
              <w:t>6,943,790</w:t>
            </w:r>
          </w:p>
        </w:tc>
      </w:tr>
      <w:tr w:rsidR="00BA183A" w14:paraId="06885E34" w14:textId="77777777">
        <w:tc>
          <w:tcPr>
            <w:tcW w:w="4320" w:type="dxa"/>
            <w:shd w:val="clear" w:color="auto" w:fill="FFFFFF"/>
            <w:tcMar>
              <w:top w:w="40" w:type="dxa"/>
              <w:left w:w="100" w:type="dxa"/>
              <w:bottom w:w="40" w:type="dxa"/>
              <w:right w:w="100" w:type="dxa"/>
            </w:tcMar>
            <w:vAlign w:val="center"/>
          </w:tcPr>
          <w:p w14:paraId="6F8899E3"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66848DFA"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06479B0C"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14:paraId="0413CC11" w14:textId="77777777" w:rsidR="00BA183A" w:rsidRDefault="00000000">
            <w:pPr>
              <w:spacing w:before="20" w:after="20"/>
              <w:jc w:val="right"/>
            </w:pPr>
            <w:r>
              <w:rPr>
                <w:color w:val="1A1A1A"/>
                <w:sz w:val="18"/>
                <w:szCs w:val="18"/>
              </w:rPr>
              <w:t>94,783,232</w:t>
            </w:r>
          </w:p>
        </w:tc>
      </w:tr>
      <w:tr w:rsidR="00BA183A" w14:paraId="5D04152B" w14:textId="77777777">
        <w:tc>
          <w:tcPr>
            <w:tcW w:w="4320" w:type="dxa"/>
            <w:shd w:val="clear" w:color="auto" w:fill="FFFFFF"/>
            <w:tcMar>
              <w:top w:w="40" w:type="dxa"/>
              <w:left w:w="100" w:type="dxa"/>
              <w:bottom w:w="40" w:type="dxa"/>
              <w:right w:w="100" w:type="dxa"/>
            </w:tcMar>
            <w:vAlign w:val="center"/>
          </w:tcPr>
          <w:p w14:paraId="3892A2F2"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6C81DE46"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4D3924C1"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14:paraId="2443EDBC" w14:textId="77777777" w:rsidR="00BA183A" w:rsidRDefault="00000000">
            <w:pPr>
              <w:spacing w:before="20" w:after="20"/>
              <w:jc w:val="right"/>
            </w:pPr>
            <w:r>
              <w:rPr>
                <w:color w:val="1A1A1A"/>
                <w:sz w:val="18"/>
                <w:szCs w:val="18"/>
              </w:rPr>
              <w:t>7,140,848</w:t>
            </w:r>
          </w:p>
        </w:tc>
      </w:tr>
      <w:tr w:rsidR="00BA183A" w14:paraId="726CF609" w14:textId="77777777">
        <w:tc>
          <w:tcPr>
            <w:tcW w:w="4320" w:type="dxa"/>
            <w:shd w:val="clear" w:color="auto" w:fill="FFFFFF"/>
            <w:tcMar>
              <w:top w:w="40" w:type="dxa"/>
              <w:left w:w="100" w:type="dxa"/>
              <w:bottom w:w="40" w:type="dxa"/>
              <w:right w:w="100" w:type="dxa"/>
            </w:tcMar>
            <w:vAlign w:val="center"/>
          </w:tcPr>
          <w:p w14:paraId="00AD0497"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0895D2E6"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76C88450"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14:paraId="0588F6B3" w14:textId="77777777" w:rsidR="00BA183A" w:rsidRDefault="00000000">
            <w:pPr>
              <w:spacing w:before="20" w:after="20"/>
              <w:jc w:val="right"/>
            </w:pPr>
            <w:r>
              <w:rPr>
                <w:color w:val="1A1A1A"/>
                <w:sz w:val="18"/>
                <w:szCs w:val="18"/>
              </w:rPr>
              <w:t>3,244,053</w:t>
            </w:r>
          </w:p>
        </w:tc>
      </w:tr>
      <w:tr w:rsidR="00BA183A" w14:paraId="0221648B" w14:textId="77777777">
        <w:tc>
          <w:tcPr>
            <w:tcW w:w="4320" w:type="dxa"/>
            <w:shd w:val="clear" w:color="auto" w:fill="FFFFFF"/>
            <w:tcMar>
              <w:top w:w="40" w:type="dxa"/>
              <w:left w:w="100" w:type="dxa"/>
              <w:bottom w:w="40" w:type="dxa"/>
              <w:right w:w="100" w:type="dxa"/>
            </w:tcMar>
            <w:vAlign w:val="center"/>
          </w:tcPr>
          <w:p w14:paraId="59279C46"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5FA2FD93"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0AE6C992"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14:paraId="52CF9F5C" w14:textId="77777777" w:rsidR="00BA183A" w:rsidRDefault="00000000">
            <w:pPr>
              <w:spacing w:before="20" w:after="20"/>
              <w:jc w:val="right"/>
            </w:pPr>
            <w:r>
              <w:rPr>
                <w:b/>
                <w:bCs/>
                <w:color w:val="1A1A1A"/>
                <w:sz w:val="18"/>
                <w:szCs w:val="18"/>
              </w:rPr>
              <w:t>126,489,406</w:t>
            </w:r>
          </w:p>
        </w:tc>
      </w:tr>
      <w:tr w:rsidR="00BA183A" w14:paraId="5D36CAFF" w14:textId="77777777">
        <w:tc>
          <w:tcPr>
            <w:tcW w:w="10080" w:type="dxa"/>
            <w:gridSpan w:val="4"/>
            <w:shd w:val="clear" w:color="auto" w:fill="EDF2F7"/>
            <w:tcMar>
              <w:top w:w="40" w:type="dxa"/>
              <w:left w:w="100" w:type="dxa"/>
              <w:bottom w:w="40" w:type="dxa"/>
              <w:right w:w="100" w:type="dxa"/>
            </w:tcMar>
            <w:vAlign w:val="center"/>
          </w:tcPr>
          <w:p w14:paraId="561ACCFC" w14:textId="77777777" w:rsidR="00BA183A" w:rsidRDefault="00000000">
            <w:pPr>
              <w:spacing w:before="20" w:after="20"/>
            </w:pPr>
            <w:r>
              <w:rPr>
                <w:b/>
                <w:bCs/>
                <w:color w:val="1A3A5C"/>
                <w:sz w:val="18"/>
                <w:szCs w:val="18"/>
              </w:rPr>
              <w:t>LIABILITIES</w:t>
            </w:r>
          </w:p>
        </w:tc>
      </w:tr>
      <w:tr w:rsidR="00BA183A" w14:paraId="6635FAF3" w14:textId="77777777">
        <w:tc>
          <w:tcPr>
            <w:tcW w:w="4320" w:type="dxa"/>
            <w:shd w:val="clear" w:color="auto" w:fill="FFFFFF"/>
            <w:tcMar>
              <w:top w:w="40" w:type="dxa"/>
              <w:left w:w="100" w:type="dxa"/>
              <w:bottom w:w="40" w:type="dxa"/>
              <w:right w:w="100" w:type="dxa"/>
            </w:tcMar>
            <w:vAlign w:val="center"/>
          </w:tcPr>
          <w:p w14:paraId="1A167540"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6A9CDF34"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F2BCE9F"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14:paraId="6EA25F7C" w14:textId="77777777" w:rsidR="00BA183A" w:rsidRDefault="00000000">
            <w:pPr>
              <w:spacing w:before="20" w:after="20"/>
              <w:jc w:val="right"/>
            </w:pPr>
            <w:r>
              <w:rPr>
                <w:color w:val="1A1A1A"/>
                <w:sz w:val="18"/>
                <w:szCs w:val="18"/>
              </w:rPr>
              <w:t>1,045,549</w:t>
            </w:r>
          </w:p>
        </w:tc>
      </w:tr>
      <w:tr w:rsidR="00BA183A" w14:paraId="5E9217B5" w14:textId="77777777">
        <w:tc>
          <w:tcPr>
            <w:tcW w:w="4320" w:type="dxa"/>
            <w:shd w:val="clear" w:color="auto" w:fill="FFFFFF"/>
            <w:tcMar>
              <w:top w:w="40" w:type="dxa"/>
              <w:left w:w="100" w:type="dxa"/>
              <w:bottom w:w="40" w:type="dxa"/>
              <w:right w:w="100" w:type="dxa"/>
            </w:tcMar>
            <w:vAlign w:val="center"/>
          </w:tcPr>
          <w:p w14:paraId="3FE9337D"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70691BDF"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0B5F3592"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14:paraId="5E96E9BE" w14:textId="77777777" w:rsidR="00BA183A" w:rsidRDefault="00000000">
            <w:pPr>
              <w:spacing w:before="20" w:after="20"/>
              <w:jc w:val="right"/>
            </w:pPr>
            <w:r>
              <w:rPr>
                <w:color w:val="1A1A1A"/>
                <w:sz w:val="18"/>
                <w:szCs w:val="18"/>
              </w:rPr>
              <w:t>11,497,362</w:t>
            </w:r>
          </w:p>
        </w:tc>
      </w:tr>
      <w:tr w:rsidR="00BA183A" w14:paraId="637FCBD6" w14:textId="77777777">
        <w:tc>
          <w:tcPr>
            <w:tcW w:w="4320" w:type="dxa"/>
            <w:shd w:val="clear" w:color="auto" w:fill="FFFFFF"/>
            <w:tcMar>
              <w:top w:w="40" w:type="dxa"/>
              <w:left w:w="100" w:type="dxa"/>
              <w:bottom w:w="40" w:type="dxa"/>
              <w:right w:w="100" w:type="dxa"/>
            </w:tcMar>
            <w:vAlign w:val="center"/>
          </w:tcPr>
          <w:p w14:paraId="25A453FF"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2C371DED"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983E117"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14:paraId="335F20F3" w14:textId="77777777" w:rsidR="00BA183A" w:rsidRDefault="00000000">
            <w:pPr>
              <w:spacing w:before="20" w:after="20"/>
              <w:jc w:val="right"/>
            </w:pPr>
            <w:r>
              <w:rPr>
                <w:color w:val="1A1A1A"/>
                <w:sz w:val="18"/>
                <w:szCs w:val="18"/>
              </w:rPr>
              <w:t>33,968,762</w:t>
            </w:r>
          </w:p>
        </w:tc>
      </w:tr>
      <w:tr w:rsidR="00BA183A" w14:paraId="6F3F7F2A" w14:textId="77777777">
        <w:tc>
          <w:tcPr>
            <w:tcW w:w="4320" w:type="dxa"/>
            <w:shd w:val="clear" w:color="auto" w:fill="FFFFFF"/>
            <w:tcMar>
              <w:top w:w="40" w:type="dxa"/>
              <w:left w:w="100" w:type="dxa"/>
              <w:bottom w:w="40" w:type="dxa"/>
              <w:right w:w="100" w:type="dxa"/>
            </w:tcMar>
            <w:vAlign w:val="center"/>
          </w:tcPr>
          <w:p w14:paraId="38BBCE79"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17ECC9DB"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72089E7D"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14:paraId="4FB509A3" w14:textId="77777777" w:rsidR="00BA183A" w:rsidRDefault="00000000">
            <w:pPr>
              <w:spacing w:before="20" w:after="20"/>
              <w:jc w:val="right"/>
            </w:pPr>
            <w:r>
              <w:rPr>
                <w:color w:val="1A1A1A"/>
                <w:sz w:val="18"/>
                <w:szCs w:val="18"/>
              </w:rPr>
              <w:t>55,467,518</w:t>
            </w:r>
          </w:p>
        </w:tc>
      </w:tr>
      <w:tr w:rsidR="00BA183A" w14:paraId="15B8FC5B" w14:textId="77777777">
        <w:tc>
          <w:tcPr>
            <w:tcW w:w="4320" w:type="dxa"/>
            <w:shd w:val="clear" w:color="auto" w:fill="FFFFFF"/>
            <w:tcMar>
              <w:top w:w="40" w:type="dxa"/>
              <w:left w:w="100" w:type="dxa"/>
              <w:bottom w:w="40" w:type="dxa"/>
              <w:right w:w="100" w:type="dxa"/>
            </w:tcMar>
            <w:vAlign w:val="center"/>
          </w:tcPr>
          <w:p w14:paraId="71FE5D00"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4642B4D2"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81FC4D1"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14:paraId="45CE4850" w14:textId="77777777" w:rsidR="00BA183A" w:rsidRDefault="00000000">
            <w:pPr>
              <w:spacing w:before="20" w:after="20"/>
              <w:jc w:val="right"/>
            </w:pPr>
            <w:r>
              <w:rPr>
                <w:color w:val="1A1A1A"/>
                <w:sz w:val="18"/>
                <w:szCs w:val="18"/>
              </w:rPr>
              <w:t>3,655,270</w:t>
            </w:r>
          </w:p>
        </w:tc>
      </w:tr>
      <w:tr w:rsidR="00BA183A" w14:paraId="0D851BEF" w14:textId="77777777">
        <w:tc>
          <w:tcPr>
            <w:tcW w:w="4320" w:type="dxa"/>
            <w:shd w:val="clear" w:color="auto" w:fill="FFFFFF"/>
            <w:tcMar>
              <w:top w:w="40" w:type="dxa"/>
              <w:left w:w="100" w:type="dxa"/>
              <w:bottom w:w="40" w:type="dxa"/>
              <w:right w:w="100" w:type="dxa"/>
            </w:tcMar>
            <w:vAlign w:val="center"/>
          </w:tcPr>
          <w:p w14:paraId="74B5F9F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04442AF7"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31074B"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14:paraId="61F19F9C" w14:textId="77777777" w:rsidR="00BA183A" w:rsidRDefault="00000000">
            <w:pPr>
              <w:spacing w:before="20" w:after="20"/>
              <w:jc w:val="right"/>
            </w:pPr>
            <w:r>
              <w:rPr>
                <w:color w:val="1A1A1A"/>
                <w:sz w:val="18"/>
                <w:szCs w:val="18"/>
              </w:rPr>
              <w:t>1,783,232</w:t>
            </w:r>
          </w:p>
        </w:tc>
      </w:tr>
      <w:tr w:rsidR="00BA183A" w14:paraId="6FDEF74B" w14:textId="77777777">
        <w:tc>
          <w:tcPr>
            <w:tcW w:w="4320" w:type="dxa"/>
            <w:shd w:val="clear" w:color="auto" w:fill="FFFFFF"/>
            <w:tcMar>
              <w:top w:w="40" w:type="dxa"/>
              <w:left w:w="100" w:type="dxa"/>
              <w:bottom w:w="40" w:type="dxa"/>
              <w:right w:w="100" w:type="dxa"/>
            </w:tcMar>
            <w:vAlign w:val="center"/>
          </w:tcPr>
          <w:p w14:paraId="468D67C1"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39D23F57"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1D4B97B"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14:paraId="68DC8B75" w14:textId="77777777" w:rsidR="00BA183A" w:rsidRDefault="00000000">
            <w:pPr>
              <w:spacing w:before="20" w:after="20"/>
              <w:jc w:val="right"/>
            </w:pPr>
            <w:r>
              <w:rPr>
                <w:color w:val="1A1A1A"/>
                <w:sz w:val="18"/>
                <w:szCs w:val="18"/>
              </w:rPr>
              <w:t>585,306</w:t>
            </w:r>
          </w:p>
        </w:tc>
      </w:tr>
      <w:tr w:rsidR="00BA183A" w14:paraId="7E561743" w14:textId="77777777">
        <w:tc>
          <w:tcPr>
            <w:tcW w:w="4320" w:type="dxa"/>
            <w:shd w:val="clear" w:color="auto" w:fill="FFFFFF"/>
            <w:tcMar>
              <w:top w:w="40" w:type="dxa"/>
              <w:left w:w="100" w:type="dxa"/>
              <w:bottom w:w="40" w:type="dxa"/>
              <w:right w:w="100" w:type="dxa"/>
            </w:tcMar>
            <w:vAlign w:val="center"/>
          </w:tcPr>
          <w:p w14:paraId="57C1F8BF"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4770A502"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47770D9A"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14:paraId="3D51988C" w14:textId="77777777" w:rsidR="00BA183A" w:rsidRDefault="00000000">
            <w:pPr>
              <w:spacing w:before="20" w:after="20"/>
              <w:jc w:val="right"/>
            </w:pPr>
            <w:r>
              <w:rPr>
                <w:b/>
                <w:bCs/>
                <w:color w:val="1A1A1A"/>
                <w:sz w:val="18"/>
                <w:szCs w:val="18"/>
              </w:rPr>
              <w:t>108,002,999</w:t>
            </w:r>
          </w:p>
        </w:tc>
      </w:tr>
      <w:tr w:rsidR="00BA183A" w14:paraId="4419FF13" w14:textId="77777777">
        <w:tc>
          <w:tcPr>
            <w:tcW w:w="10080" w:type="dxa"/>
            <w:gridSpan w:val="4"/>
            <w:shd w:val="clear" w:color="auto" w:fill="EDF2F7"/>
            <w:tcMar>
              <w:top w:w="40" w:type="dxa"/>
              <w:left w:w="100" w:type="dxa"/>
              <w:bottom w:w="40" w:type="dxa"/>
              <w:right w:w="100" w:type="dxa"/>
            </w:tcMar>
            <w:vAlign w:val="center"/>
          </w:tcPr>
          <w:p w14:paraId="47C74E77" w14:textId="77777777" w:rsidR="00BA183A" w:rsidRDefault="00000000">
            <w:pPr>
              <w:spacing w:before="20" w:after="20"/>
            </w:pPr>
            <w:r>
              <w:rPr>
                <w:b/>
                <w:bCs/>
                <w:color w:val="1A3A5C"/>
                <w:sz w:val="18"/>
                <w:szCs w:val="18"/>
              </w:rPr>
              <w:t>EQUITY</w:t>
            </w:r>
          </w:p>
        </w:tc>
      </w:tr>
      <w:tr w:rsidR="00BA183A" w14:paraId="6972F63A" w14:textId="77777777">
        <w:tc>
          <w:tcPr>
            <w:tcW w:w="4320" w:type="dxa"/>
            <w:shd w:val="clear" w:color="auto" w:fill="FFFFFF"/>
            <w:tcMar>
              <w:top w:w="40" w:type="dxa"/>
              <w:left w:w="100" w:type="dxa"/>
              <w:bottom w:w="40" w:type="dxa"/>
              <w:right w:w="100" w:type="dxa"/>
            </w:tcMar>
            <w:vAlign w:val="center"/>
          </w:tcPr>
          <w:p w14:paraId="345B5F8F" w14:textId="77777777" w:rsidR="00BA183A" w:rsidRDefault="00000000">
            <w:pPr>
              <w:spacing w:before="20" w:after="20"/>
            </w:pPr>
            <w:r>
              <w:rPr>
                <w:color w:val="1A1A1A"/>
                <w:sz w:val="18"/>
                <w:szCs w:val="18"/>
              </w:rPr>
              <w:lastRenderedPageBreak/>
              <w:t>Share capital</w:t>
            </w:r>
          </w:p>
        </w:tc>
        <w:tc>
          <w:tcPr>
            <w:tcW w:w="1920" w:type="dxa"/>
            <w:shd w:val="clear" w:color="auto" w:fill="FFFFFF"/>
            <w:tcMar>
              <w:top w:w="40" w:type="dxa"/>
              <w:left w:w="100" w:type="dxa"/>
              <w:bottom w:w="40" w:type="dxa"/>
              <w:right w:w="100" w:type="dxa"/>
            </w:tcMar>
            <w:vAlign w:val="center"/>
          </w:tcPr>
          <w:p w14:paraId="306DBAC1"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7CA254BA"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14:paraId="7A9962DF" w14:textId="77777777" w:rsidR="00BA183A" w:rsidRDefault="00000000">
            <w:pPr>
              <w:spacing w:before="20" w:after="20"/>
              <w:jc w:val="right"/>
            </w:pPr>
            <w:r>
              <w:rPr>
                <w:color w:val="1A1A1A"/>
                <w:sz w:val="18"/>
                <w:szCs w:val="18"/>
              </w:rPr>
              <w:t>15,476,078</w:t>
            </w:r>
          </w:p>
        </w:tc>
      </w:tr>
      <w:tr w:rsidR="00BA183A" w14:paraId="4A5792EF" w14:textId="77777777">
        <w:tc>
          <w:tcPr>
            <w:tcW w:w="4320" w:type="dxa"/>
            <w:shd w:val="clear" w:color="auto" w:fill="FFFFFF"/>
            <w:tcMar>
              <w:top w:w="40" w:type="dxa"/>
              <w:left w:w="100" w:type="dxa"/>
              <w:bottom w:w="40" w:type="dxa"/>
              <w:right w:w="100" w:type="dxa"/>
            </w:tcMar>
            <w:vAlign w:val="center"/>
          </w:tcPr>
          <w:p w14:paraId="7A5CFA97" w14:textId="77777777" w:rsidR="00BA183A" w:rsidRDefault="00000000">
            <w:pPr>
              <w:spacing w:before="20" w:after="20"/>
            </w:pPr>
            <w:r>
              <w:rPr>
                <w:color w:val="1A1A1A"/>
                <w:sz w:val="18"/>
                <w:szCs w:val="18"/>
              </w:rPr>
              <w:t>Other reserves and retained earnings</w:t>
            </w:r>
          </w:p>
        </w:tc>
        <w:tc>
          <w:tcPr>
            <w:tcW w:w="1920" w:type="dxa"/>
            <w:shd w:val="clear" w:color="auto" w:fill="FFFFFF"/>
            <w:tcMar>
              <w:top w:w="40" w:type="dxa"/>
              <w:left w:w="100" w:type="dxa"/>
              <w:bottom w:w="40" w:type="dxa"/>
              <w:right w:w="100" w:type="dxa"/>
            </w:tcMar>
            <w:vAlign w:val="center"/>
          </w:tcPr>
          <w:p w14:paraId="5C0665CB"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7C7C0F29"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14:paraId="3E5E7FBF" w14:textId="77777777" w:rsidR="00BA183A" w:rsidRDefault="00000000">
            <w:pPr>
              <w:spacing w:before="20" w:after="20"/>
              <w:jc w:val="right"/>
            </w:pPr>
            <w:r>
              <w:rPr>
                <w:color w:val="1A1A1A"/>
                <w:sz w:val="18"/>
                <w:szCs w:val="18"/>
              </w:rPr>
              <w:t>2,966,932</w:t>
            </w:r>
          </w:p>
        </w:tc>
      </w:tr>
      <w:tr w:rsidR="00BA183A" w14:paraId="5F15C64D" w14:textId="77777777">
        <w:tc>
          <w:tcPr>
            <w:tcW w:w="4320" w:type="dxa"/>
            <w:shd w:val="clear" w:color="auto" w:fill="FFFFFF"/>
            <w:tcMar>
              <w:top w:w="40" w:type="dxa"/>
              <w:left w:w="100" w:type="dxa"/>
              <w:bottom w:w="40" w:type="dxa"/>
              <w:right w:w="100" w:type="dxa"/>
            </w:tcMar>
            <w:vAlign w:val="center"/>
          </w:tcPr>
          <w:p w14:paraId="1CACBEC8"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2A1FBDF9"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1EC7BF9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14:paraId="700DDE4B" w14:textId="77777777" w:rsidR="00BA183A" w:rsidRDefault="00000000">
            <w:pPr>
              <w:spacing w:before="20" w:after="20"/>
              <w:jc w:val="right"/>
            </w:pPr>
            <w:r>
              <w:rPr>
                <w:b/>
                <w:bCs/>
                <w:color w:val="1A1A1A"/>
                <w:sz w:val="18"/>
                <w:szCs w:val="18"/>
              </w:rPr>
              <w:t>18,443,010</w:t>
            </w:r>
          </w:p>
        </w:tc>
      </w:tr>
      <w:tr w:rsidR="00BA183A" w14:paraId="4CAFFE9A" w14:textId="77777777">
        <w:tc>
          <w:tcPr>
            <w:tcW w:w="4320" w:type="dxa"/>
            <w:shd w:val="clear" w:color="auto" w:fill="FFFFFF"/>
            <w:tcMar>
              <w:top w:w="40" w:type="dxa"/>
              <w:left w:w="100" w:type="dxa"/>
              <w:bottom w:w="40" w:type="dxa"/>
              <w:right w:w="100" w:type="dxa"/>
            </w:tcMar>
            <w:vAlign w:val="center"/>
          </w:tcPr>
          <w:p w14:paraId="616556E8"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07C3E172"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00AC79C1"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14:paraId="73C7A273" w14:textId="77777777" w:rsidR="00BA183A" w:rsidRDefault="00000000">
            <w:pPr>
              <w:spacing w:before="20" w:after="20"/>
              <w:jc w:val="right"/>
            </w:pPr>
            <w:r>
              <w:rPr>
                <w:color w:val="1A1A1A"/>
                <w:sz w:val="18"/>
                <w:szCs w:val="18"/>
              </w:rPr>
              <w:t>43,397</w:t>
            </w:r>
          </w:p>
        </w:tc>
      </w:tr>
      <w:tr w:rsidR="00BA183A" w14:paraId="1EE25DA2" w14:textId="77777777">
        <w:tc>
          <w:tcPr>
            <w:tcW w:w="4320" w:type="dxa"/>
            <w:shd w:val="clear" w:color="auto" w:fill="FFFFFF"/>
            <w:tcMar>
              <w:top w:w="40" w:type="dxa"/>
              <w:left w:w="100" w:type="dxa"/>
              <w:bottom w:w="40" w:type="dxa"/>
              <w:right w:w="100" w:type="dxa"/>
            </w:tcMar>
            <w:vAlign w:val="center"/>
          </w:tcPr>
          <w:p w14:paraId="16C743D2"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5819C03"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084B1F4C"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14:paraId="44FC51FE" w14:textId="77777777" w:rsidR="00BA183A" w:rsidRDefault="00000000">
            <w:pPr>
              <w:spacing w:before="20" w:after="20"/>
              <w:jc w:val="right"/>
            </w:pPr>
            <w:r>
              <w:rPr>
                <w:b/>
                <w:bCs/>
                <w:color w:val="1A1A1A"/>
                <w:sz w:val="18"/>
                <w:szCs w:val="18"/>
              </w:rPr>
              <w:t>18,486,407</w:t>
            </w:r>
          </w:p>
        </w:tc>
      </w:tr>
    </w:tbl>
    <w:p w14:paraId="6D2ED9F4"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8D36784" w14:textId="77777777">
        <w:tc>
          <w:tcPr>
            <w:tcW w:w="4320" w:type="dxa"/>
            <w:shd w:val="clear" w:color="auto" w:fill="2E4057"/>
            <w:tcMar>
              <w:top w:w="40" w:type="dxa"/>
              <w:left w:w="100" w:type="dxa"/>
              <w:bottom w:w="40" w:type="dxa"/>
              <w:right w:w="100" w:type="dxa"/>
            </w:tcMar>
            <w:vAlign w:val="center"/>
          </w:tcPr>
          <w:p w14:paraId="396C5822"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0C7DD8D0"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52F3497A"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14:paraId="5A56A3B6" w14:textId="77777777" w:rsidR="00BA183A" w:rsidRDefault="00000000">
            <w:pPr>
              <w:spacing w:before="20" w:after="20"/>
              <w:jc w:val="right"/>
            </w:pPr>
            <w:r>
              <w:rPr>
                <w:b/>
                <w:bCs/>
                <w:color w:val="FFFFFF"/>
                <w:sz w:val="18"/>
                <w:szCs w:val="18"/>
              </w:rPr>
              <w:t>FY2023*</w:t>
            </w:r>
          </w:p>
        </w:tc>
      </w:tr>
      <w:tr w:rsidR="00BA183A" w14:paraId="2939F7ED" w14:textId="77777777">
        <w:tc>
          <w:tcPr>
            <w:tcW w:w="4320" w:type="dxa"/>
            <w:shd w:val="clear" w:color="auto" w:fill="FFFFFF"/>
            <w:tcMar>
              <w:top w:w="40" w:type="dxa"/>
              <w:left w:w="100" w:type="dxa"/>
              <w:bottom w:w="40" w:type="dxa"/>
              <w:right w:w="100" w:type="dxa"/>
            </w:tcMar>
            <w:vAlign w:val="center"/>
          </w:tcPr>
          <w:p w14:paraId="71370A18"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678B1E12"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5F0D9358"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14:paraId="26DA8C02" w14:textId="77777777" w:rsidR="00BA183A" w:rsidRDefault="00000000">
            <w:pPr>
              <w:spacing w:before="20" w:after="20"/>
              <w:jc w:val="right"/>
            </w:pPr>
            <w:r>
              <w:rPr>
                <w:color w:val="1A1A1A"/>
                <w:sz w:val="18"/>
                <w:szCs w:val="18"/>
              </w:rPr>
              <w:t>10,606,305</w:t>
            </w:r>
          </w:p>
        </w:tc>
      </w:tr>
      <w:tr w:rsidR="00BA183A" w14:paraId="08C7B488" w14:textId="77777777">
        <w:tc>
          <w:tcPr>
            <w:tcW w:w="4320" w:type="dxa"/>
            <w:shd w:val="clear" w:color="auto" w:fill="FFFFFF"/>
            <w:tcMar>
              <w:top w:w="40" w:type="dxa"/>
              <w:left w:w="100" w:type="dxa"/>
              <w:bottom w:w="40" w:type="dxa"/>
              <w:right w:w="100" w:type="dxa"/>
            </w:tcMar>
            <w:vAlign w:val="center"/>
          </w:tcPr>
          <w:p w14:paraId="2FE918B7"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1C65E140"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7F13A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14:paraId="252147AE" w14:textId="77777777" w:rsidR="00BA183A" w:rsidRDefault="00000000">
            <w:pPr>
              <w:spacing w:before="20" w:after="20"/>
              <w:jc w:val="right"/>
            </w:pPr>
            <w:r>
              <w:rPr>
                <w:color w:val="1A1A1A"/>
                <w:sz w:val="18"/>
                <w:szCs w:val="18"/>
              </w:rPr>
              <w:t>(5,069,070)</w:t>
            </w:r>
          </w:p>
        </w:tc>
      </w:tr>
      <w:tr w:rsidR="00BA183A" w14:paraId="21077BAF" w14:textId="77777777">
        <w:tc>
          <w:tcPr>
            <w:tcW w:w="4320" w:type="dxa"/>
            <w:shd w:val="clear" w:color="auto" w:fill="FFFFFF"/>
            <w:tcMar>
              <w:top w:w="40" w:type="dxa"/>
              <w:left w:w="100" w:type="dxa"/>
              <w:bottom w:w="40" w:type="dxa"/>
              <w:right w:w="100" w:type="dxa"/>
            </w:tcMar>
            <w:vAlign w:val="center"/>
          </w:tcPr>
          <w:p w14:paraId="70658278"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014B3739"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3D924279"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14:paraId="2F0D01B6" w14:textId="77777777" w:rsidR="00BA183A" w:rsidRDefault="00000000">
            <w:pPr>
              <w:spacing w:before="20" w:after="20"/>
              <w:jc w:val="right"/>
            </w:pPr>
            <w:r>
              <w:rPr>
                <w:b/>
                <w:bCs/>
                <w:color w:val="1A1A1A"/>
                <w:sz w:val="18"/>
                <w:szCs w:val="18"/>
              </w:rPr>
              <w:t>5,537,235</w:t>
            </w:r>
          </w:p>
        </w:tc>
      </w:tr>
      <w:tr w:rsidR="00BA183A" w14:paraId="45CCFE48" w14:textId="77777777">
        <w:tc>
          <w:tcPr>
            <w:tcW w:w="4320" w:type="dxa"/>
            <w:shd w:val="clear" w:color="auto" w:fill="FFFFFF"/>
            <w:tcMar>
              <w:top w:w="40" w:type="dxa"/>
              <w:left w:w="100" w:type="dxa"/>
              <w:bottom w:w="40" w:type="dxa"/>
              <w:right w:w="100" w:type="dxa"/>
            </w:tcMar>
            <w:vAlign w:val="center"/>
          </w:tcPr>
          <w:p w14:paraId="3720B6E0"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7D148218"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16CFC0F1"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14:paraId="3B299885" w14:textId="77777777" w:rsidR="00BA183A" w:rsidRDefault="00000000">
            <w:pPr>
              <w:spacing w:before="20" w:after="20"/>
              <w:jc w:val="right"/>
            </w:pPr>
            <w:r>
              <w:rPr>
                <w:color w:val="1A1A1A"/>
                <w:sz w:val="18"/>
                <w:szCs w:val="18"/>
              </w:rPr>
              <w:t>(1,754,147)</w:t>
            </w:r>
          </w:p>
        </w:tc>
      </w:tr>
      <w:tr w:rsidR="00BA183A" w14:paraId="3975F160" w14:textId="77777777">
        <w:tc>
          <w:tcPr>
            <w:tcW w:w="4320" w:type="dxa"/>
            <w:shd w:val="clear" w:color="auto" w:fill="FFFFFF"/>
            <w:tcMar>
              <w:top w:w="40" w:type="dxa"/>
              <w:left w:w="100" w:type="dxa"/>
              <w:bottom w:w="40" w:type="dxa"/>
              <w:right w:w="100" w:type="dxa"/>
            </w:tcMar>
            <w:vAlign w:val="center"/>
          </w:tcPr>
          <w:p w14:paraId="6443F36F"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1DDEDD04"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09D1A751"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14:paraId="4B0C7F21" w14:textId="77777777" w:rsidR="00BA183A" w:rsidRDefault="00000000">
            <w:pPr>
              <w:spacing w:before="20" w:after="20"/>
              <w:jc w:val="right"/>
            </w:pPr>
            <w:r>
              <w:rPr>
                <w:color w:val="1A1A1A"/>
                <w:sz w:val="18"/>
                <w:szCs w:val="18"/>
              </w:rPr>
              <w:t>813,879</w:t>
            </w:r>
          </w:p>
        </w:tc>
      </w:tr>
      <w:tr w:rsidR="00BA183A" w14:paraId="5EE3EBD9" w14:textId="77777777">
        <w:tc>
          <w:tcPr>
            <w:tcW w:w="4320" w:type="dxa"/>
            <w:shd w:val="clear" w:color="auto" w:fill="FFFFFF"/>
            <w:tcMar>
              <w:top w:w="40" w:type="dxa"/>
              <w:left w:w="100" w:type="dxa"/>
              <w:bottom w:w="40" w:type="dxa"/>
              <w:right w:w="100" w:type="dxa"/>
            </w:tcMar>
            <w:vAlign w:val="center"/>
          </w:tcPr>
          <w:p w14:paraId="7CB9C849"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7E45A59B"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50EF2CB6"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14:paraId="02931045" w14:textId="77777777" w:rsidR="00BA183A" w:rsidRDefault="00000000">
            <w:pPr>
              <w:spacing w:before="20" w:after="20"/>
              <w:jc w:val="right"/>
            </w:pPr>
            <w:r>
              <w:rPr>
                <w:color w:val="1A1A1A"/>
                <w:sz w:val="18"/>
                <w:szCs w:val="18"/>
              </w:rPr>
              <w:t>1,027,812</w:t>
            </w:r>
          </w:p>
        </w:tc>
      </w:tr>
      <w:tr w:rsidR="00BA183A" w14:paraId="290FE954" w14:textId="77777777">
        <w:tc>
          <w:tcPr>
            <w:tcW w:w="4320" w:type="dxa"/>
            <w:shd w:val="clear" w:color="auto" w:fill="FFFFFF"/>
            <w:tcMar>
              <w:top w:w="40" w:type="dxa"/>
              <w:left w:w="100" w:type="dxa"/>
              <w:bottom w:w="40" w:type="dxa"/>
              <w:right w:w="100" w:type="dxa"/>
            </w:tcMar>
            <w:vAlign w:val="center"/>
          </w:tcPr>
          <w:p w14:paraId="68DBDA4B"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555266C1"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553CEF73"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14:paraId="1DBAF9DA" w14:textId="77777777" w:rsidR="00BA183A" w:rsidRDefault="00000000">
            <w:pPr>
              <w:spacing w:before="20" w:after="20"/>
              <w:jc w:val="right"/>
            </w:pPr>
            <w:r>
              <w:rPr>
                <w:color w:val="1A1A1A"/>
                <w:sz w:val="18"/>
                <w:szCs w:val="18"/>
              </w:rPr>
              <w:t>(2,059,537)</w:t>
            </w:r>
          </w:p>
        </w:tc>
      </w:tr>
      <w:tr w:rsidR="00BA183A" w14:paraId="46CEC333" w14:textId="77777777">
        <w:tc>
          <w:tcPr>
            <w:tcW w:w="4320" w:type="dxa"/>
            <w:shd w:val="clear" w:color="auto" w:fill="FFFFFF"/>
            <w:tcMar>
              <w:top w:w="40" w:type="dxa"/>
              <w:left w:w="100" w:type="dxa"/>
              <w:bottom w:w="40" w:type="dxa"/>
              <w:right w:w="100" w:type="dxa"/>
            </w:tcMar>
            <w:vAlign w:val="center"/>
          </w:tcPr>
          <w:p w14:paraId="6276F9C7"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09594553"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40C5488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14:paraId="6B7D73C2" w14:textId="77777777" w:rsidR="00BA183A" w:rsidRDefault="00000000">
            <w:pPr>
              <w:spacing w:before="20" w:after="20"/>
              <w:jc w:val="right"/>
            </w:pPr>
            <w:r>
              <w:rPr>
                <w:color w:val="1A1A1A"/>
                <w:sz w:val="18"/>
                <w:szCs w:val="18"/>
              </w:rPr>
              <w:t>(513,157)</w:t>
            </w:r>
          </w:p>
        </w:tc>
      </w:tr>
      <w:tr w:rsidR="00BA183A" w14:paraId="23C5B288" w14:textId="77777777">
        <w:tc>
          <w:tcPr>
            <w:tcW w:w="4320" w:type="dxa"/>
            <w:shd w:val="clear" w:color="auto" w:fill="FFFFFF"/>
            <w:tcMar>
              <w:top w:w="40" w:type="dxa"/>
              <w:left w:w="100" w:type="dxa"/>
              <w:bottom w:w="40" w:type="dxa"/>
              <w:right w:w="100" w:type="dxa"/>
            </w:tcMar>
            <w:vAlign w:val="center"/>
          </w:tcPr>
          <w:p w14:paraId="052360C2"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3943B52A"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7589D90E"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14:paraId="4458F542" w14:textId="77777777" w:rsidR="00BA183A" w:rsidRDefault="00000000">
            <w:pPr>
              <w:spacing w:before="20" w:after="20"/>
              <w:jc w:val="right"/>
            </w:pPr>
            <w:r>
              <w:rPr>
                <w:b/>
                <w:bCs/>
                <w:color w:val="1A1A1A"/>
                <w:sz w:val="18"/>
                <w:szCs w:val="18"/>
              </w:rPr>
              <w:t>3,052,085</w:t>
            </w:r>
          </w:p>
        </w:tc>
      </w:tr>
      <w:tr w:rsidR="00BA183A" w14:paraId="0360A5BB" w14:textId="77777777">
        <w:tc>
          <w:tcPr>
            <w:tcW w:w="4320" w:type="dxa"/>
            <w:shd w:val="clear" w:color="auto" w:fill="FFFFFF"/>
            <w:tcMar>
              <w:top w:w="40" w:type="dxa"/>
              <w:left w:w="100" w:type="dxa"/>
              <w:bottom w:w="40" w:type="dxa"/>
              <w:right w:w="100" w:type="dxa"/>
            </w:tcMar>
            <w:vAlign w:val="center"/>
          </w:tcPr>
          <w:p w14:paraId="725EBECE"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37CAD5E7"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7B7CDC80"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14:paraId="002415B0" w14:textId="77777777" w:rsidR="00BA183A" w:rsidRDefault="00000000">
            <w:pPr>
              <w:spacing w:before="20" w:after="20"/>
              <w:jc w:val="right"/>
            </w:pPr>
            <w:r>
              <w:rPr>
                <w:color w:val="1A1A1A"/>
                <w:sz w:val="18"/>
                <w:szCs w:val="18"/>
              </w:rPr>
              <w:t>(736,642)</w:t>
            </w:r>
          </w:p>
        </w:tc>
      </w:tr>
      <w:tr w:rsidR="00BA183A" w14:paraId="57DB0AC0" w14:textId="77777777">
        <w:tc>
          <w:tcPr>
            <w:tcW w:w="4320" w:type="dxa"/>
            <w:shd w:val="clear" w:color="auto" w:fill="FFFFFF"/>
            <w:tcMar>
              <w:top w:w="40" w:type="dxa"/>
              <w:left w:w="100" w:type="dxa"/>
              <w:bottom w:w="40" w:type="dxa"/>
              <w:right w:w="100" w:type="dxa"/>
            </w:tcMar>
            <w:vAlign w:val="center"/>
          </w:tcPr>
          <w:p w14:paraId="2DC2B188"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2171E8"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1B1B871F"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14:paraId="0A1B6414" w14:textId="77777777" w:rsidR="00BA183A" w:rsidRDefault="00000000">
            <w:pPr>
              <w:spacing w:before="20" w:after="20"/>
              <w:jc w:val="right"/>
            </w:pPr>
            <w:r>
              <w:rPr>
                <w:b/>
                <w:bCs/>
                <w:color w:val="1A1A1A"/>
                <w:sz w:val="18"/>
                <w:szCs w:val="18"/>
              </w:rPr>
              <w:t>2,315,443</w:t>
            </w:r>
          </w:p>
        </w:tc>
      </w:tr>
      <w:tr w:rsidR="00BA183A" w14:paraId="3EF18E4C" w14:textId="77777777">
        <w:tc>
          <w:tcPr>
            <w:tcW w:w="4320" w:type="dxa"/>
            <w:shd w:val="clear" w:color="auto" w:fill="FFFFFF"/>
            <w:tcMar>
              <w:top w:w="40" w:type="dxa"/>
              <w:left w:w="100" w:type="dxa"/>
              <w:bottom w:w="40" w:type="dxa"/>
              <w:right w:w="100" w:type="dxa"/>
            </w:tcMar>
            <w:vAlign w:val="center"/>
          </w:tcPr>
          <w:p w14:paraId="093841C8"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4E403F2A"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11C4203A"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14:paraId="2C150F1D" w14:textId="77777777" w:rsidR="00BA183A" w:rsidRDefault="00000000">
            <w:pPr>
              <w:spacing w:before="20" w:after="20"/>
              <w:jc w:val="right"/>
            </w:pPr>
            <w:r>
              <w:rPr>
                <w:color w:val="1A1A1A"/>
                <w:sz w:val="18"/>
                <w:szCs w:val="18"/>
              </w:rPr>
              <w:t>2,296,771</w:t>
            </w:r>
          </w:p>
        </w:tc>
      </w:tr>
      <w:tr w:rsidR="00BA183A" w14:paraId="44BC0FB2" w14:textId="77777777">
        <w:tc>
          <w:tcPr>
            <w:tcW w:w="4320" w:type="dxa"/>
            <w:shd w:val="clear" w:color="auto" w:fill="FFFFFF"/>
            <w:tcMar>
              <w:top w:w="40" w:type="dxa"/>
              <w:left w:w="100" w:type="dxa"/>
              <w:bottom w:w="40" w:type="dxa"/>
              <w:right w:w="100" w:type="dxa"/>
            </w:tcMar>
            <w:vAlign w:val="center"/>
          </w:tcPr>
          <w:p w14:paraId="53ECCD61"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E8FDEED"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3067F806"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14:paraId="1FA2D46D" w14:textId="77777777" w:rsidR="00BA183A" w:rsidRDefault="00000000">
            <w:pPr>
              <w:spacing w:before="20" w:after="20"/>
              <w:jc w:val="right"/>
            </w:pPr>
            <w:r>
              <w:rPr>
                <w:color w:val="1A1A1A"/>
                <w:sz w:val="18"/>
                <w:szCs w:val="18"/>
              </w:rPr>
              <w:t>18,672</w:t>
            </w:r>
          </w:p>
        </w:tc>
      </w:tr>
    </w:tbl>
    <w:p w14:paraId="7DB2FF0B"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56EF51F7" w14:textId="77777777" w:rsidR="0059742E" w:rsidRDefault="00C764C0">
      <w:pPr>
        <w:pBdr>
          <w:bottom w:val="single" w:sz="4" w:space="2" w:color="2E6DA4"/>
        </w:pBdr>
        <w:spacing w:before="200" w:after="80"/>
      </w:pPr>
      <w:r>
        <w:rPr>
          <w:b/>
          <w:bCs/>
          <w:color w:val="2E6DA4"/>
          <w:sz w:val="22"/>
          <w:szCs w:val="22"/>
        </w:rPr>
        <w:t>2.2 Financial Performance in 1H 2025</w:t>
      </w:r>
    </w:p>
    <w:p w:rsidR="003B07C8" w:rsidRDefault="00000000">
      <w:pPr>
        <w:spacing w:before="60" w:after="80"/>
      </w:pPr>
      <w:r>
        <w:rPr>
          <w:color w:val="1A1A1A"/>
        </w:rPr>
        <w:t xml:space="preserve">The discussion below analyses NBU’s financial performance and position for the first half of 2025, organised into three parts — Asset Analysis, Liability Analysis and Income Analysis — on the same reviewed IFRS interim basis as Section 2.1 (the six months ended 30 June 2025, reviewed by Deloitte &amp; Touche). Balance-sheet movements are measured over the half-year against 31 December 2024, and income-statement movements against the six months ended 30 June 2024; net-income and return measures are also shown on an annualised basis (six-month result × 2) where indicated, to give a full-year-equivalent view. These figures reconcile to Section 2.1 and will be superseded by NBU’s audited FY2025 IFRS financial statements when published. Source: NBU interim condensed consolidated financial statements for the six months ended 30 June 2025 (reviewed by Deloitte &amp; Touche).</w:t>
      </w:r>
    </w:p>
    <w:p w14:paraId="42FB1220" w14:textId="77777777" w:rsidR="0059742E" w:rsidRDefault="00C764C0">
      <w:pPr>
        <w:spacing w:before="160" w:after="60"/>
      </w:pPr>
      <w:r>
        <w:rPr>
          <w:b/>
          <w:bCs/>
          <w:color w:val="2E6DA4"/>
        </w:rPr>
        <w:t>Asset Analysis</w:t>
      </w:r>
    </w:p>
    <w:p w:rsidR="003B07C8" w:rsidRDefault="00000000">
      <w:pPr>
        <w:spacing w:before="60" w:after="80"/>
      </w:pPr>
      <w:r>
        <w:rPr>
          <w:color w:val="1A1A1A"/>
        </w:rPr>
        <w:t xml:space="preserve">Total assets grew 6.3% over the half-year to UZS 145.4 trillion (~USD 11.9 billion) at 30 June 2025, from UZS 136.8 trillion at 31 December 2024, consolidating NBU’s position as Uzbekistan’s largest bank with approximately 16% system market share. The growth was driven primarily by a build-up of liquid assets alongside continued, more measured, loan growth.</w:t>
      </w:r>
    </w:p>
    <w:p w:rsidR="003B07C8" w:rsidRDefault="00000000">
      <w:pPr>
        <w:spacing w:before="60" w:after="80"/>
      </w:pPr>
      <w:r>
        <w:rPr>
          <w:color w:val="1A1A1A"/>
        </w:rPr>
        <w:t xml:space="preserve">Loans to customers (net) rose 1.7% over the half-year to UZS 104.3 trillion at 30 June 2025, from UZS 102.6 trillion at 31 December 2024, reflecting a more measured pace of credit extension amid elevated provisioning levels; net loans remained the Bank’s largest asset class at roughly two-thirds of interest-earning assets.</w:t>
      </w:r>
    </w:p>
    <w:p w:rsidR="003B07C8" w:rsidRDefault="00000000">
      <w:pPr>
        <w:spacing w:before="60" w:after="80"/>
      </w:pPr>
      <w:r>
        <w:rPr>
          <w:color w:val="1A1A1A"/>
        </w:rPr>
        <w:t xml:space="preserve">Liquidity was built up materially over the half-year: cash and cash equivalents increased 51.1% to UZS 27.8 trillion (from UZS 18.4 trillion at 31 December 2024) and amounts due from credit institutions rose 3.4% to UZS 3.7 trillion, reflecting deployment into higher-yielding short-term and interbank assets consistent with the Bank’s active treasury management.</w:t>
      </w:r>
    </w:p>
    <w:p w:rsidR="003B07C8" w:rsidRDefault="00000000">
      <w:pPr>
        <w:spacing w:before="60" w:after="80"/>
      </w:pPr>
      <w:r>
        <w:rPr>
          <w:color w:val="1A1A1A"/>
        </w:rPr>
        <w:t xml:space="preserve">The investment-securities portfolio was reduced by 48.2% over the half-year to UZS 3.9 trillion (from UZS 7.4 trillion at 31 December 2024), as maturing government bonds and notes were redeployed into cash and interbank placements.</w:t>
      </w:r>
    </w:p>
    <w:p w:rsidR="003B07C8" w:rsidRDefault="00000000">
      <w:pPr>
        <w:spacing w:before="60" w:after="80"/>
      </w:pPr>
      <w:r>
        <w:rPr>
          <w:color w:val="1A1A1A"/>
        </w:rPr>
        <w:t xml:space="preserve">On asset quality, NBU’s regulatory NPL ratio of approximately 2.8% (CBU, NBU-specific) sits below the banking-sector average of 4.1% (December 2025), consistent with the Bank’s position as the state-owned flagship institution. On an IFRS basis, Stage 3 (credit-impaired) loans were approximately 4.2% of gross loans at 30 June 2025, while the loan-loss provision coverage ratio (total provisions to gross loans) was approximately 5.6% on a statutory basis and is not an NPL ratio; the IMF has noted that IFRS Stage 3 ratios in Uzbekistan typically run at roughly twice the regulatory NPL ratio. NBU’s capitalisation is solid: total equity was UZS 21.1 trillion at 30 June 2025, equivalent to a capital-to-assets ratio of approximately 14.5%, and Fitch has estimated the Bank’s Fitch Core Capital ratio above 20% for 2024-2025. NBU’s estimated bank-level regulatory CAR (~18.2%) and Tier 1 ratio (~16.9%) at 30 June 2025 are set out in Section 2.4.</w:t>
      </w:r>
    </w:p>
    <w:p w:rsidR="003B07C8" w:rsidRDefault="00000000">
      <w:pPr>
        <w:spacing w:before="60" w:after="80"/>
      </w:pPr>
      <w:r>
        <w:rPr>
          <w:color w:val="1A1A1A"/>
        </w:rPr>
        <w:t xml:space="preserve">A notable feature of the period is that asset growth outpaced earnings growth, so profitability per unit of assets declined: net profit rose only 9.1% year on year (to UZS 1,653.1 billion in 1H 2025) while the balance sheet expanded more quickly, taking the return on assets from approximately 1.4% in 2023 and 1.3% in 2024 to approximately 1.1% on a six-month basis in 1H 2025. This largely reflects the composition of the growth: the expansion was concentrated in low-yielding liquid assets — cash and cash equivalents rose 51.1% while net loans grew only 1.7% — so the asset base grew without a commensurate rise in interest income, and the net interest margin was squeezed as interest expense increased 17.5% year on year against a 12.9% rise in interest income amid rapid, higher-cost deposit growth, holding net interest income growth to 8.4%.</w:t>
      </w:r>
    </w:p>
    <w:p w:rsidR="003B07C8" w:rsidRDefault="00000000">
      <w:pPr>
        <w:spacing w:before="60" w:after="80"/>
      </w:pPr>
      <w:r>
        <w:rPr>
          <w:color w:val="1A1A1A"/>
        </w:rPr>
        <w:t xml:space="preserve">Higher operating expenses (+15.7%), provisioning (+11.3%) and a 22.1% increase in income tax then absorbed much of the pre-tax gain (profit before tax rose 11.9%). The pattern is also structural: as the state flagship, NBU carries a large book of lower-margin, state-directed project finance to government-related entities, which keeps its return on assets below the ~2.2% sector average and makes balance-sheet growth inherently volume-driven and dilutive to returns; part of the 1H 2025 profit was, moreover, carried by more volatile foreign-exchange gains (+46.3%) and fee income (+24.7%) rather than core lending spread income.</w:t>
      </w:r>
    </w:p>
    <w:p w14:paraId="30C145BD" w14:textId="77777777" w:rsidR="0059742E" w:rsidRDefault="00C764C0">
      <w:pPr>
        <w:spacing w:before="160" w:after="60"/>
      </w:pPr>
      <w:r>
        <w:rPr>
          <w:b/>
          <w:bCs/>
          <w:color w:val="2E6DA4"/>
        </w:rPr>
        <w:t>Liability Analysis</w:t>
      </w:r>
    </w:p>
    <w:p w:rsidR="003B07C8" w:rsidRDefault="00000000">
      <w:pPr>
        <w:spacing w:before="60" w:after="80"/>
      </w:pPr>
      <w:r>
        <w:rPr>
          <w:color w:val="1A1A1A"/>
        </w:rPr>
        <w:t xml:space="preserve">Total customer deposits (amounts due to customers) increased 22.5% over the half-year to UZS 47.3 trillion at 30 June 2025, from UZS 38.6 trillion at 31 December 2024, demonstrating robust franchise strength and a continued, strategic deepening of the retail and corporate funding base as a lower-cost alternative to foreign wholesale borrowings.</w:t>
      </w:r>
    </w:p>
    <w:p w:rsidR="003B07C8" w:rsidRDefault="00000000">
      <w:pPr>
        <w:spacing w:before="60" w:after="80"/>
      </w:pPr>
      <w:r>
        <w:rPr>
          <w:color w:val="1A1A1A"/>
        </w:rPr>
        <w:t xml:space="preserve">Conversely, wholesale funding was trimmed over the half-year: other borrowed funds (largely foreign-lender facilities) declined 5.6% to UZS 54.1 trillion and debt securities issued fell 5.6% to UZS 8.8 trillion, while amounts due to credit institutions rose 33.9% to UZS 11.0 trillion. The shift toward domestic deposits reduced reliance on foreign borrowings.</w:t>
      </w:r>
    </w:p>
    <w:p w:rsidR="003B07C8" w:rsidRDefault="00000000">
      <w:pPr>
        <w:spacing w:before="60" w:after="80"/>
      </w:pPr>
      <w:r>
        <w:rPr>
          <w:color w:val="1A1A1A"/>
        </w:rPr>
        <w:t xml:space="preserve">The Bank maintained a strong capital base, with total equity rising 5.2% over the half-year to UZS 21.1 trillion at 30 June 2025 (from UZS 20.0 trillion at 31 December 2024), supported by retained earnings; share capital stood at UZS 16.7 trillion, reflecting prior government capital injections.</w:t>
      </w:r>
    </w:p>
    <w:p w14:paraId="06B1657A" w14:textId="77777777" w:rsidR="0059742E" w:rsidRDefault="00C764C0">
      <w:pPr>
        <w:spacing w:before="160" w:after="60"/>
      </w:pPr>
      <w:r>
        <w:rPr>
          <w:b/>
          <w:bCs/>
          <w:color w:val="2E6DA4"/>
        </w:rPr>
        <w:t>Income Analysis</w:t>
      </w:r>
    </w:p>
    <w:p w:rsidR="003B07C8" w:rsidRDefault="00000000">
      <w:pPr>
        <w:spacing w:before="60" w:after="80"/>
      </w:pPr>
      <w:r>
        <w:rPr>
          <w:color w:val="1A1A1A"/>
        </w:rPr>
        <w:t xml:space="preserve">Net profit for the six months ended 30 June 2025 was UZS 1,653.1 billion (~USD 136 million), up 9.1% year on year from UZS 1,514.7 billion in the first half of 2024; on an annualised basis (six-month result × 2) this is equivalent to approximately UZS 3,306 billion (~USD 272 million), driven by higher net interest income and strong growth in fee and foreign-exchange income, partly offset by higher operating and provisioning costs.</w:t>
      </w:r>
    </w:p>
    <w:p w:rsidR="003B07C8" w:rsidRDefault="00000000">
      <w:pPr>
        <w:spacing w:before="60" w:after="80"/>
      </w:pPr>
      <w:r>
        <w:rPr>
          <w:color w:val="1A1A1A"/>
        </w:rPr>
        <w:t xml:space="preserve">Net interest income increased 8.4% year on year to UZS 3,258.8 billion for the six months (annualised, approximately UZS 6,517.7 billion), as a 12.9% rise in interest income outpaced a 17.5% increase in interest expense from higher funding balances; the net interest margin was approximately 4.5%.</w:t>
      </w:r>
    </w:p>
    <w:p w:rsidR="003B07C8" w:rsidRDefault="00000000">
      <w:pPr>
        <w:spacing w:before="60" w:after="80"/>
      </w:pPr>
      <w:r>
        <w:rPr>
          <w:color w:val="1A1A1A"/>
        </w:rPr>
        <w:t xml:space="preserve">Non-interest income grew strongly: fee and commission income rose 24.7% year on year to UZS 559.3 billion and net foreign-exchange gains increased 46.3% to UZS 888.3 billion in the first half of 2025, reflecting higher transaction volumes and trade-related activity.</w:t>
      </w:r>
    </w:p>
    <w:p w:rsidR="003B07C8" w:rsidRDefault="00000000">
      <w:pPr>
        <w:spacing w:before="60" w:after="80"/>
      </w:pPr>
      <w:r>
        <w:rPr>
          <w:color w:val="1A1A1A"/>
        </w:rPr>
        <w:t xml:space="preserve">Personnel and other operating expenses rose 15.7% year on year to UZS 1,362.8 billion, driven by higher staff costs and continued IT and infrastructure investment; the cost-to-income ratio nonetheless remained low at approximately 29%. The credit-loss expense increased 11.3% to UZS 668.0 billion and profit before tax rose 11.9% to UZS 2,163.7 billion.</w:t>
      </w:r>
    </w:p>
    <w:p w:rsidR="003B07C8" w:rsidRDefault="00000000">
      <w:pPr>
        <w:spacing w:before="60" w:after="80"/>
      </w:pPr>
      <w:r>
        <w:rPr>
          <w:color w:val="1A1A1A"/>
        </w:rPr>
        <w:t xml:space="preserve">Profitability was solid. On a six-month (non-annualised) basis the return on assets was approximately 1.1%, consistent with the 2025 1H figure in Section 2.4; annualised (six-month result × 2), this equates to a return on assets of approximately 2.3% and a return on equity of approximately 15.7%, consistent with the annualised peer comparison in Section 2.5. The annualised returns reflect the strong first-half run-rate and are presented for full-year-equivalent comparability.</w:t>
      </w:r>
    </w:p>
    <w:p w14:paraId="31D5F83A" w14:textId="77777777" w:rsidR="0059742E" w:rsidRDefault="00C764C0">
      <w:pPr>
        <w:pBdr>
          <w:bottom w:val="single" w:sz="4" w:space="2" w:color="2E6DA4"/>
        </w:pBdr>
        <w:spacing w:before="200" w:after="80"/>
      </w:pPr>
      <w:r>
        <w:rPr>
          <w:b/>
          <w:bCs/>
          <w:color w:val="2E6DA4"/>
          <w:sz w:val="22"/>
          <w:szCs w:val="22"/>
        </w:rPr>
        <w:t>2.3 Financial Performance in 2024</w:t>
      </w:r>
    </w:p>
    <w:p w14:paraId="78A09DA9"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44CD5F5F" w14:textId="77777777" w:rsidR="003B07C8" w:rsidRDefault="00000000">
      <w:pPr>
        <w:pBdr>
          <w:bottom w:val="single" w:sz="4" w:space="2" w:color="2E6DA4"/>
        </w:pBdr>
        <w:spacing w:before="200" w:after="80"/>
      </w:pPr>
      <w:r>
        <w:rPr>
          <w:b/>
          <w:bCs/>
          <w:color w:val="2E6DA4"/>
          <w:sz w:val="22"/>
          <w:szCs w:val="22"/>
        </w:rPr>
        <w:lastRenderedPageBreak/>
        <w:t>2.4 KPIs Summary, Asset Quality and Regulatory Capital</w:t>
      </w:r>
    </w:p>
    <w:p w14:paraId="15D08679"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7EE092CA" w14:textId="77777777">
        <w:tc>
          <w:tcPr>
            <w:tcW w:w="4080" w:type="dxa"/>
            <w:shd w:val="clear" w:color="auto" w:fill="2E4057"/>
            <w:tcMar>
              <w:top w:w="40" w:type="dxa"/>
              <w:left w:w="100" w:type="dxa"/>
              <w:bottom w:w="40" w:type="dxa"/>
              <w:right w:w="100" w:type="dxa"/>
            </w:tcMar>
            <w:vAlign w:val="center"/>
          </w:tcPr>
          <w:p w14:paraId="7BC383F4"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6AA2A18"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191D9757"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1F43960F" w14:textId="77777777" w:rsidR="003B07C8" w:rsidRDefault="00000000">
            <w:pPr>
              <w:spacing w:before="20" w:after="20"/>
              <w:jc w:val="right"/>
            </w:pPr>
            <w:r>
              <w:rPr>
                <w:b/>
                <w:bCs/>
                <w:color w:val="FFFFFF"/>
                <w:sz w:val="18"/>
                <w:szCs w:val="18"/>
              </w:rPr>
              <w:t>2025 1H</w:t>
            </w:r>
          </w:p>
        </w:tc>
      </w:tr>
      <w:tr w:rsidR="003B07C8" w14:paraId="3D9226B0" w14:textId="77777777">
        <w:tc>
          <w:tcPr>
            <w:tcW w:w="10080" w:type="dxa"/>
            <w:gridSpan w:val="4"/>
            <w:shd w:val="clear" w:color="auto" w:fill="EDF2F7"/>
            <w:tcMar>
              <w:top w:w="40" w:type="dxa"/>
              <w:left w:w="100" w:type="dxa"/>
              <w:bottom w:w="40" w:type="dxa"/>
              <w:right w:w="100" w:type="dxa"/>
            </w:tcMar>
            <w:vAlign w:val="center"/>
          </w:tcPr>
          <w:p w14:paraId="086C4B51" w14:textId="77777777" w:rsidR="003B07C8" w:rsidRDefault="00000000">
            <w:pPr>
              <w:spacing w:before="20" w:after="20"/>
            </w:pPr>
            <w:r>
              <w:rPr>
                <w:b/>
                <w:bCs/>
                <w:color w:val="1A3A5C"/>
                <w:sz w:val="18"/>
                <w:szCs w:val="18"/>
              </w:rPr>
              <w:t>Profitability</w:t>
            </w:r>
          </w:p>
        </w:tc>
      </w:tr>
      <w:tr w:rsidR="003B07C8" w14:paraId="092C6AFB" w14:textId="77777777">
        <w:tc>
          <w:tcPr>
            <w:tcW w:w="4080" w:type="dxa"/>
            <w:shd w:val="clear" w:color="auto" w:fill="FFFFFF"/>
            <w:tcMar>
              <w:top w:w="40" w:type="dxa"/>
              <w:left w:w="100" w:type="dxa"/>
              <w:bottom w:w="40" w:type="dxa"/>
              <w:right w:w="100" w:type="dxa"/>
            </w:tcMar>
            <w:vAlign w:val="center"/>
          </w:tcPr>
          <w:p w14:paraId="2AE2F39F"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5FA8F1C0"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F4F4E87"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08493F1" w14:textId="77777777" w:rsidR="003B07C8" w:rsidRDefault="00000000">
            <w:pPr>
              <w:spacing w:before="20" w:after="20"/>
              <w:jc w:val="right"/>
            </w:pPr>
            <w:r>
              <w:rPr>
                <w:b/>
                <w:bCs/>
                <w:color w:val="1A1A1A"/>
                <w:sz w:val="18"/>
                <w:szCs w:val="18"/>
              </w:rPr>
              <w:t>1,653.1</w:t>
            </w:r>
          </w:p>
        </w:tc>
      </w:tr>
      <w:tr w:rsidR="003B07C8" w14:paraId="7FD4AFDC" w14:textId="77777777">
        <w:tc>
          <w:tcPr>
            <w:tcW w:w="4080" w:type="dxa"/>
            <w:shd w:val="clear" w:color="auto" w:fill="FFFFFF"/>
            <w:tcMar>
              <w:top w:w="40" w:type="dxa"/>
              <w:left w:w="100" w:type="dxa"/>
              <w:bottom w:w="40" w:type="dxa"/>
              <w:right w:w="100" w:type="dxa"/>
            </w:tcMar>
            <w:vAlign w:val="center"/>
          </w:tcPr>
          <w:p w14:paraId="0810DE47"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0A2BFB06"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5449D59E"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2F94F055" w14:textId="77777777" w:rsidR="003B07C8" w:rsidRDefault="00000000">
            <w:pPr>
              <w:spacing w:before="20" w:after="20"/>
              <w:jc w:val="right"/>
            </w:pPr>
            <w:r>
              <w:rPr>
                <w:b/>
                <w:bCs/>
                <w:color w:val="1A1A1A"/>
                <w:sz w:val="18"/>
                <w:szCs w:val="18"/>
              </w:rPr>
              <w:t>~136</w:t>
            </w:r>
          </w:p>
        </w:tc>
      </w:tr>
      <w:tr w:rsidR="003B07C8" w14:paraId="01CDA717" w14:textId="77777777">
        <w:tc>
          <w:tcPr>
            <w:tcW w:w="4080" w:type="dxa"/>
            <w:shd w:val="clear" w:color="auto" w:fill="FFFFFF"/>
            <w:tcMar>
              <w:top w:w="40" w:type="dxa"/>
              <w:left w:w="100" w:type="dxa"/>
              <w:bottom w:w="40" w:type="dxa"/>
              <w:right w:w="100" w:type="dxa"/>
            </w:tcMar>
            <w:vAlign w:val="center"/>
          </w:tcPr>
          <w:p w14:paraId="1D6B99F6"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43FE42C4"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0C542F39"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14A46544" w14:textId="77777777" w:rsidR="003B07C8" w:rsidRDefault="00000000">
            <w:pPr>
              <w:spacing w:before="20" w:after="20"/>
              <w:jc w:val="right"/>
            </w:pPr>
            <w:r>
              <w:rPr>
                <w:b/>
                <w:bCs/>
                <w:color w:val="1A1A1A"/>
                <w:sz w:val="18"/>
                <w:szCs w:val="18"/>
              </w:rPr>
              <w:t>3,258.8</w:t>
            </w:r>
          </w:p>
        </w:tc>
      </w:tr>
      <w:tr w:rsidR="003B07C8" w14:paraId="6B6A4BA9" w14:textId="77777777">
        <w:tc>
          <w:tcPr>
            <w:tcW w:w="4080" w:type="dxa"/>
            <w:shd w:val="clear" w:color="auto" w:fill="FFFFFF"/>
            <w:tcMar>
              <w:top w:w="40" w:type="dxa"/>
              <w:left w:w="100" w:type="dxa"/>
              <w:bottom w:w="40" w:type="dxa"/>
              <w:right w:w="100" w:type="dxa"/>
            </w:tcMar>
            <w:vAlign w:val="center"/>
          </w:tcPr>
          <w:p w14:paraId="498FD879"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2E707FDD"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CE60CF7"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108C24BE" w14:textId="77777777" w:rsidR="003B07C8" w:rsidRDefault="00000000">
            <w:pPr>
              <w:spacing w:before="20" w:after="20"/>
              <w:jc w:val="right"/>
            </w:pPr>
            <w:r>
              <w:rPr>
                <w:b/>
                <w:bCs/>
                <w:color w:val="1A1A1A"/>
                <w:sz w:val="18"/>
                <w:szCs w:val="18"/>
              </w:rPr>
              <w:t>~29%</w:t>
            </w:r>
          </w:p>
        </w:tc>
      </w:tr>
      <w:tr w:rsidR="003B07C8" w14:paraId="53EEAC82" w14:textId="77777777">
        <w:tc>
          <w:tcPr>
            <w:tcW w:w="4080" w:type="dxa"/>
            <w:shd w:val="clear" w:color="auto" w:fill="FFFFFF"/>
            <w:tcMar>
              <w:top w:w="40" w:type="dxa"/>
              <w:left w:w="100" w:type="dxa"/>
              <w:bottom w:w="40" w:type="dxa"/>
              <w:right w:w="100" w:type="dxa"/>
            </w:tcMar>
            <w:vAlign w:val="center"/>
          </w:tcPr>
          <w:p w14:paraId="67E58CE6"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6C5B5328"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06920C30"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2BEA3B38" w14:textId="77777777" w:rsidR="003B07C8" w:rsidRDefault="00000000">
            <w:pPr>
              <w:spacing w:before="20" w:after="20"/>
              <w:jc w:val="right"/>
            </w:pPr>
            <w:r>
              <w:rPr>
                <w:b/>
                <w:bCs/>
                <w:color w:val="1A1A1A"/>
                <w:sz w:val="18"/>
                <w:szCs w:val="18"/>
              </w:rPr>
              <w:t>~1.1%</w:t>
            </w:r>
          </w:p>
        </w:tc>
      </w:tr>
      <w:tr w:rsidR="003B07C8" w14:paraId="71DA735B" w14:textId="77777777">
        <w:tc>
          <w:tcPr>
            <w:tcW w:w="4080" w:type="dxa"/>
            <w:shd w:val="clear" w:color="auto" w:fill="FFFFFF"/>
            <w:tcMar>
              <w:top w:w="40" w:type="dxa"/>
              <w:left w:w="100" w:type="dxa"/>
              <w:bottom w:w="40" w:type="dxa"/>
              <w:right w:w="100" w:type="dxa"/>
            </w:tcMar>
            <w:vAlign w:val="center"/>
          </w:tcPr>
          <w:p w14:paraId="065CD6EA"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32AD80C3"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453183B1"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179608C0" w14:textId="77777777" w:rsidR="003B07C8" w:rsidRDefault="00000000">
            <w:pPr>
              <w:spacing w:before="20" w:after="20"/>
              <w:jc w:val="right"/>
            </w:pPr>
            <w:r>
              <w:rPr>
                <w:b/>
                <w:bCs/>
                <w:color w:val="1A1A1A"/>
                <w:sz w:val="18"/>
                <w:szCs w:val="18"/>
              </w:rPr>
              <w:t>~9.6%†</w:t>
            </w:r>
          </w:p>
        </w:tc>
      </w:tr>
      <w:tr w:rsidR="003B07C8" w14:paraId="5EE8CEF4" w14:textId="77777777">
        <w:tc>
          <w:tcPr>
            <w:tcW w:w="10080" w:type="dxa"/>
            <w:gridSpan w:val="4"/>
            <w:shd w:val="clear" w:color="auto" w:fill="EDF2F7"/>
            <w:tcMar>
              <w:top w:w="40" w:type="dxa"/>
              <w:left w:w="100" w:type="dxa"/>
              <w:bottom w:w="40" w:type="dxa"/>
              <w:right w:w="100" w:type="dxa"/>
            </w:tcMar>
            <w:vAlign w:val="center"/>
          </w:tcPr>
          <w:p w14:paraId="64886072" w14:textId="77777777" w:rsidR="003B07C8" w:rsidRDefault="00000000">
            <w:pPr>
              <w:spacing w:before="20" w:after="20"/>
            </w:pPr>
            <w:r>
              <w:rPr>
                <w:b/>
                <w:bCs/>
                <w:color w:val="1A3A5C"/>
                <w:sz w:val="18"/>
                <w:szCs w:val="18"/>
              </w:rPr>
              <w:t>Scale</w:t>
            </w:r>
          </w:p>
        </w:tc>
      </w:tr>
      <w:tr w:rsidR="003B07C8" w14:paraId="70AC848D" w14:textId="77777777">
        <w:tc>
          <w:tcPr>
            <w:tcW w:w="4080" w:type="dxa"/>
            <w:shd w:val="clear" w:color="auto" w:fill="FFFFFF"/>
            <w:tcMar>
              <w:top w:w="40" w:type="dxa"/>
              <w:left w:w="100" w:type="dxa"/>
              <w:bottom w:w="40" w:type="dxa"/>
              <w:right w:w="100" w:type="dxa"/>
            </w:tcMar>
            <w:vAlign w:val="center"/>
          </w:tcPr>
          <w:p w14:paraId="245842CE"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69079C58"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6405CF0F"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4DE54C4A" w14:textId="77777777" w:rsidR="003B07C8" w:rsidRDefault="00000000">
            <w:pPr>
              <w:spacing w:before="20" w:after="20"/>
              <w:jc w:val="right"/>
            </w:pPr>
            <w:r>
              <w:rPr>
                <w:b/>
                <w:bCs/>
                <w:color w:val="1A1A1A"/>
                <w:sz w:val="18"/>
                <w:szCs w:val="18"/>
              </w:rPr>
              <w:t>145.4</w:t>
            </w:r>
          </w:p>
        </w:tc>
      </w:tr>
      <w:tr w:rsidR="003B07C8" w14:paraId="32F1EBAD" w14:textId="77777777">
        <w:tc>
          <w:tcPr>
            <w:tcW w:w="4080" w:type="dxa"/>
            <w:shd w:val="clear" w:color="auto" w:fill="FFFFFF"/>
            <w:tcMar>
              <w:top w:w="40" w:type="dxa"/>
              <w:left w:w="100" w:type="dxa"/>
              <w:bottom w:w="40" w:type="dxa"/>
              <w:right w:w="100" w:type="dxa"/>
            </w:tcMar>
            <w:vAlign w:val="center"/>
          </w:tcPr>
          <w:p w14:paraId="256614FA"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583F891F"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187C3CFC"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713C5767" w14:textId="77777777" w:rsidR="003B07C8" w:rsidRDefault="00000000">
            <w:pPr>
              <w:spacing w:before="20" w:after="20"/>
              <w:jc w:val="right"/>
            </w:pPr>
            <w:r>
              <w:rPr>
                <w:b/>
                <w:bCs/>
                <w:color w:val="1A1A1A"/>
                <w:sz w:val="18"/>
                <w:szCs w:val="18"/>
              </w:rPr>
              <w:t>104.3</w:t>
            </w:r>
          </w:p>
        </w:tc>
      </w:tr>
      <w:tr w:rsidR="003B07C8" w14:paraId="1E964C96" w14:textId="77777777">
        <w:tc>
          <w:tcPr>
            <w:tcW w:w="4080" w:type="dxa"/>
            <w:shd w:val="clear" w:color="auto" w:fill="FFFFFF"/>
            <w:tcMar>
              <w:top w:w="40" w:type="dxa"/>
              <w:left w:w="100" w:type="dxa"/>
              <w:bottom w:w="40" w:type="dxa"/>
              <w:right w:w="100" w:type="dxa"/>
            </w:tcMar>
            <w:vAlign w:val="center"/>
          </w:tcPr>
          <w:p w14:paraId="05EB1D00"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27C4319D"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2CB018B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7AB22083" w14:textId="77777777" w:rsidR="003B07C8" w:rsidRDefault="00000000">
            <w:pPr>
              <w:spacing w:before="20" w:after="20"/>
              <w:jc w:val="right"/>
            </w:pPr>
            <w:r>
              <w:rPr>
                <w:b/>
                <w:bCs/>
                <w:color w:val="1A1A1A"/>
                <w:sz w:val="18"/>
                <w:szCs w:val="18"/>
              </w:rPr>
              <w:t>47.3</w:t>
            </w:r>
          </w:p>
        </w:tc>
      </w:tr>
      <w:tr w:rsidR="003B07C8" w14:paraId="5D748463" w14:textId="77777777">
        <w:tc>
          <w:tcPr>
            <w:tcW w:w="10080" w:type="dxa"/>
            <w:gridSpan w:val="4"/>
            <w:shd w:val="clear" w:color="auto" w:fill="EDF2F7"/>
            <w:tcMar>
              <w:top w:w="40" w:type="dxa"/>
              <w:left w:w="100" w:type="dxa"/>
              <w:bottom w:w="40" w:type="dxa"/>
              <w:right w:w="100" w:type="dxa"/>
            </w:tcMar>
            <w:vAlign w:val="center"/>
          </w:tcPr>
          <w:p w14:paraId="0704C7E0" w14:textId="77777777" w:rsidR="003B07C8" w:rsidRDefault="00000000">
            <w:pPr>
              <w:spacing w:before="20" w:after="20"/>
            </w:pPr>
            <w:r>
              <w:rPr>
                <w:b/>
                <w:bCs/>
                <w:color w:val="1A3A5C"/>
                <w:sz w:val="18"/>
                <w:szCs w:val="18"/>
              </w:rPr>
              <w:t>Capital &amp; Asset Quality</w:t>
            </w:r>
          </w:p>
        </w:tc>
      </w:tr>
      <w:tr w:rsidR="003B07C8" w14:paraId="56FA1D02" w14:textId="77777777">
        <w:tc>
          <w:tcPr>
            <w:tcW w:w="4080" w:type="dxa"/>
            <w:shd w:val="clear" w:color="auto" w:fill="FFFFFF"/>
            <w:tcMar>
              <w:top w:w="40" w:type="dxa"/>
              <w:left w:w="100" w:type="dxa"/>
              <w:bottom w:w="40" w:type="dxa"/>
              <w:right w:w="100" w:type="dxa"/>
            </w:tcMar>
            <w:vAlign w:val="center"/>
          </w:tcPr>
          <w:p w14:paraId="5A07A3A7"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721E27C4"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9E86BD7"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347DBE4B" w14:textId="77777777" w:rsidR="003B07C8" w:rsidRDefault="00000000">
            <w:pPr>
              <w:spacing w:before="20" w:after="20"/>
              <w:jc w:val="right"/>
            </w:pPr>
            <w:r>
              <w:rPr>
                <w:b/>
                <w:bCs/>
                <w:color w:val="1A1A1A"/>
                <w:sz w:val="18"/>
                <w:szCs w:val="18"/>
              </w:rPr>
              <w:t>21.1</w:t>
            </w:r>
          </w:p>
        </w:tc>
      </w:tr>
      <w:tr w:rsidR="003B07C8" w14:paraId="22D5A76A" w14:textId="77777777">
        <w:tc>
          <w:tcPr>
            <w:tcW w:w="4080" w:type="dxa"/>
            <w:shd w:val="clear" w:color="auto" w:fill="FFFFFF"/>
            <w:tcMar>
              <w:top w:w="40" w:type="dxa"/>
              <w:left w:w="100" w:type="dxa"/>
              <w:bottom w:w="40" w:type="dxa"/>
              <w:right w:w="100" w:type="dxa"/>
            </w:tcMar>
            <w:vAlign w:val="center"/>
          </w:tcPr>
          <w:p w14:paraId="5437C6CB"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7AD23741"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6D9EACD3"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7B59105D" w14:textId="77777777" w:rsidR="003B07C8" w:rsidRDefault="00000000">
            <w:pPr>
              <w:spacing w:before="20" w:after="20"/>
              <w:jc w:val="right"/>
            </w:pPr>
            <w:r>
              <w:rPr>
                <w:b/>
                <w:bCs/>
                <w:color w:val="1A1A1A"/>
                <w:sz w:val="18"/>
                <w:szCs w:val="18"/>
              </w:rPr>
              <w:t>16.7</w:t>
            </w:r>
          </w:p>
        </w:tc>
      </w:tr>
      <w:tr w:rsidR="003B07C8" w14:paraId="715A7010" w14:textId="77777777">
        <w:tc>
          <w:tcPr>
            <w:tcW w:w="4080" w:type="dxa"/>
            <w:shd w:val="clear" w:color="auto" w:fill="FFFFFF"/>
            <w:tcMar>
              <w:top w:w="40" w:type="dxa"/>
              <w:left w:w="100" w:type="dxa"/>
              <w:bottom w:w="40" w:type="dxa"/>
              <w:right w:w="100" w:type="dxa"/>
            </w:tcMar>
            <w:vAlign w:val="center"/>
          </w:tcPr>
          <w:p w14:paraId="79844913"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62F44740" w14:textId="77777777" w:rsidR="003B07C8" w:rsidRDefault="00000000">
            <w:pPr>
              <w:spacing w:before="20" w:after="20"/>
              <w:jc w:val="right"/>
            </w:pPr>
            <w:r>
              <w:rPr>
                <w:color w:val="1A1A1A"/>
                <w:sz w:val="18"/>
                <w:szCs w:val="18"/>
              </w:rPr>
              <w:t>~18.0%</w:t>
            </w:r>
          </w:p>
        </w:tc>
        <w:tc>
          <w:tcPr>
            <w:tcW w:w="2000" w:type="dxa"/>
            <w:shd w:val="clear" w:color="auto" w:fill="FFFFFF"/>
            <w:tcMar>
              <w:top w:w="40" w:type="dxa"/>
              <w:left w:w="100" w:type="dxa"/>
              <w:bottom w:w="40" w:type="dxa"/>
              <w:right w:w="100" w:type="dxa"/>
            </w:tcMar>
            <w:vAlign w:val="center"/>
          </w:tcPr>
          <w:p w14:paraId="505E4B13" w14:textId="77777777" w:rsidR="003B07C8" w:rsidRDefault="00000000">
            <w:pPr>
              <w:spacing w:before="20" w:after="20"/>
              <w:jc w:val="right"/>
            </w:pPr>
            <w:r>
              <w:rPr>
                <w:color w:val="1A1A1A"/>
                <w:sz w:val="18"/>
                <w:szCs w:val="18"/>
              </w:rPr>
              <w:t>~17.5%</w:t>
            </w:r>
          </w:p>
        </w:tc>
        <w:tc>
          <w:tcPr>
            <w:tcW w:w="2000" w:type="dxa"/>
            <w:shd w:val="clear" w:color="auto" w:fill="FFFFFF"/>
            <w:tcMar>
              <w:top w:w="40" w:type="dxa"/>
              <w:left w:w="100" w:type="dxa"/>
              <w:bottom w:w="40" w:type="dxa"/>
              <w:right w:w="100" w:type="dxa"/>
            </w:tcMar>
            <w:vAlign w:val="center"/>
          </w:tcPr>
          <w:p w14:paraId="4C72F629" w14:textId="77777777" w:rsidR="003B07C8" w:rsidRDefault="00000000">
            <w:pPr>
              <w:spacing w:before="20" w:after="20"/>
              <w:jc w:val="right"/>
            </w:pPr>
            <w:r>
              <w:rPr>
                <w:b/>
                <w:bCs/>
                <w:color w:val="1A1A1A"/>
                <w:sz w:val="18"/>
                <w:szCs w:val="18"/>
              </w:rPr>
              <w:t>18.2%</w:t>
            </w:r>
          </w:p>
        </w:tc>
      </w:tr>
      <w:tr w:rsidR="003B07C8" w14:paraId="64F54CE9" w14:textId="77777777">
        <w:tc>
          <w:tcPr>
            <w:tcW w:w="4080" w:type="dxa"/>
            <w:shd w:val="clear" w:color="auto" w:fill="FFFFFF"/>
            <w:tcMar>
              <w:top w:w="40" w:type="dxa"/>
              <w:left w:w="100" w:type="dxa"/>
              <w:bottom w:w="40" w:type="dxa"/>
              <w:right w:w="100" w:type="dxa"/>
            </w:tcMar>
            <w:vAlign w:val="center"/>
          </w:tcPr>
          <w:p w14:paraId="358A089B"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0B78E047" w14:textId="77777777" w:rsidR="003B07C8" w:rsidRDefault="00000000">
            <w:pPr>
              <w:spacing w:before="20" w:after="20"/>
              <w:jc w:val="right"/>
            </w:pPr>
            <w:r>
              <w:rPr>
                <w:color w:val="1A1A1A"/>
                <w:sz w:val="18"/>
                <w:szCs w:val="18"/>
              </w:rPr>
              <w:t>~16.5%</w:t>
            </w:r>
          </w:p>
        </w:tc>
        <w:tc>
          <w:tcPr>
            <w:tcW w:w="2000" w:type="dxa"/>
            <w:shd w:val="clear" w:color="auto" w:fill="FFFFFF"/>
            <w:tcMar>
              <w:top w:w="40" w:type="dxa"/>
              <w:left w:w="100" w:type="dxa"/>
              <w:bottom w:w="40" w:type="dxa"/>
              <w:right w:w="100" w:type="dxa"/>
            </w:tcMar>
            <w:vAlign w:val="center"/>
          </w:tcPr>
          <w:p w14:paraId="3740BF96" w14:textId="77777777" w:rsidR="003B07C8" w:rsidRDefault="00000000">
            <w:pPr>
              <w:spacing w:before="20" w:after="20"/>
              <w:jc w:val="right"/>
            </w:pPr>
            <w:r>
              <w:rPr>
                <w:color w:val="1A1A1A"/>
                <w:sz w:val="18"/>
                <w:szCs w:val="18"/>
              </w:rPr>
              <w:t>~16.0%</w:t>
            </w:r>
          </w:p>
        </w:tc>
        <w:tc>
          <w:tcPr>
            <w:tcW w:w="2000" w:type="dxa"/>
            <w:shd w:val="clear" w:color="auto" w:fill="FFFFFF"/>
            <w:tcMar>
              <w:top w:w="40" w:type="dxa"/>
              <w:left w:w="100" w:type="dxa"/>
              <w:bottom w:w="40" w:type="dxa"/>
              <w:right w:w="100" w:type="dxa"/>
            </w:tcMar>
            <w:vAlign w:val="center"/>
          </w:tcPr>
          <w:p w14:paraId="4A02B562" w14:textId="77777777" w:rsidR="003B07C8" w:rsidRDefault="00000000">
            <w:pPr>
              <w:spacing w:before="20" w:after="20"/>
              <w:jc w:val="right"/>
            </w:pPr>
            <w:r>
              <w:rPr>
                <w:b/>
                <w:bCs/>
                <w:color w:val="1A1A1A"/>
                <w:sz w:val="18"/>
                <w:szCs w:val="18"/>
              </w:rPr>
              <w:t>16.9%</w:t>
            </w:r>
          </w:p>
        </w:tc>
      </w:tr>
      <w:tr w:rsidR="003B07C8" w14:paraId="16197B89" w14:textId="77777777">
        <w:tc>
          <w:tcPr>
            <w:tcW w:w="4080" w:type="dxa"/>
            <w:shd w:val="clear" w:color="auto" w:fill="FFFFFF"/>
            <w:tcMar>
              <w:top w:w="40" w:type="dxa"/>
              <w:left w:w="100" w:type="dxa"/>
              <w:bottom w:w="40" w:type="dxa"/>
              <w:right w:w="100" w:type="dxa"/>
            </w:tcMar>
            <w:vAlign w:val="center"/>
          </w:tcPr>
          <w:p w14:paraId="31947E75"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28C412FD" w14:textId="77777777" w:rsidR="003B07C8" w:rsidRDefault="00000000">
            <w:pPr>
              <w:spacing w:before="20" w:after="20"/>
              <w:jc w:val="right"/>
            </w:pPr>
            <w:r>
              <w:rPr>
                <w:color w:val="1A1A1A"/>
                <w:sz w:val="18"/>
                <w:szCs w:val="18"/>
              </w:rPr>
              <w:t>~3.8%</w:t>
            </w:r>
          </w:p>
        </w:tc>
        <w:tc>
          <w:tcPr>
            <w:tcW w:w="2000" w:type="dxa"/>
            <w:shd w:val="clear" w:color="auto" w:fill="FFFFFF"/>
            <w:tcMar>
              <w:top w:w="40" w:type="dxa"/>
              <w:left w:w="100" w:type="dxa"/>
              <w:bottom w:w="40" w:type="dxa"/>
              <w:right w:w="100" w:type="dxa"/>
            </w:tcMar>
            <w:vAlign w:val="center"/>
          </w:tcPr>
          <w:p w14:paraId="05194E81" w14:textId="77777777" w:rsidR="003B07C8" w:rsidRDefault="00000000">
            <w:pPr>
              <w:spacing w:before="20" w:after="20"/>
              <w:jc w:val="right"/>
            </w:pPr>
            <w:r>
              <w:rPr>
                <w:color w:val="1A1A1A"/>
                <w:sz w:val="18"/>
                <w:szCs w:val="18"/>
              </w:rPr>
              <w:t>~4.0%</w:t>
            </w:r>
          </w:p>
        </w:tc>
        <w:tc>
          <w:tcPr>
            <w:tcW w:w="2000" w:type="dxa"/>
            <w:shd w:val="clear" w:color="auto" w:fill="FFFFFF"/>
            <w:tcMar>
              <w:top w:w="40" w:type="dxa"/>
              <w:left w:w="100" w:type="dxa"/>
              <w:bottom w:w="40" w:type="dxa"/>
              <w:right w:w="100" w:type="dxa"/>
            </w:tcMar>
            <w:vAlign w:val="center"/>
          </w:tcPr>
          <w:p w14:paraId="36E54F21" w14:textId="77777777" w:rsidR="003B07C8" w:rsidRDefault="00000000">
            <w:pPr>
              <w:spacing w:before="20" w:after="20"/>
              <w:jc w:val="right"/>
            </w:pPr>
            <w:r>
              <w:rPr>
                <w:b/>
                <w:bCs/>
                <w:color w:val="1A1A1A"/>
                <w:sz w:val="18"/>
                <w:szCs w:val="18"/>
              </w:rPr>
              <w:t>2.8%</w:t>
            </w:r>
          </w:p>
        </w:tc>
      </w:tr>
      <w:tr w:rsidR="003B07C8" w14:paraId="229E8F64" w14:textId="77777777">
        <w:tc>
          <w:tcPr>
            <w:tcW w:w="4080" w:type="dxa"/>
            <w:shd w:val="clear" w:color="auto" w:fill="FFFFFF"/>
            <w:tcMar>
              <w:top w:w="40" w:type="dxa"/>
              <w:left w:w="100" w:type="dxa"/>
              <w:bottom w:w="40" w:type="dxa"/>
              <w:right w:w="100" w:type="dxa"/>
            </w:tcMar>
            <w:vAlign w:val="center"/>
          </w:tcPr>
          <w:p w14:paraId="6AA4E260"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528D7223" w14:textId="77777777" w:rsidR="003B07C8" w:rsidRDefault="00000000">
            <w:pPr>
              <w:spacing w:before="20" w:after="20"/>
              <w:jc w:val="right"/>
            </w:pPr>
            <w:r>
              <w:rPr>
                <w:color w:val="1A1A1A"/>
                <w:sz w:val="18"/>
                <w:szCs w:val="18"/>
              </w:rPr>
              <w:t>~4.4%</w:t>
            </w:r>
          </w:p>
        </w:tc>
        <w:tc>
          <w:tcPr>
            <w:tcW w:w="2000" w:type="dxa"/>
            <w:shd w:val="clear" w:color="auto" w:fill="FFFFFF"/>
            <w:tcMar>
              <w:top w:w="40" w:type="dxa"/>
              <w:left w:w="100" w:type="dxa"/>
              <w:bottom w:w="40" w:type="dxa"/>
              <w:right w:w="100" w:type="dxa"/>
            </w:tcMar>
            <w:vAlign w:val="center"/>
          </w:tcPr>
          <w:p w14:paraId="17608CD2" w14:textId="77777777" w:rsidR="003B07C8" w:rsidRDefault="00000000">
            <w:pPr>
              <w:spacing w:before="20" w:after="20"/>
              <w:jc w:val="right"/>
            </w:pPr>
            <w:r>
              <w:rPr>
                <w:color w:val="1A1A1A"/>
                <w:sz w:val="18"/>
                <w:szCs w:val="18"/>
              </w:rPr>
              <w:t>~4.3%</w:t>
            </w:r>
          </w:p>
        </w:tc>
        <w:tc>
          <w:tcPr>
            <w:tcW w:w="2000" w:type="dxa"/>
            <w:shd w:val="clear" w:color="auto" w:fill="FFFFFF"/>
            <w:tcMar>
              <w:top w:w="40" w:type="dxa"/>
              <w:left w:w="100" w:type="dxa"/>
              <w:bottom w:w="40" w:type="dxa"/>
              <w:right w:w="100" w:type="dxa"/>
            </w:tcMar>
            <w:vAlign w:val="center"/>
          </w:tcPr>
          <w:p w14:paraId="6E07218A" w14:textId="77777777" w:rsidR="003B07C8" w:rsidRDefault="00000000">
            <w:pPr>
              <w:spacing w:before="20" w:after="20"/>
              <w:jc w:val="right"/>
            </w:pPr>
            <w:r>
              <w:rPr>
                <w:b/>
                <w:bCs/>
                <w:color w:val="1A1A1A"/>
                <w:sz w:val="18"/>
                <w:szCs w:val="18"/>
              </w:rPr>
              <w:t>4.2%</w:t>
            </w:r>
          </w:p>
        </w:tc>
      </w:tr>
      <w:tr w:rsidR="003B07C8" w14:paraId="7F7F07EB" w14:textId="77777777">
        <w:tc>
          <w:tcPr>
            <w:tcW w:w="10080" w:type="dxa"/>
            <w:gridSpan w:val="4"/>
            <w:shd w:val="clear" w:color="auto" w:fill="EDF2F7"/>
            <w:tcMar>
              <w:top w:w="40" w:type="dxa"/>
              <w:left w:w="100" w:type="dxa"/>
              <w:bottom w:w="40" w:type="dxa"/>
              <w:right w:w="100" w:type="dxa"/>
            </w:tcMar>
            <w:vAlign w:val="center"/>
          </w:tcPr>
          <w:p w14:paraId="37EFA44E" w14:textId="77777777" w:rsidR="003B07C8" w:rsidRDefault="00000000">
            <w:pPr>
              <w:spacing w:before="20" w:after="20"/>
            </w:pPr>
            <w:r>
              <w:rPr>
                <w:b/>
                <w:bCs/>
                <w:color w:val="1A3A5C"/>
                <w:sz w:val="18"/>
                <w:szCs w:val="18"/>
              </w:rPr>
              <w:t>Ratings</w:t>
            </w:r>
          </w:p>
        </w:tc>
      </w:tr>
      <w:tr w:rsidR="003B07C8" w14:paraId="3472A1A8" w14:textId="77777777">
        <w:tc>
          <w:tcPr>
            <w:tcW w:w="4080" w:type="dxa"/>
            <w:shd w:val="clear" w:color="auto" w:fill="FFFFFF"/>
            <w:tcMar>
              <w:top w:w="40" w:type="dxa"/>
              <w:left w:w="100" w:type="dxa"/>
              <w:bottom w:w="40" w:type="dxa"/>
              <w:right w:w="100" w:type="dxa"/>
            </w:tcMar>
            <w:vAlign w:val="center"/>
          </w:tcPr>
          <w:p w14:paraId="475FBC6E"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3ECC9DC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4ACCCE2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2E0C99BD" w14:textId="77777777" w:rsidR="003B07C8" w:rsidRDefault="00000000">
            <w:pPr>
              <w:spacing w:before="20" w:after="20"/>
              <w:jc w:val="right"/>
            </w:pPr>
            <w:r>
              <w:rPr>
                <w:b/>
                <w:bCs/>
                <w:color w:val="1A1A1A"/>
                <w:sz w:val="18"/>
                <w:szCs w:val="18"/>
              </w:rPr>
              <w:t>Ba3/Stable</w:t>
            </w:r>
          </w:p>
        </w:tc>
      </w:tr>
      <w:tr w:rsidR="003B07C8" w14:paraId="04EE0545" w14:textId="77777777">
        <w:tc>
          <w:tcPr>
            <w:tcW w:w="4080" w:type="dxa"/>
            <w:shd w:val="clear" w:color="auto" w:fill="FFFFFF"/>
            <w:tcMar>
              <w:top w:w="40" w:type="dxa"/>
              <w:left w:w="100" w:type="dxa"/>
              <w:bottom w:w="40" w:type="dxa"/>
              <w:right w:w="100" w:type="dxa"/>
            </w:tcMar>
            <w:vAlign w:val="center"/>
          </w:tcPr>
          <w:p w14:paraId="2CB07423"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08642ED9"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665DCEE"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CD93C61" w14:textId="77777777" w:rsidR="003B07C8" w:rsidRDefault="00000000">
            <w:pPr>
              <w:spacing w:before="20" w:after="20"/>
              <w:jc w:val="right"/>
            </w:pPr>
            <w:r>
              <w:rPr>
                <w:b/>
                <w:bCs/>
                <w:color w:val="1A1A1A"/>
                <w:sz w:val="18"/>
                <w:szCs w:val="18"/>
              </w:rPr>
              <w:t>BB/Stable</w:t>
            </w:r>
          </w:p>
        </w:tc>
      </w:tr>
      <w:tr w:rsidR="003B07C8" w14:paraId="1D2264BB" w14:textId="77777777">
        <w:tc>
          <w:tcPr>
            <w:tcW w:w="4080" w:type="dxa"/>
            <w:shd w:val="clear" w:color="auto" w:fill="FFFFFF"/>
            <w:tcMar>
              <w:top w:w="40" w:type="dxa"/>
              <w:left w:w="100" w:type="dxa"/>
              <w:bottom w:w="40" w:type="dxa"/>
              <w:right w:w="100" w:type="dxa"/>
            </w:tcMar>
            <w:vAlign w:val="center"/>
          </w:tcPr>
          <w:p w14:paraId="3A4CEC1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340A7897"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10C0F5DA"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5A45A20" w14:textId="77777777" w:rsidR="003B07C8" w:rsidRDefault="00000000">
            <w:pPr>
              <w:spacing w:before="20" w:after="20"/>
              <w:jc w:val="right"/>
            </w:pPr>
            <w:r>
              <w:rPr>
                <w:b/>
                <w:bCs/>
                <w:color w:val="1A1A1A"/>
                <w:sz w:val="18"/>
                <w:szCs w:val="18"/>
              </w:rPr>
              <w:t>BB-/Stable</w:t>
            </w:r>
          </w:p>
        </w:tc>
      </w:tr>
    </w:tbl>
    <w:p w14:paraId="4B7F0B03"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The capital-adequacy and asset-quality ratios (Total CAR, Tier 1, regulatory NPL and IFRS Stage 3) are NBU-specific FID estimates. The 2025 1H figures are derived from NBU’s prudential returns and its reviewed 1H 2025 IFRS financial statements; the FY2023 and FY2024 figures (each marked “~”) are FID estimates, because the CBU does not separately publish NBU’s bank-level regulatory CAR and Tier 1 ratios for prior years. They are anchored to NBU’s capital-to-assets ratio (~14.0% in 2023-2024 and 14.5% at 1H 2025), NBU’s Fitch Core Capital ratio (~23% at end-2022, above 20% through 2023-2024 and ~19% at mid-2025) and Fitch’s NBU Tier 1 of ~17.8% at mid-2025, the Uzbekistan banking-sector aggregates (sector CAR ~17.9% in 2023 and ~17.1% in 2024; sector Tier 1 ~14.2%), and NBU’s regulatory NPL of ~4% at end-2024 with IFRS Stage 3 ~4.4% at mid-2023, improving to 2.8% regulatory / 4.2% Stage 3 at 1H 2025. n.a. denotes not separately available for the period. Data sources: Fitch Ratings reports on NBU (April 2024 and March 2026); Central Bank of Uzbekistan (Financial Stability Reports and 1 January 2026 publication); IMF Uzbekistan Financial Sector Assessment (2025); and NBU’s 2025 1H IFRS financial statements. The prior-year ratios should be confirmed against NBU’s audited FY2023 and FY2024 IFRS statements.</w:t>
      </w:r>
    </w:p>
    <w:p w14:paraId="63D64AF4" w14:textId="77777777" w:rsidR="003B07C8" w:rsidRDefault="00000000">
      <w:pPr>
        <w:spacing w:before="120" w:after="20"/>
      </w:pPr>
      <w:r>
        <w:rPr>
          <w:b/>
          <w:bCs/>
          <w:color w:val="1A3A5C"/>
        </w:rPr>
        <w:t>Extended KPI chart — NBU vs peers (key ratios)</w:t>
      </w:r>
    </w:p>
    <w:p w14:paraId="2F065CD1" w14:textId="77777777" w:rsidR="003B07C8" w:rsidRDefault="00000000">
      <w:pPr>
        <w:spacing w:before="40" w:after="40"/>
        <w:jc w:val="center"/>
      </w:pPr>
      <w:r>
        <w:rPr>
          <w:noProof/>
        </w:rPr>
        <w:lastRenderedPageBreak/>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2223802A"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46F8949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496A1E35" w14:textId="77777777" w:rsidR="003B07C8" w:rsidRDefault="00000000">
      <w:pPr>
        <w:pBdr>
          <w:bottom w:val="single" w:sz="4" w:space="2" w:color="2E6DA4"/>
        </w:pBdr>
        <w:spacing w:before="200" w:after="80"/>
      </w:pPr>
      <w:r>
        <w:rPr>
          <w:b/>
          <w:bCs/>
          <w:color w:val="2E6DA4"/>
          <w:sz w:val="22"/>
          <w:szCs w:val="22"/>
        </w:rPr>
        <w:t>2.5 Peer Comparison</w:t>
      </w:r>
    </w:p>
    <w:p w14:paraId="0715A290" w14:textId="77777777"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rsidR="00CF198A" w14:paraId="2C87CE22" w14:textId="77777777">
        <w:tc>
          <w:tcPr>
            <w:tcW w:w="2880" w:type="dxa"/>
            <w:shd w:val="clear" w:color="auto" w:fill="2E4057"/>
            <w:tcMar>
              <w:top w:w="40" w:type="dxa"/>
              <w:left w:w="100" w:type="dxa"/>
              <w:bottom w:w="40" w:type="dxa"/>
              <w:right w:w="100" w:type="dxa"/>
            </w:tcMar>
            <w:vAlign w:val="center"/>
          </w:tcPr>
          <w:p w14:paraId="640A107A" w14:textId="77777777" w:rsidR="00CF198A" w:rsidRDefault="00000000">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14:paraId="712711ED" w14:textId="77777777" w:rsidR="00CF198A" w:rsidRDefault="00000000">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14:paraId="02E7A9BC" w14:textId="77777777" w:rsidR="00CF198A" w:rsidRDefault="00000000">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14:paraId="0C6755DC" w14:textId="77777777" w:rsidR="00CF198A" w:rsidRDefault="00000000">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14:paraId="7355941D" w14:textId="77777777" w:rsidR="00CF198A" w:rsidRDefault="00000000">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14:paraId="35202067" w14:textId="77777777" w:rsidR="00CF198A" w:rsidRDefault="00000000">
            <w:pPr>
              <w:spacing w:before="20" w:after="20"/>
              <w:jc w:val="right"/>
            </w:pPr>
            <w:r>
              <w:rPr>
                <w:b/>
                <w:bCs/>
                <w:color w:val="FFFFFF"/>
                <w:sz w:val="18"/>
                <w:szCs w:val="18"/>
              </w:rPr>
              <w:t>Kaspi.kz (2025 1H)</w:t>
            </w:r>
          </w:p>
        </w:tc>
      </w:tr>
      <w:tr w:rsidR="00CF198A" w14:paraId="066CAF47" w14:textId="77777777">
        <w:tc>
          <w:tcPr>
            <w:tcW w:w="10080" w:type="dxa"/>
            <w:gridSpan w:val="6"/>
            <w:shd w:val="clear" w:color="auto" w:fill="EDF2F7"/>
            <w:tcMar>
              <w:top w:w="40" w:type="dxa"/>
              <w:left w:w="100" w:type="dxa"/>
              <w:bottom w:w="40" w:type="dxa"/>
              <w:right w:w="100" w:type="dxa"/>
            </w:tcMar>
            <w:vAlign w:val="center"/>
          </w:tcPr>
          <w:p w14:paraId="70FBC976" w14:textId="77777777" w:rsidR="00CF198A" w:rsidRDefault="00000000">
            <w:pPr>
              <w:spacing w:before="20" w:after="20"/>
            </w:pPr>
            <w:r>
              <w:rPr>
                <w:b/>
                <w:bCs/>
                <w:color w:val="1A3A5C"/>
                <w:sz w:val="18"/>
                <w:szCs w:val="18"/>
              </w:rPr>
              <w:t>Profitability</w:t>
            </w:r>
          </w:p>
        </w:tc>
      </w:tr>
      <w:tr w:rsidR="00CF198A" w14:paraId="0E9605F6" w14:textId="77777777">
        <w:tc>
          <w:tcPr>
            <w:tcW w:w="2880" w:type="dxa"/>
            <w:shd w:val="clear" w:color="auto" w:fill="FFFFFF"/>
            <w:tcMar>
              <w:top w:w="40" w:type="dxa"/>
              <w:left w:w="100" w:type="dxa"/>
              <w:bottom w:w="40" w:type="dxa"/>
              <w:right w:w="100" w:type="dxa"/>
            </w:tcMar>
            <w:vAlign w:val="center"/>
          </w:tcPr>
          <w:p w14:paraId="128CF091" w14:textId="77777777" w:rsidR="00CF198A" w:rsidRDefault="00000000">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14:paraId="43F59FE0" w14:textId="77777777" w:rsidR="00CF198A" w:rsidRDefault="00000000">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14:paraId="41032CDE" w14:textId="77777777" w:rsidR="00CF198A" w:rsidRDefault="00000000">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14:paraId="31DD07F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0787FF07" w14:textId="77777777" w:rsidR="00CF198A" w:rsidRDefault="00000000">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14:paraId="074F7707" w14:textId="77777777" w:rsidR="00CF198A" w:rsidRDefault="00000000">
            <w:pPr>
              <w:spacing w:before="20" w:after="20"/>
              <w:jc w:val="right"/>
            </w:pPr>
            <w:r>
              <w:rPr>
                <w:color w:val="1A1A1A"/>
                <w:sz w:val="18"/>
                <w:szCs w:val="18"/>
              </w:rPr>
              <w:t>~987</w:t>
            </w:r>
          </w:p>
        </w:tc>
      </w:tr>
      <w:tr w:rsidR="00CF198A" w14:paraId="7324EE96" w14:textId="77777777">
        <w:tc>
          <w:tcPr>
            <w:tcW w:w="2880" w:type="dxa"/>
            <w:shd w:val="clear" w:color="auto" w:fill="FFFFFF"/>
            <w:tcMar>
              <w:top w:w="40" w:type="dxa"/>
              <w:left w:w="100" w:type="dxa"/>
              <w:bottom w:w="40" w:type="dxa"/>
              <w:right w:w="100" w:type="dxa"/>
            </w:tcMar>
            <w:vAlign w:val="center"/>
          </w:tcPr>
          <w:p w14:paraId="2C6F6D9C" w14:textId="77777777" w:rsidR="00CF198A" w:rsidRDefault="00000000">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14:paraId="49CCB8D6" w14:textId="77777777" w:rsidR="00CF198A" w:rsidRDefault="00000000">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14:paraId="4DDBC84D" w14:textId="77777777" w:rsidR="00CF198A" w:rsidRDefault="00000000">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14:paraId="03A014A8" w14:textId="77777777" w:rsidR="00CF198A" w:rsidRDefault="00000000">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14:paraId="2F452CFA" w14:textId="77777777" w:rsidR="00CF198A" w:rsidRDefault="00000000">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14:paraId="0BDB324A" w14:textId="77777777" w:rsidR="00CF198A" w:rsidRDefault="00000000">
            <w:pPr>
              <w:spacing w:before="20" w:after="20"/>
              <w:jc w:val="right"/>
            </w:pPr>
            <w:r>
              <w:rPr>
                <w:color w:val="1A1A1A"/>
                <w:sz w:val="18"/>
                <w:szCs w:val="18"/>
              </w:rPr>
              <w:t>n.a.³</w:t>
            </w:r>
          </w:p>
        </w:tc>
      </w:tr>
      <w:tr w:rsidR="00CF198A" w14:paraId="5BFD045A" w14:textId="77777777">
        <w:tc>
          <w:tcPr>
            <w:tcW w:w="2880" w:type="dxa"/>
            <w:shd w:val="clear" w:color="auto" w:fill="FFFFFF"/>
            <w:tcMar>
              <w:top w:w="40" w:type="dxa"/>
              <w:left w:w="100" w:type="dxa"/>
              <w:bottom w:w="40" w:type="dxa"/>
              <w:right w:w="100" w:type="dxa"/>
            </w:tcMar>
            <w:vAlign w:val="center"/>
          </w:tcPr>
          <w:p w14:paraId="6AE1E90D" w14:textId="77777777" w:rsidR="00CF198A" w:rsidRDefault="00000000">
            <w:pPr>
              <w:spacing w:before="20" w:after="20"/>
            </w:pPr>
            <w:r>
              <w:rPr>
                <w:color w:val="1A1A1A"/>
                <w:sz w:val="18"/>
                <w:szCs w:val="18"/>
              </w:rPr>
              <w:lastRenderedPageBreak/>
              <w:t>Net Interest Margin (NIM)</w:t>
            </w:r>
          </w:p>
        </w:tc>
        <w:tc>
          <w:tcPr>
            <w:tcW w:w="1440" w:type="dxa"/>
            <w:shd w:val="clear" w:color="auto" w:fill="FFFFFF"/>
            <w:tcMar>
              <w:top w:w="40" w:type="dxa"/>
              <w:left w:w="100" w:type="dxa"/>
              <w:bottom w:w="40" w:type="dxa"/>
              <w:right w:w="100" w:type="dxa"/>
            </w:tcMar>
            <w:vAlign w:val="center"/>
          </w:tcPr>
          <w:p w14:paraId="77B67B99" w14:textId="77777777" w:rsidR="00CF198A" w:rsidRDefault="00000000">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14:paraId="2EB0A1B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4939543B" w14:textId="77777777" w:rsidR="00CF198A" w:rsidRDefault="00000000">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14:paraId="37613858" w14:textId="77777777" w:rsidR="00CF198A" w:rsidRDefault="00000000">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14:paraId="27BB6ACD" w14:textId="77777777" w:rsidR="00CF198A" w:rsidRDefault="00000000">
            <w:pPr>
              <w:spacing w:before="20" w:after="20"/>
              <w:jc w:val="right"/>
            </w:pPr>
            <w:r>
              <w:rPr>
                <w:color w:val="1A1A1A"/>
                <w:sz w:val="18"/>
                <w:szCs w:val="18"/>
              </w:rPr>
              <w:t>n.a.³</w:t>
            </w:r>
          </w:p>
        </w:tc>
      </w:tr>
      <w:tr w:rsidR="00CF198A" w14:paraId="02ECA75A" w14:textId="77777777">
        <w:tc>
          <w:tcPr>
            <w:tcW w:w="2880" w:type="dxa"/>
            <w:shd w:val="clear" w:color="auto" w:fill="FFFFFF"/>
            <w:tcMar>
              <w:top w:w="40" w:type="dxa"/>
              <w:left w:w="100" w:type="dxa"/>
              <w:bottom w:w="40" w:type="dxa"/>
              <w:right w:w="100" w:type="dxa"/>
            </w:tcMar>
            <w:vAlign w:val="center"/>
          </w:tcPr>
          <w:p w14:paraId="149CCE49" w14:textId="77777777" w:rsidR="00CF198A" w:rsidRDefault="00000000">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14:paraId="5EA274F9" w14:textId="77777777" w:rsidR="00CF198A" w:rsidRDefault="00000000">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14:paraId="196E65FA" w14:textId="77777777" w:rsidR="00CF198A" w:rsidRDefault="00000000">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14:paraId="3B4AE26A" w14:textId="77777777" w:rsidR="00CF198A" w:rsidRDefault="00000000">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14:paraId="42DCD7FF" w14:textId="77777777" w:rsidR="00CF198A" w:rsidRDefault="00000000">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14:paraId="2D572329" w14:textId="77777777" w:rsidR="00CF198A" w:rsidRDefault="00000000">
            <w:pPr>
              <w:spacing w:before="20" w:after="20"/>
              <w:jc w:val="right"/>
            </w:pPr>
            <w:r>
              <w:rPr>
                <w:color w:val="1A1A1A"/>
                <w:sz w:val="18"/>
                <w:szCs w:val="18"/>
              </w:rPr>
              <w:t>n.a.³</w:t>
            </w:r>
          </w:p>
        </w:tc>
      </w:tr>
      <w:tr w:rsidR="00CF198A" w14:paraId="36237478" w14:textId="77777777">
        <w:tc>
          <w:tcPr>
            <w:tcW w:w="2880" w:type="dxa"/>
            <w:shd w:val="clear" w:color="auto" w:fill="FFFFFF"/>
            <w:tcMar>
              <w:top w:w="40" w:type="dxa"/>
              <w:left w:w="100" w:type="dxa"/>
              <w:bottom w:w="40" w:type="dxa"/>
              <w:right w:w="100" w:type="dxa"/>
            </w:tcMar>
            <w:vAlign w:val="center"/>
          </w:tcPr>
          <w:p w14:paraId="4BDCD7CD" w14:textId="77777777" w:rsidR="00CF198A" w:rsidRDefault="00000000">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14:paraId="724F9E7A" w14:textId="77777777" w:rsidR="00CF198A" w:rsidRDefault="00000000">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14:paraId="737F9857" w14:textId="77777777" w:rsidR="00CF198A" w:rsidRDefault="00000000">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14:paraId="010442B6" w14:textId="77777777" w:rsidR="00CF198A" w:rsidRDefault="00000000">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14:paraId="1B7FF266" w14:textId="77777777" w:rsidR="00CF198A" w:rsidRDefault="00000000">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14:paraId="1682E1F7" w14:textId="77777777" w:rsidR="00CF198A" w:rsidRDefault="00000000">
            <w:pPr>
              <w:spacing w:before="20" w:after="20"/>
              <w:jc w:val="right"/>
            </w:pPr>
            <w:r>
              <w:rPr>
                <w:color w:val="1A1A1A"/>
                <w:sz w:val="18"/>
                <w:szCs w:val="18"/>
              </w:rPr>
              <w:t>n.a.³</w:t>
            </w:r>
          </w:p>
        </w:tc>
      </w:tr>
      <w:tr w:rsidR="00CF198A" w14:paraId="75B8CC87" w14:textId="77777777">
        <w:tc>
          <w:tcPr>
            <w:tcW w:w="2880" w:type="dxa"/>
            <w:shd w:val="clear" w:color="auto" w:fill="FFFFFF"/>
            <w:tcMar>
              <w:top w:w="40" w:type="dxa"/>
              <w:left w:w="100" w:type="dxa"/>
              <w:bottom w:w="40" w:type="dxa"/>
              <w:right w:w="100" w:type="dxa"/>
            </w:tcMar>
            <w:vAlign w:val="center"/>
          </w:tcPr>
          <w:p w14:paraId="0937F67A" w14:textId="77777777" w:rsidR="00CF198A" w:rsidRDefault="00000000">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14:paraId="42F75E11" w14:textId="77777777" w:rsidR="00CF198A" w:rsidRDefault="00000000">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14:paraId="26E09169" w14:textId="77777777" w:rsidR="00CF198A" w:rsidRDefault="00000000">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14:paraId="10373DD1" w14:textId="77777777" w:rsidR="00CF198A" w:rsidRDefault="00000000">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14:paraId="324B3825" w14:textId="77777777" w:rsidR="00CF198A" w:rsidRDefault="00000000">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14:paraId="0AB5A648" w14:textId="77777777" w:rsidR="00CF198A" w:rsidRDefault="00000000">
            <w:pPr>
              <w:spacing w:before="20" w:after="20"/>
              <w:jc w:val="right"/>
            </w:pPr>
            <w:r>
              <w:rPr>
                <w:color w:val="1A1A1A"/>
                <w:sz w:val="18"/>
                <w:szCs w:val="18"/>
              </w:rPr>
              <w:t>n.a.³</w:t>
            </w:r>
          </w:p>
        </w:tc>
      </w:tr>
      <w:tr w:rsidR="00CF198A" w14:paraId="756DFFE7" w14:textId="77777777">
        <w:tc>
          <w:tcPr>
            <w:tcW w:w="10080" w:type="dxa"/>
            <w:gridSpan w:val="6"/>
            <w:shd w:val="clear" w:color="auto" w:fill="EDF2F7"/>
            <w:tcMar>
              <w:top w:w="40" w:type="dxa"/>
              <w:left w:w="100" w:type="dxa"/>
              <w:bottom w:w="40" w:type="dxa"/>
              <w:right w:w="100" w:type="dxa"/>
            </w:tcMar>
            <w:vAlign w:val="center"/>
          </w:tcPr>
          <w:p w14:paraId="4D8B55F9" w14:textId="77777777" w:rsidR="00CF198A" w:rsidRDefault="00000000">
            <w:pPr>
              <w:spacing w:before="20" w:after="20"/>
            </w:pPr>
            <w:r>
              <w:rPr>
                <w:b/>
                <w:bCs/>
                <w:color w:val="1A3A5C"/>
                <w:sz w:val="18"/>
                <w:szCs w:val="18"/>
              </w:rPr>
              <w:t>Asset Quality</w:t>
            </w:r>
          </w:p>
        </w:tc>
      </w:tr>
      <w:tr w:rsidR="00CF198A" w14:paraId="42F16824" w14:textId="77777777">
        <w:tc>
          <w:tcPr>
            <w:tcW w:w="2880" w:type="dxa"/>
            <w:shd w:val="clear" w:color="auto" w:fill="FFFFFF"/>
            <w:tcMar>
              <w:top w:w="40" w:type="dxa"/>
              <w:left w:w="100" w:type="dxa"/>
              <w:bottom w:w="40" w:type="dxa"/>
              <w:right w:w="100" w:type="dxa"/>
            </w:tcMar>
            <w:vAlign w:val="center"/>
          </w:tcPr>
          <w:p w14:paraId="17FF47F1" w14:textId="77777777" w:rsidR="00CF198A" w:rsidRDefault="00000000">
            <w:pPr>
              <w:spacing w:before="20" w:after="20"/>
            </w:pPr>
            <w:r>
              <w:rPr>
                <w:color w:val="1A1A1A"/>
                <w:sz w:val="18"/>
                <w:szCs w:val="18"/>
              </w:rPr>
              <w:t>NPL ratio (regulatory / Stage 3)</w:t>
            </w:r>
          </w:p>
        </w:tc>
        <w:tc>
          <w:tcPr>
            <w:tcW w:w="1440" w:type="dxa"/>
            <w:shd w:val="clear" w:color="auto" w:fill="FFFFFF"/>
            <w:tcMar>
              <w:top w:w="40" w:type="dxa"/>
              <w:left w:w="100" w:type="dxa"/>
              <w:bottom w:w="40" w:type="dxa"/>
              <w:right w:w="100" w:type="dxa"/>
            </w:tcMar>
            <w:vAlign w:val="center"/>
          </w:tcPr>
          <w:p w14:paraId="3777A851" w14:textId="77777777" w:rsidR="00CF198A" w:rsidRDefault="00000000">
            <w:pPr>
              <w:spacing w:before="20" w:after="20"/>
              <w:jc w:val="right"/>
            </w:pPr>
            <w:r>
              <w:rPr>
                <w:b/>
                <w:bCs/>
                <w:color w:val="1A1A1A"/>
                <w:sz w:val="18"/>
                <w:szCs w:val="18"/>
              </w:rPr>
              <w:t>~2.9%¹</w:t>
            </w:r>
          </w:p>
        </w:tc>
        <w:tc>
          <w:tcPr>
            <w:tcW w:w="1440" w:type="dxa"/>
            <w:shd w:val="clear" w:color="auto" w:fill="FFFFFF"/>
            <w:tcMar>
              <w:top w:w="40" w:type="dxa"/>
              <w:left w:w="100" w:type="dxa"/>
              <w:bottom w:w="40" w:type="dxa"/>
              <w:right w:w="100" w:type="dxa"/>
            </w:tcMar>
            <w:vAlign w:val="center"/>
          </w:tcPr>
          <w:p w14:paraId="0480F502" w14:textId="77777777" w:rsidR="00CF198A" w:rsidRDefault="00000000">
            <w:pPr>
              <w:spacing w:before="20" w:after="20"/>
              <w:jc w:val="right"/>
            </w:pPr>
            <w:r>
              <w:rPr>
                <w:color w:val="1A1A1A"/>
                <w:sz w:val="18"/>
                <w:szCs w:val="18"/>
              </w:rPr>
              <w:t>~3.7%</w:t>
            </w:r>
          </w:p>
        </w:tc>
        <w:tc>
          <w:tcPr>
            <w:tcW w:w="1440" w:type="dxa"/>
            <w:shd w:val="clear" w:color="auto" w:fill="FFFFFF"/>
            <w:tcMar>
              <w:top w:w="40" w:type="dxa"/>
              <w:left w:w="100" w:type="dxa"/>
              <w:bottom w:w="40" w:type="dxa"/>
              <w:right w:w="100" w:type="dxa"/>
            </w:tcMar>
            <w:vAlign w:val="center"/>
          </w:tcPr>
          <w:p w14:paraId="62440F70" w14:textId="77777777" w:rsidR="00CF198A" w:rsidRDefault="00000000">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14:paraId="681120FD" w14:textId="77777777" w:rsidR="00CF198A" w:rsidRDefault="00000000">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14:paraId="742B79ED" w14:textId="77777777" w:rsidR="00CF198A" w:rsidRDefault="00000000">
            <w:pPr>
              <w:spacing w:before="20" w:after="20"/>
              <w:jc w:val="right"/>
            </w:pPr>
            <w:r>
              <w:rPr>
                <w:color w:val="1A1A1A"/>
                <w:sz w:val="18"/>
                <w:szCs w:val="18"/>
              </w:rPr>
              <w:t>5.7%</w:t>
            </w:r>
          </w:p>
        </w:tc>
      </w:tr>
      <w:tr w:rsidR="00CF198A" w14:paraId="28D1B4CB" w14:textId="77777777">
        <w:tc>
          <w:tcPr>
            <w:tcW w:w="2880" w:type="dxa"/>
            <w:shd w:val="clear" w:color="auto" w:fill="FFFFFF"/>
            <w:tcMar>
              <w:top w:w="40" w:type="dxa"/>
              <w:left w:w="100" w:type="dxa"/>
              <w:bottom w:w="40" w:type="dxa"/>
              <w:right w:w="100" w:type="dxa"/>
            </w:tcMar>
            <w:vAlign w:val="center"/>
          </w:tcPr>
          <w:p w14:paraId="42350E69" w14:textId="77777777" w:rsidR="00CF198A" w:rsidRDefault="00000000">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14:paraId="0876AA1D" w14:textId="77777777" w:rsidR="00CF198A" w:rsidRDefault="00000000">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14:paraId="4B68D774" w14:textId="77777777" w:rsidR="00CF198A" w:rsidRDefault="00000000">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14:paraId="101E4A78" w14:textId="77777777" w:rsidR="00CF198A" w:rsidRDefault="00000000">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14:paraId="751BA273"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0341335" w14:textId="77777777" w:rsidR="00CF198A" w:rsidRDefault="00000000">
            <w:pPr>
              <w:spacing w:before="20" w:after="20"/>
              <w:jc w:val="right"/>
            </w:pPr>
            <w:r>
              <w:rPr>
                <w:color w:val="1A1A1A"/>
                <w:sz w:val="18"/>
                <w:szCs w:val="18"/>
              </w:rPr>
              <w:t>n.a.³</w:t>
            </w:r>
          </w:p>
        </w:tc>
      </w:tr>
      <w:tr w:rsidR="00CF198A" w14:paraId="0CC3FDC9" w14:textId="77777777">
        <w:tc>
          <w:tcPr>
            <w:tcW w:w="10080" w:type="dxa"/>
            <w:gridSpan w:val="6"/>
            <w:shd w:val="clear" w:color="auto" w:fill="EDF2F7"/>
            <w:tcMar>
              <w:top w:w="40" w:type="dxa"/>
              <w:left w:w="100" w:type="dxa"/>
              <w:bottom w:w="40" w:type="dxa"/>
              <w:right w:w="100" w:type="dxa"/>
            </w:tcMar>
            <w:vAlign w:val="center"/>
          </w:tcPr>
          <w:p w14:paraId="10118FBD" w14:textId="77777777" w:rsidR="00CF198A" w:rsidRDefault="00000000">
            <w:pPr>
              <w:spacing w:before="20" w:after="20"/>
            </w:pPr>
            <w:r>
              <w:rPr>
                <w:b/>
                <w:bCs/>
                <w:color w:val="1A3A5C"/>
                <w:sz w:val="18"/>
                <w:szCs w:val="18"/>
              </w:rPr>
              <w:t>Capital Adequacy</w:t>
            </w:r>
          </w:p>
        </w:tc>
      </w:tr>
      <w:tr w:rsidR="00CF198A" w14:paraId="287A9546" w14:textId="77777777">
        <w:tc>
          <w:tcPr>
            <w:tcW w:w="2880" w:type="dxa"/>
            <w:shd w:val="clear" w:color="auto" w:fill="FFFFFF"/>
            <w:tcMar>
              <w:top w:w="40" w:type="dxa"/>
              <w:left w:w="100" w:type="dxa"/>
              <w:bottom w:w="40" w:type="dxa"/>
              <w:right w:w="100" w:type="dxa"/>
            </w:tcMar>
            <w:vAlign w:val="center"/>
          </w:tcPr>
          <w:p w14:paraId="55EBBD5E" w14:textId="77777777" w:rsidR="00CF198A" w:rsidRDefault="00000000">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14:paraId="4FCCA593" w14:textId="77777777" w:rsidR="00CF198A" w:rsidRDefault="00000000">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14:paraId="78F8DDDA" w14:textId="77777777" w:rsidR="00CF198A" w:rsidRDefault="00000000">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14:paraId="7E63F225" w14:textId="77777777" w:rsidR="00CF198A" w:rsidRDefault="00000000">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14:paraId="5B4D82AE" w14:textId="77777777" w:rsidR="00CF198A" w:rsidRDefault="00000000">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14:paraId="479B362F" w14:textId="77777777" w:rsidR="00CF198A" w:rsidRDefault="00000000">
            <w:pPr>
              <w:spacing w:before="20" w:after="20"/>
              <w:jc w:val="right"/>
            </w:pPr>
            <w:r>
              <w:rPr>
                <w:color w:val="1A1A1A"/>
                <w:sz w:val="18"/>
                <w:szCs w:val="18"/>
              </w:rPr>
              <w:t>n.a.³</w:t>
            </w:r>
          </w:p>
        </w:tc>
      </w:tr>
      <w:tr w:rsidR="00CF198A" w14:paraId="33E7CD03" w14:textId="77777777">
        <w:tc>
          <w:tcPr>
            <w:tcW w:w="2880" w:type="dxa"/>
            <w:shd w:val="clear" w:color="auto" w:fill="FFFFFF"/>
            <w:tcMar>
              <w:top w:w="40" w:type="dxa"/>
              <w:left w:w="100" w:type="dxa"/>
              <w:bottom w:w="40" w:type="dxa"/>
              <w:right w:w="100" w:type="dxa"/>
            </w:tcMar>
            <w:vAlign w:val="center"/>
          </w:tcPr>
          <w:p w14:paraId="01BD5D00" w14:textId="77777777" w:rsidR="00CF198A" w:rsidRDefault="00000000">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14:paraId="58A56FD0" w14:textId="77777777" w:rsidR="00CF198A" w:rsidRDefault="00000000">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14:paraId="5DBF5BD9" w14:textId="77777777" w:rsidR="00CF198A" w:rsidRDefault="00000000">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14:paraId="11338A26" w14:textId="77777777" w:rsidR="00CF198A" w:rsidRDefault="00000000">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14:paraId="01478004" w14:textId="77777777" w:rsidR="00CF198A" w:rsidRDefault="00000000">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14:paraId="2F06D360" w14:textId="77777777" w:rsidR="00CF198A" w:rsidRDefault="00000000">
            <w:pPr>
              <w:spacing w:before="20" w:after="20"/>
              <w:jc w:val="right"/>
            </w:pPr>
            <w:r>
              <w:rPr>
                <w:color w:val="1A1A1A"/>
                <w:sz w:val="18"/>
                <w:szCs w:val="18"/>
              </w:rPr>
              <w:t>n.a.³</w:t>
            </w:r>
          </w:p>
        </w:tc>
      </w:tr>
      <w:tr w:rsidR="00CF198A" w14:paraId="3614DEA2" w14:textId="77777777">
        <w:tc>
          <w:tcPr>
            <w:tcW w:w="2880" w:type="dxa"/>
            <w:shd w:val="clear" w:color="auto" w:fill="FFFFFF"/>
            <w:tcMar>
              <w:top w:w="40" w:type="dxa"/>
              <w:left w:w="100" w:type="dxa"/>
              <w:bottom w:w="40" w:type="dxa"/>
              <w:right w:w="100" w:type="dxa"/>
            </w:tcMar>
            <w:vAlign w:val="center"/>
          </w:tcPr>
          <w:p w14:paraId="5EB0C7D7" w14:textId="77777777" w:rsidR="00CF198A" w:rsidRDefault="00000000">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14:paraId="3EEF59D6" w14:textId="77777777" w:rsidR="00CF198A" w:rsidRDefault="00000000">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14:paraId="7F5636E9" w14:textId="77777777" w:rsidR="00CF198A" w:rsidRDefault="00000000">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14:paraId="2985967C" w14:textId="77777777" w:rsidR="00CF198A" w:rsidRDefault="00000000">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14:paraId="04EAE70C"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2AE5C39" w14:textId="77777777" w:rsidR="00CF198A" w:rsidRDefault="00000000">
            <w:pPr>
              <w:spacing w:before="20" w:after="20"/>
              <w:jc w:val="right"/>
            </w:pPr>
            <w:r>
              <w:rPr>
                <w:color w:val="1A1A1A"/>
                <w:sz w:val="18"/>
                <w:szCs w:val="18"/>
              </w:rPr>
              <w:t>n.a.</w:t>
            </w:r>
          </w:p>
        </w:tc>
      </w:tr>
      <w:tr w:rsidR="00CF198A" w14:paraId="07893A2E" w14:textId="77777777">
        <w:tc>
          <w:tcPr>
            <w:tcW w:w="2880" w:type="dxa"/>
            <w:shd w:val="clear" w:color="auto" w:fill="FFFFFF"/>
            <w:tcMar>
              <w:top w:w="40" w:type="dxa"/>
              <w:left w:w="100" w:type="dxa"/>
              <w:bottom w:w="40" w:type="dxa"/>
              <w:right w:w="100" w:type="dxa"/>
            </w:tcMar>
            <w:vAlign w:val="center"/>
          </w:tcPr>
          <w:p w14:paraId="59ADC437" w14:textId="77777777" w:rsidR="00CF198A" w:rsidRDefault="00000000">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14:paraId="7A4D6A3D" w14:textId="77777777" w:rsidR="00CF198A" w:rsidRDefault="00000000">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14:paraId="06F19475"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7CD90E5D"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2E08F907" w14:textId="77777777" w:rsidR="00CF198A" w:rsidRDefault="00000000">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14:paraId="2946431B" w14:textId="77777777" w:rsidR="00CF198A" w:rsidRDefault="00000000">
            <w:pPr>
              <w:spacing w:before="20" w:after="20"/>
              <w:jc w:val="right"/>
            </w:pPr>
            <w:r>
              <w:rPr>
                <w:color w:val="1A1A1A"/>
                <w:sz w:val="18"/>
                <w:szCs w:val="18"/>
              </w:rPr>
              <w:t>12%</w:t>
            </w:r>
          </w:p>
        </w:tc>
      </w:tr>
      <w:tr w:rsidR="00CF198A" w14:paraId="592212D1" w14:textId="77777777">
        <w:tc>
          <w:tcPr>
            <w:tcW w:w="10080" w:type="dxa"/>
            <w:gridSpan w:val="6"/>
            <w:shd w:val="clear" w:color="auto" w:fill="EDF2F7"/>
            <w:tcMar>
              <w:top w:w="40" w:type="dxa"/>
              <w:left w:w="100" w:type="dxa"/>
              <w:bottom w:w="40" w:type="dxa"/>
              <w:right w:w="100" w:type="dxa"/>
            </w:tcMar>
            <w:vAlign w:val="center"/>
          </w:tcPr>
          <w:p w14:paraId="3689A23F" w14:textId="77777777" w:rsidR="00CF198A" w:rsidRDefault="00000000">
            <w:pPr>
              <w:spacing w:before="20" w:after="20"/>
            </w:pPr>
            <w:r>
              <w:rPr>
                <w:b/>
                <w:bCs/>
                <w:color w:val="1A3A5C"/>
                <w:sz w:val="18"/>
                <w:szCs w:val="18"/>
              </w:rPr>
              <w:t>Liquidity</w:t>
            </w:r>
          </w:p>
        </w:tc>
      </w:tr>
      <w:tr w:rsidR="00CF198A" w14:paraId="4670260B" w14:textId="77777777">
        <w:tc>
          <w:tcPr>
            <w:tcW w:w="2880" w:type="dxa"/>
            <w:shd w:val="clear" w:color="auto" w:fill="FFFFFF"/>
            <w:tcMar>
              <w:top w:w="40" w:type="dxa"/>
              <w:left w:w="100" w:type="dxa"/>
              <w:bottom w:w="40" w:type="dxa"/>
              <w:right w:w="100" w:type="dxa"/>
            </w:tcMar>
            <w:vAlign w:val="center"/>
          </w:tcPr>
          <w:p w14:paraId="0B38C428" w14:textId="77777777" w:rsidR="00CF198A" w:rsidRDefault="00000000">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14:paraId="1BC9D90C" w14:textId="77777777" w:rsidR="00CF198A" w:rsidRDefault="00000000">
            <w:pPr>
              <w:spacing w:before="20" w:after="20"/>
              <w:jc w:val="right"/>
            </w:pPr>
            <w:r>
              <w:rPr>
                <w:b/>
                <w:bCs/>
                <w:color w:val="1A1A1A"/>
                <w:sz w:val="18"/>
                <w:szCs w:val="18"/>
              </w:rPr>
              <w:t>~195%</w:t>
            </w:r>
          </w:p>
        </w:tc>
        <w:tc>
          <w:tcPr>
            <w:tcW w:w="1440" w:type="dxa"/>
            <w:shd w:val="clear" w:color="auto" w:fill="FFFFFF"/>
            <w:tcMar>
              <w:top w:w="40" w:type="dxa"/>
              <w:left w:w="100" w:type="dxa"/>
              <w:bottom w:w="40" w:type="dxa"/>
              <w:right w:w="100" w:type="dxa"/>
            </w:tcMar>
            <w:vAlign w:val="center"/>
          </w:tcPr>
          <w:p w14:paraId="299862C6"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56120F5C" w14:textId="77777777" w:rsidR="00CF198A" w:rsidRDefault="00000000">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14:paraId="0DE41690"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02425980" w14:textId="77777777" w:rsidR="00CF198A" w:rsidRDefault="00000000">
            <w:pPr>
              <w:spacing w:before="20" w:after="20"/>
              <w:jc w:val="right"/>
            </w:pPr>
            <w:r>
              <w:rPr>
                <w:color w:val="1A1A1A"/>
                <w:sz w:val="18"/>
                <w:szCs w:val="18"/>
              </w:rPr>
              <w:t>n.a.</w:t>
            </w:r>
          </w:p>
        </w:tc>
      </w:tr>
      <w:tr w:rsidR="00CF198A" w14:paraId="57EA4970" w14:textId="77777777">
        <w:tc>
          <w:tcPr>
            <w:tcW w:w="2880" w:type="dxa"/>
            <w:shd w:val="clear" w:color="auto" w:fill="FFFFFF"/>
            <w:tcMar>
              <w:top w:w="40" w:type="dxa"/>
              <w:left w:w="100" w:type="dxa"/>
              <w:bottom w:w="40" w:type="dxa"/>
              <w:right w:w="100" w:type="dxa"/>
            </w:tcMar>
            <w:vAlign w:val="center"/>
          </w:tcPr>
          <w:p w14:paraId="577043B9" w14:textId="77777777" w:rsidR="00CF198A" w:rsidRDefault="00000000">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14:paraId="08E2E4E1" w14:textId="77777777" w:rsidR="00CF198A" w:rsidRDefault="00000000">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14:paraId="037348F5" w14:textId="77777777" w:rsidR="00CF198A" w:rsidRDefault="00000000">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14:paraId="78C2A1D6" w14:textId="77777777" w:rsidR="00CF198A" w:rsidRDefault="00000000">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14:paraId="5DC78FD8"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BE62A1C" w14:textId="77777777" w:rsidR="00CF198A" w:rsidRDefault="00000000">
            <w:pPr>
              <w:spacing w:before="20" w:after="20"/>
              <w:jc w:val="right"/>
            </w:pPr>
            <w:r>
              <w:rPr>
                <w:color w:val="1A1A1A"/>
                <w:sz w:val="18"/>
                <w:szCs w:val="18"/>
              </w:rPr>
              <w:t>n.a.</w:t>
            </w:r>
          </w:p>
        </w:tc>
      </w:tr>
      <w:tr w:rsidR="00CF198A" w14:paraId="77FF4C57" w14:textId="77777777">
        <w:tc>
          <w:tcPr>
            <w:tcW w:w="2880" w:type="dxa"/>
            <w:shd w:val="clear" w:color="auto" w:fill="FFFFFF"/>
            <w:tcMar>
              <w:top w:w="40" w:type="dxa"/>
              <w:left w:w="100" w:type="dxa"/>
              <w:bottom w:w="40" w:type="dxa"/>
              <w:right w:w="100" w:type="dxa"/>
            </w:tcMar>
            <w:vAlign w:val="center"/>
          </w:tcPr>
          <w:p w14:paraId="521042A6" w14:textId="77777777" w:rsidR="00CF198A" w:rsidRDefault="00000000">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14:paraId="54D9C8E6" w14:textId="77777777" w:rsidR="00CF198A" w:rsidRDefault="00000000">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14:paraId="41FCFD4A" w14:textId="77777777" w:rsidR="00CF198A" w:rsidRDefault="00000000">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14:paraId="218DE2A4" w14:textId="77777777" w:rsidR="00CF198A" w:rsidRDefault="00000000">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14:paraId="5B3C707D"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38B44D1E" w14:textId="77777777" w:rsidR="00CF198A" w:rsidRDefault="00000000">
            <w:pPr>
              <w:spacing w:before="20" w:after="20"/>
              <w:jc w:val="right"/>
            </w:pPr>
            <w:r>
              <w:rPr>
                <w:color w:val="1A1A1A"/>
                <w:sz w:val="18"/>
                <w:szCs w:val="18"/>
              </w:rPr>
              <w:t>~95%</w:t>
            </w:r>
          </w:p>
        </w:tc>
      </w:tr>
      <w:tr w:rsidR="00CF198A" w14:paraId="35D97B4B" w14:textId="77777777">
        <w:tc>
          <w:tcPr>
            <w:tcW w:w="10080" w:type="dxa"/>
            <w:gridSpan w:val="6"/>
            <w:shd w:val="clear" w:color="auto" w:fill="EDF2F7"/>
            <w:tcMar>
              <w:top w:w="40" w:type="dxa"/>
              <w:left w:w="100" w:type="dxa"/>
              <w:bottom w:w="40" w:type="dxa"/>
              <w:right w:w="100" w:type="dxa"/>
            </w:tcMar>
            <w:vAlign w:val="center"/>
          </w:tcPr>
          <w:p w14:paraId="18209AA5" w14:textId="77777777" w:rsidR="00CF198A" w:rsidRDefault="00000000">
            <w:pPr>
              <w:spacing w:before="20" w:after="20"/>
            </w:pPr>
            <w:r>
              <w:rPr>
                <w:b/>
                <w:bCs/>
                <w:color w:val="1A3A5C"/>
                <w:sz w:val="18"/>
                <w:szCs w:val="18"/>
              </w:rPr>
              <w:t>Scale (USD Million)</w:t>
            </w:r>
          </w:p>
        </w:tc>
      </w:tr>
      <w:tr w:rsidR="00CF198A" w14:paraId="4B1F24F3" w14:textId="77777777">
        <w:tc>
          <w:tcPr>
            <w:tcW w:w="2880" w:type="dxa"/>
            <w:shd w:val="clear" w:color="auto" w:fill="FFFFFF"/>
            <w:tcMar>
              <w:top w:w="40" w:type="dxa"/>
              <w:left w:w="100" w:type="dxa"/>
              <w:bottom w:w="40" w:type="dxa"/>
              <w:right w:w="100" w:type="dxa"/>
            </w:tcMar>
            <w:vAlign w:val="center"/>
          </w:tcPr>
          <w:p w14:paraId="735BAD6E" w14:textId="77777777" w:rsidR="00CF198A" w:rsidRDefault="00000000">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14:paraId="1F195637" w14:textId="77777777" w:rsidR="00CF198A" w:rsidRDefault="00000000">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14:paraId="2A0D3C32" w14:textId="77777777" w:rsidR="00CF198A" w:rsidRDefault="00000000">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14:paraId="58CB1730" w14:textId="77777777" w:rsidR="00CF198A" w:rsidRDefault="00000000">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14:paraId="02458227" w14:textId="77777777" w:rsidR="00CF198A" w:rsidRDefault="00000000">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14:paraId="3F9ED35B" w14:textId="77777777" w:rsidR="00CF198A" w:rsidRDefault="00000000">
            <w:pPr>
              <w:spacing w:before="20" w:after="20"/>
              <w:jc w:val="right"/>
            </w:pPr>
            <w:r>
              <w:rPr>
                <w:color w:val="1A1A1A"/>
                <w:sz w:val="18"/>
                <w:szCs w:val="18"/>
              </w:rPr>
              <w:t>~19,300</w:t>
            </w:r>
          </w:p>
        </w:tc>
      </w:tr>
      <w:tr w:rsidR="00CF198A" w14:paraId="1D4FFDC4" w14:textId="77777777">
        <w:tc>
          <w:tcPr>
            <w:tcW w:w="2880" w:type="dxa"/>
            <w:shd w:val="clear" w:color="auto" w:fill="FFFFFF"/>
            <w:tcMar>
              <w:top w:w="40" w:type="dxa"/>
              <w:left w:w="100" w:type="dxa"/>
              <w:bottom w:w="40" w:type="dxa"/>
              <w:right w:w="100" w:type="dxa"/>
            </w:tcMar>
            <w:vAlign w:val="center"/>
          </w:tcPr>
          <w:p w14:paraId="04D9556C" w14:textId="77777777" w:rsidR="00CF198A" w:rsidRDefault="00000000">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14:paraId="20AECD3A" w14:textId="77777777" w:rsidR="00CF198A" w:rsidRDefault="00000000">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14:paraId="6D03FE5D" w14:textId="77777777" w:rsidR="00CF198A" w:rsidRDefault="00000000">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14:paraId="4D421CE3" w14:textId="77777777" w:rsidR="00CF198A" w:rsidRDefault="00000000">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14:paraId="7C5B07E7" w14:textId="77777777" w:rsidR="00CF198A" w:rsidRDefault="00000000">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14:paraId="4B4B2825" w14:textId="77777777" w:rsidR="00CF198A" w:rsidRDefault="00000000">
            <w:pPr>
              <w:spacing w:before="20" w:after="20"/>
              <w:jc w:val="right"/>
            </w:pPr>
            <w:r>
              <w:rPr>
                <w:color w:val="1A1A1A"/>
                <w:sz w:val="18"/>
                <w:szCs w:val="18"/>
              </w:rPr>
              <w:t>~12,300</w:t>
            </w:r>
          </w:p>
        </w:tc>
      </w:tr>
      <w:tr w:rsidR="00CF198A" w14:paraId="19363737" w14:textId="77777777">
        <w:tc>
          <w:tcPr>
            <w:tcW w:w="2880" w:type="dxa"/>
            <w:shd w:val="clear" w:color="auto" w:fill="FFFFFF"/>
            <w:tcMar>
              <w:top w:w="40" w:type="dxa"/>
              <w:left w:w="100" w:type="dxa"/>
              <w:bottom w:w="40" w:type="dxa"/>
              <w:right w:w="100" w:type="dxa"/>
            </w:tcMar>
            <w:vAlign w:val="center"/>
          </w:tcPr>
          <w:p w14:paraId="20C71861" w14:textId="77777777" w:rsidR="00CF198A" w:rsidRDefault="00000000">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14:paraId="10FF025B" w14:textId="77777777" w:rsidR="00CF198A" w:rsidRDefault="00000000">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14:paraId="220A0A9E" w14:textId="77777777" w:rsidR="00CF198A" w:rsidRDefault="00000000">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14:paraId="764613A8" w14:textId="77777777" w:rsidR="00CF198A" w:rsidRDefault="00000000">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14:paraId="796D0013" w14:textId="77777777" w:rsidR="00CF198A" w:rsidRDefault="00000000">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14:paraId="65A8D668" w14:textId="77777777" w:rsidR="00CF198A" w:rsidRDefault="00000000">
            <w:pPr>
              <w:spacing w:before="20" w:after="20"/>
              <w:jc w:val="right"/>
            </w:pPr>
            <w:r>
              <w:rPr>
                <w:color w:val="1A1A1A"/>
                <w:sz w:val="18"/>
                <w:szCs w:val="18"/>
              </w:rPr>
              <w:t>~12,900</w:t>
            </w:r>
          </w:p>
        </w:tc>
      </w:tr>
      <w:tr w:rsidR="00CF198A" w14:paraId="71CC729A" w14:textId="77777777">
        <w:tc>
          <w:tcPr>
            <w:tcW w:w="2880" w:type="dxa"/>
            <w:shd w:val="clear" w:color="auto" w:fill="FFFFFF"/>
            <w:tcMar>
              <w:top w:w="40" w:type="dxa"/>
              <w:left w:w="100" w:type="dxa"/>
              <w:bottom w:w="40" w:type="dxa"/>
              <w:right w:w="100" w:type="dxa"/>
            </w:tcMar>
            <w:vAlign w:val="center"/>
          </w:tcPr>
          <w:p w14:paraId="4FF0EDE1" w14:textId="77777777" w:rsidR="00CF198A" w:rsidRDefault="00000000">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14:paraId="68E2B3B7" w14:textId="77777777" w:rsidR="00CF198A" w:rsidRDefault="00000000">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14:paraId="5C1571A9" w14:textId="77777777" w:rsidR="00CF198A" w:rsidRDefault="00000000">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14:paraId="3DB635BD" w14:textId="77777777" w:rsidR="00CF198A" w:rsidRDefault="00000000">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14:paraId="1238693B" w14:textId="77777777" w:rsidR="00CF198A" w:rsidRDefault="00000000">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14:paraId="1929C08C" w14:textId="77777777" w:rsidR="00CF198A" w:rsidRDefault="00000000">
            <w:pPr>
              <w:spacing w:before="20" w:after="20"/>
              <w:jc w:val="right"/>
            </w:pPr>
            <w:r>
              <w:rPr>
                <w:color w:val="1A1A1A"/>
                <w:sz w:val="18"/>
                <w:szCs w:val="18"/>
              </w:rPr>
              <w:t>~3,900</w:t>
            </w:r>
          </w:p>
        </w:tc>
      </w:tr>
      <w:tr w:rsidR="00CF198A" w14:paraId="23EBF1E0" w14:textId="77777777">
        <w:tc>
          <w:tcPr>
            <w:tcW w:w="2880" w:type="dxa"/>
            <w:shd w:val="clear" w:color="auto" w:fill="FFFFFF"/>
            <w:tcMar>
              <w:top w:w="40" w:type="dxa"/>
              <w:left w:w="100" w:type="dxa"/>
              <w:bottom w:w="40" w:type="dxa"/>
              <w:right w:w="100" w:type="dxa"/>
            </w:tcMar>
            <w:vAlign w:val="center"/>
          </w:tcPr>
          <w:p w14:paraId="4B55838B" w14:textId="77777777" w:rsidR="00CF198A" w:rsidRDefault="00000000">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14:paraId="2AA4403E" w14:textId="77777777" w:rsidR="00CF198A" w:rsidRDefault="00000000">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14:paraId="7A414EB4" w14:textId="77777777" w:rsidR="00CF198A" w:rsidRDefault="00000000">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14:paraId="36755AD5" w14:textId="77777777" w:rsidR="00CF198A" w:rsidRDefault="00000000">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14:paraId="4F2A7891" w14:textId="77777777" w:rsidR="00CF198A" w:rsidRDefault="00000000">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14:paraId="2B602EB0" w14:textId="77777777" w:rsidR="00CF198A" w:rsidRDefault="00000000">
            <w:pPr>
              <w:spacing w:before="20" w:after="20"/>
              <w:jc w:val="right"/>
            </w:pPr>
            <w:r>
              <w:rPr>
                <w:color w:val="1A1A1A"/>
                <w:sz w:val="18"/>
                <w:szCs w:val="18"/>
              </w:rPr>
              <w:t>+11.0%</w:t>
            </w:r>
          </w:p>
        </w:tc>
      </w:tr>
      <w:tr w:rsidR="00CF198A" w14:paraId="12465010" w14:textId="77777777">
        <w:tc>
          <w:tcPr>
            <w:tcW w:w="10080" w:type="dxa"/>
            <w:gridSpan w:val="6"/>
            <w:shd w:val="clear" w:color="auto" w:fill="EDF2F7"/>
            <w:tcMar>
              <w:top w:w="40" w:type="dxa"/>
              <w:left w:w="100" w:type="dxa"/>
              <w:bottom w:w="40" w:type="dxa"/>
              <w:right w:w="100" w:type="dxa"/>
            </w:tcMar>
            <w:vAlign w:val="center"/>
          </w:tcPr>
          <w:p w14:paraId="2DAAF358" w14:textId="77777777" w:rsidR="00CF198A" w:rsidRDefault="00000000">
            <w:pPr>
              <w:spacing w:before="20" w:after="20"/>
            </w:pPr>
            <w:r>
              <w:rPr>
                <w:b/>
                <w:bCs/>
                <w:color w:val="1A3A5C"/>
                <w:sz w:val="18"/>
                <w:szCs w:val="18"/>
              </w:rPr>
              <w:t>Credit Ratings</w:t>
            </w:r>
          </w:p>
        </w:tc>
      </w:tr>
      <w:tr w:rsidR="00CF198A" w14:paraId="2C87EE28" w14:textId="77777777">
        <w:tc>
          <w:tcPr>
            <w:tcW w:w="2880" w:type="dxa"/>
            <w:shd w:val="clear" w:color="auto" w:fill="FFFFFF"/>
            <w:tcMar>
              <w:top w:w="40" w:type="dxa"/>
              <w:left w:w="100" w:type="dxa"/>
              <w:bottom w:w="40" w:type="dxa"/>
              <w:right w:w="100" w:type="dxa"/>
            </w:tcMar>
            <w:vAlign w:val="center"/>
          </w:tcPr>
          <w:p w14:paraId="2E7A282A" w14:textId="77777777" w:rsidR="00CF198A" w:rsidRDefault="00000000">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14:paraId="1F63AF7F" w14:textId="77777777" w:rsidR="00CF198A" w:rsidRDefault="00000000">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14:paraId="4E50659D" w14:textId="77777777" w:rsidR="00CF198A" w:rsidRDefault="00000000">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14:paraId="7D572700" w14:textId="77777777" w:rsidR="00CF198A" w:rsidRDefault="00000000">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14:paraId="13802B94" w14:textId="77777777" w:rsidR="00CF198A" w:rsidRDefault="00000000">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14:paraId="37149AEB" w14:textId="77777777" w:rsidR="00CF198A" w:rsidRDefault="00000000">
            <w:pPr>
              <w:spacing w:before="20" w:after="20"/>
              <w:jc w:val="right"/>
            </w:pPr>
            <w:r>
              <w:rPr>
                <w:color w:val="1A1A1A"/>
                <w:sz w:val="18"/>
                <w:szCs w:val="18"/>
              </w:rPr>
              <w:t>Baa3/Stable</w:t>
            </w:r>
          </w:p>
        </w:tc>
      </w:tr>
      <w:tr w:rsidR="00CF198A" w14:paraId="56E42B50" w14:textId="77777777">
        <w:tc>
          <w:tcPr>
            <w:tcW w:w="2880" w:type="dxa"/>
            <w:shd w:val="clear" w:color="auto" w:fill="FFFFFF"/>
            <w:tcMar>
              <w:top w:w="40" w:type="dxa"/>
              <w:left w:w="100" w:type="dxa"/>
              <w:bottom w:w="40" w:type="dxa"/>
              <w:right w:w="100" w:type="dxa"/>
            </w:tcMar>
            <w:vAlign w:val="center"/>
          </w:tcPr>
          <w:p w14:paraId="75C844A0" w14:textId="77777777" w:rsidR="00CF198A" w:rsidRDefault="00000000">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14:paraId="1EFDB500"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061572AE"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7FDD4118"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66172549"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20FE4D32" w14:textId="77777777" w:rsidR="00CF198A" w:rsidRDefault="00000000">
            <w:pPr>
              <w:spacing w:before="20" w:after="20"/>
              <w:jc w:val="right"/>
            </w:pPr>
            <w:r>
              <w:rPr>
                <w:color w:val="1A1A1A"/>
                <w:sz w:val="18"/>
                <w:szCs w:val="18"/>
              </w:rPr>
              <w:t>BBB-/Stable</w:t>
            </w:r>
          </w:p>
        </w:tc>
      </w:tr>
      <w:tr w:rsidR="00CF198A" w14:paraId="1D5D5D2B" w14:textId="77777777">
        <w:tc>
          <w:tcPr>
            <w:tcW w:w="2880" w:type="dxa"/>
            <w:shd w:val="clear" w:color="auto" w:fill="FFFFFF"/>
            <w:tcMar>
              <w:top w:w="40" w:type="dxa"/>
              <w:left w:w="100" w:type="dxa"/>
              <w:bottom w:w="40" w:type="dxa"/>
              <w:right w:w="100" w:type="dxa"/>
            </w:tcMar>
            <w:vAlign w:val="center"/>
          </w:tcPr>
          <w:p w14:paraId="0A5E8617" w14:textId="77777777" w:rsidR="00CF198A" w:rsidRDefault="00000000">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14:paraId="674AD4A7"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3CCD02A1"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1FEAACE9" w14:textId="77777777" w:rsidR="00CF198A" w:rsidRDefault="00000000">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14:paraId="08F838FF"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35AF33A7" w14:textId="77777777" w:rsidR="00CF198A" w:rsidRDefault="00000000">
            <w:pPr>
              <w:spacing w:before="20" w:after="20"/>
              <w:jc w:val="right"/>
            </w:pPr>
            <w:r>
              <w:rPr>
                <w:color w:val="1A1A1A"/>
                <w:sz w:val="18"/>
                <w:szCs w:val="18"/>
              </w:rPr>
              <w:t>—</w:t>
            </w:r>
          </w:p>
        </w:tc>
      </w:tr>
    </w:tbl>
    <w:p w14:paraId="21CC09BF" w14:textId="77777777"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NPL ratios for the Uzbek banks are shown on the Central Bank of Uzbekistan (CBU) regulatory basis from the CBU’s monthly NPL statistics for June 2025 — NBU approximately 2.9% and SQB approximately 3.7%, against a banking-sector average of approximately 3.8% — on which consistent basis NBU’s asset quality compares favourably with SQB and the sector. Agrobank (approximately 5.8%) and the Kazakh banks (Halyk 6.6%, Kaspi 5.7%) are shown on the IFRS Stage 3 / non-performing basis per their own disclosures, as the CBU does not separately publish their regulatory NPL. NBU’s IFRS Stage 3 ratio was 4.2% at 30 June 2025; the difference from the 2.9% regulatory figure reflects the more conservative IFRS staging definition, and the 5.6% figure cited elsewhere is NBU’s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are FID estimates as in Section 2.4. NBU’s LCR and NSFR (marked *) are FID estimates: the LCR (~195%) is computed from NBU’s 1H 2025 IFRS balance sheet on standard Basel III stress assumptions (high-quality liquid assets — cash, CBU balances and government securities — over stressed 30-day net outflows; the equivalent FY2024 estimate is ~215%) and is consistent with the Central Bank of Uzbekistan’s published banking-sector LCR of 194% at end-2024, with NSFR ~115% matching the sector. NBU does not separately disclose its regulatory LCR/NSFR, which should be confirmed against its CBU prudential returns. Sources: Halyk Bank 1H 2025 results (19 August 2025) and Kaspi.kz 2Q &amp; 1H 2025 results (4 August 2025); Central Bank of Uzbekistan (monthly NPL statistics, June 2025); and Moody’s, Fitch and S&amp;P rating publications. Halyk: Moody’s Baa1, Fitch BBB-, S&amp;P BBB- (all Stable). Kaspi.kz: Moody’s Baa3, Fitch BBB- (Stable); not rated by S&amp;P.</w:t>
      </w:r>
    </w:p>
    <w:p w14:paraId="2B9EB709" w14:textId="77777777" w:rsidR="003B07C8" w:rsidRDefault="00000000">
      <w:pPr>
        <w:spacing w:before="60" w:after="120"/>
      </w:pPr>
      <w:r>
        <w:rPr>
          <w:i/>
          <w:iCs/>
          <w:color w:val="777777"/>
          <w:sz w:val="16"/>
          <w:szCs w:val="16"/>
        </w:rPr>
        <w:lastRenderedPageBreak/>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02E09529" w14:textId="77777777" w:rsidR="0059742E" w:rsidRDefault="00C764C0">
      <w:r>
        <w:br w:type="page"/>
      </w:r>
    </w:p>
    <w:p w14:paraId="7CC704E8" w14:textId="77777777" w:rsidR="0059742E" w:rsidRDefault="00C764C0">
      <w:pPr>
        <w:spacing w:before="280" w:after="120"/>
      </w:pPr>
      <w:r>
        <w:rPr>
          <w:b/>
          <w:bCs/>
          <w:color w:val="1A3A5C"/>
          <w:sz w:val="24"/>
          <w:szCs w:val="24"/>
        </w:rPr>
        <w:lastRenderedPageBreak/>
        <w:t>Part 3. Risk Analysis</w:t>
      </w:r>
    </w:p>
    <w:p w14:paraId="7A142F44" w14:textId="77777777" w:rsidR="0059742E" w:rsidRDefault="00C764C0">
      <w:pPr>
        <w:pBdr>
          <w:bottom w:val="single" w:sz="4" w:space="2" w:color="2E6DA4"/>
        </w:pBdr>
        <w:spacing w:before="200" w:after="80"/>
      </w:pPr>
      <w:r>
        <w:rPr>
          <w:b/>
          <w:bCs/>
          <w:color w:val="2E6DA4"/>
          <w:sz w:val="22"/>
          <w:szCs w:val="22"/>
        </w:rPr>
        <w:t>3.1 Macro Business Environment</w:t>
      </w:r>
    </w:p>
    <w:p w14:paraId="736645B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358CE9ED"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79F6F359"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14:paraId="11E29DC3" w14:textId="77777777" w:rsidR="0059742E" w:rsidRDefault="00C764C0">
      <w:pPr>
        <w:pBdr>
          <w:bottom w:val="single" w:sz="4" w:space="2" w:color="2E6DA4"/>
        </w:pBdr>
        <w:spacing w:before="200" w:after="80"/>
      </w:pPr>
      <w:r>
        <w:rPr>
          <w:b/>
          <w:bCs/>
          <w:color w:val="2E6DA4"/>
          <w:sz w:val="22"/>
          <w:szCs w:val="22"/>
        </w:rPr>
        <w:t>3.2 Country Risk</w:t>
      </w:r>
    </w:p>
    <w:p w14:paraId="3DCB0234" w14:textId="77777777"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14:paraId="30205FDB" w14:textId="77777777"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14:paraId="650A1BAA" w14:textId="77777777" w:rsidR="0059742E" w:rsidRDefault="00C764C0">
      <w:pPr>
        <w:spacing w:before="60" w:after="80"/>
      </w:pPr>
      <w:r>
        <w:rPr>
          <w:color w:val="1A1A1A"/>
        </w:rPr>
        <w:t xml:space="preserve">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w:t>
      </w:r>
      <w:r>
        <w:rPr>
          <w:color w:val="1A1A1A"/>
        </w:rPr>
        <w:lastRenderedPageBreak/>
        <w:t>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14:paraId="4FD4310F" w14:textId="77777777" w:rsidR="0059742E" w:rsidRDefault="00C764C0">
      <w:pPr>
        <w:pBdr>
          <w:bottom w:val="single" w:sz="4" w:space="2" w:color="2E6DA4"/>
        </w:pBdr>
        <w:spacing w:before="200" w:after="80"/>
      </w:pPr>
      <w:r>
        <w:rPr>
          <w:b/>
          <w:bCs/>
          <w:color w:val="2E6DA4"/>
          <w:sz w:val="22"/>
          <w:szCs w:val="22"/>
        </w:rPr>
        <w:t>3.3 Banking Sector Risk</w:t>
      </w:r>
    </w:p>
    <w:p w14:paraId="1A6AE04C" w14:textId="77777777"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14:paraId="112B80E7" w14:textId="77777777"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14:paraId="4CFCE7B9" w14:textId="77777777"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14:paraId="1D527AD4" w14:textId="77777777" w:rsidR="0059742E" w:rsidRDefault="00C764C0">
      <w:pPr>
        <w:pBdr>
          <w:bottom w:val="single" w:sz="4" w:space="2" w:color="2E6DA4"/>
        </w:pBdr>
        <w:spacing w:before="200" w:after="80"/>
      </w:pPr>
      <w:r>
        <w:rPr>
          <w:b/>
          <w:bCs/>
          <w:color w:val="2E6DA4"/>
          <w:sz w:val="22"/>
          <w:szCs w:val="22"/>
        </w:rPr>
        <w:t>3.4 Company Risk Management</w:t>
      </w:r>
    </w:p>
    <w:p w14:paraId="003EC999" w14:textId="77777777"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14:paraId="03C89700" w14:textId="77777777"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14:paraId="4155991E" w14:textId="77777777"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14:paraId="0BDFEC01" w14:textId="77777777" w:rsidR="0059742E" w:rsidRDefault="00C764C0">
      <w:pPr>
        <w:spacing w:before="60" w:after="80"/>
      </w:pPr>
      <w:r>
        <w:rPr>
          <w:b/>
          <w:bCs/>
          <w:color w:val="1A1A1A"/>
        </w:rPr>
        <w:t xml:space="preserve">Interest-Rate Risk: </w:t>
      </w:r>
      <w:r>
        <w:rPr>
          <w:color w:val="1A1A1A"/>
        </w:rPr>
        <w:t xml:space="preserve">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w:t>
      </w:r>
      <w:r>
        <w:rPr>
          <w:color w:val="1A1A1A"/>
        </w:rPr>
        <w:lastRenderedPageBreak/>
        <w:t>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14:paraId="286D965E" w14:textId="77777777"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14:paraId="0F2E49E0" w14:textId="77777777"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14:paraId="7DD4D2EA" w14:textId="77777777"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14:paraId="68AC5237" w14:textId="77777777"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35DB07E2" w14:textId="77777777" w:rsidR="0059742E" w:rsidRDefault="00C764C0">
      <w:r>
        <w:br w:type="page"/>
      </w:r>
    </w:p>
    <w:p w14:paraId="2ECA4544" w14:textId="77777777" w:rsidR="0059742E" w:rsidRDefault="00C764C0">
      <w:pPr>
        <w:spacing w:before="280" w:after="120"/>
      </w:pPr>
      <w:r>
        <w:rPr>
          <w:b/>
          <w:bCs/>
          <w:color w:val="1A3A5C"/>
          <w:sz w:val="24"/>
          <w:szCs w:val="24"/>
        </w:rPr>
        <w:lastRenderedPageBreak/>
        <w:t>Part 4. Historical Banking Relationship and Plan</w:t>
      </w:r>
    </w:p>
    <w:p w14:paraId="20D00537" w14:textId="77777777" w:rsidR="0059742E" w:rsidRDefault="00C764C0">
      <w:pPr>
        <w:pStyle w:val="ListParagraph"/>
        <w:numPr>
          <w:ilvl w:val="0"/>
          <w:numId w:val="2"/>
        </w:numPr>
        <w:spacing w:before="40" w:after="40"/>
      </w:pPr>
      <w:r>
        <w:rPr>
          <w:color w:val="1A1A1A"/>
        </w:rPr>
        <w:t>NBU is the largest bank in Uzbekistan and a key correspondent for cross-border transactions and trade finance in the Central Asian market.</w:t>
      </w:r>
    </w:p>
    <w:p w14:paraId="6764DBB4"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234D8898"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707E00E3"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2CF50438"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4EAFA6A5" w14:textId="77777777" w:rsidR="0059742E" w:rsidRDefault="00C764C0">
      <w:r>
        <w:br w:type="page"/>
      </w:r>
    </w:p>
    <w:p w14:paraId="4398DAAA" w14:textId="77777777" w:rsidR="0059742E" w:rsidRDefault="00C764C0">
      <w:pPr>
        <w:spacing w:before="280" w:after="120"/>
      </w:pPr>
      <w:r>
        <w:rPr>
          <w:b/>
          <w:bCs/>
          <w:color w:val="1A3A5C"/>
          <w:sz w:val="24"/>
          <w:szCs w:val="24"/>
        </w:rPr>
        <w:lastRenderedPageBreak/>
        <w:t>Part 5. Internal and External Rating of NBU</w:t>
      </w:r>
    </w:p>
    <w:p w14:paraId="5A09739D" w14:textId="77777777" w:rsidR="0059742E" w:rsidRDefault="00C764C0">
      <w:pPr>
        <w:pBdr>
          <w:bottom w:val="single" w:sz="4" w:space="2" w:color="2E6DA4"/>
        </w:pBdr>
        <w:spacing w:before="200" w:after="80"/>
      </w:pPr>
      <w:r>
        <w:rPr>
          <w:b/>
          <w:bCs/>
          <w:color w:val="2E6DA4"/>
          <w:sz w:val="22"/>
          <w:szCs w:val="22"/>
        </w:rPr>
        <w:t>5.1 Credit rating review</w:t>
      </w:r>
    </w:p>
    <w:p w14:paraId="37A52F4B"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24563F1F"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14213E"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4C2EED"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B1070D"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D68461A" w14:textId="77777777" w:rsidR="0059742E" w:rsidRDefault="00C764C0">
            <w:pPr>
              <w:jc w:val="center"/>
            </w:pPr>
            <w:r>
              <w:rPr>
                <w:b/>
                <w:bCs/>
                <w:color w:val="FFFFFF"/>
                <w:sz w:val="18"/>
                <w:szCs w:val="18"/>
              </w:rPr>
              <w:t>Last Confirmed</w:t>
            </w:r>
          </w:p>
        </w:tc>
      </w:tr>
      <w:tr w:rsidR="0059742E" w14:paraId="70B688B0"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C03C7D"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DD520A"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A1202D"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95C3052" w14:textId="77777777" w:rsidR="0059742E" w:rsidRDefault="00C764C0">
            <w:r>
              <w:rPr>
                <w:color w:val="1A1A1A"/>
                <w:sz w:val="18"/>
                <w:szCs w:val="18"/>
              </w:rPr>
              <w:t>September 2023 (last confirmed)</w:t>
            </w:r>
          </w:p>
        </w:tc>
      </w:tr>
      <w:tr w:rsidR="0059742E" w14:paraId="38E8B4B7"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6AC0B"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22EF40"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5412825"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DC844" w14:textId="77777777" w:rsidR="0059742E" w:rsidRDefault="00C764C0">
            <w:r>
              <w:rPr>
                <w:color w:val="1A1A1A"/>
                <w:sz w:val="18"/>
                <w:szCs w:val="18"/>
              </w:rPr>
              <w:t>2025 (upgraded to BB)</w:t>
            </w:r>
          </w:p>
        </w:tc>
      </w:tr>
      <w:tr w:rsidR="0059742E" w14:paraId="48F6E7FA"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69AC6B"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B0859D7"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6B6632"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53C64E2" w14:textId="77777777" w:rsidR="0059742E" w:rsidRDefault="00C764C0">
            <w:r>
              <w:rPr>
                <w:color w:val="1A1A1A"/>
                <w:sz w:val="18"/>
                <w:szCs w:val="18"/>
              </w:rPr>
              <w:t>March 2026 (affirmed)</w:t>
            </w:r>
          </w:p>
        </w:tc>
      </w:tr>
    </w:tbl>
    <w:p w14:paraId="432E2C4D"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5D664E94"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38E15DF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38DF3456" w14:textId="77777777" w:rsidR="0059742E" w:rsidRDefault="00C764C0">
      <w:pPr>
        <w:pBdr>
          <w:bottom w:val="single" w:sz="4" w:space="2" w:color="2E6DA4"/>
        </w:pBdr>
        <w:spacing w:before="200" w:after="80"/>
      </w:pPr>
      <w:r>
        <w:rPr>
          <w:b/>
          <w:bCs/>
          <w:color w:val="2E6DA4"/>
          <w:sz w:val="22"/>
          <w:szCs w:val="22"/>
        </w:rPr>
        <w:t>5.2 Credit limit availability</w:t>
      </w:r>
    </w:p>
    <w:p w14:paraId="65E78C06"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7EF3B8A3"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488E2DD9"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6FF4C15"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B16C008"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2D1DD27"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81E10E3"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47AA7A3"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07DE385" w14:textId="77777777" w:rsidR="0059742E" w:rsidRDefault="00C764C0">
            <w:pPr>
              <w:jc w:val="center"/>
            </w:pPr>
            <w:r>
              <w:rPr>
                <w:b/>
                <w:bCs/>
                <w:color w:val="FFFFFF"/>
                <w:sz w:val="18"/>
                <w:szCs w:val="18"/>
              </w:rPr>
              <w:t>Derivatives</w:t>
            </w:r>
          </w:p>
        </w:tc>
      </w:tr>
      <w:tr w:rsidR="0059742E" w14:paraId="73F3AA7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181B115"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7731E8A"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67588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BCA01D"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0576DA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5164F78" w14:textId="77777777" w:rsidR="0059742E" w:rsidRDefault="00C764C0">
            <w:pPr>
              <w:jc w:val="right"/>
            </w:pPr>
            <w:r>
              <w:rPr>
                <w:color w:val="1A1A1A"/>
                <w:sz w:val="18"/>
                <w:szCs w:val="18"/>
              </w:rPr>
              <w:t>—</w:t>
            </w:r>
          </w:p>
        </w:tc>
      </w:tr>
      <w:tr w:rsidR="0059742E" w14:paraId="63CC4DA9"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5DEE15B"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278495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BA2239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63C05F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7BC96DC"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8F46B7C" w14:textId="77777777" w:rsidR="0059742E" w:rsidRDefault="00C764C0">
            <w:pPr>
              <w:jc w:val="right"/>
            </w:pPr>
            <w:r>
              <w:rPr>
                <w:color w:val="1A1A1A"/>
                <w:sz w:val="18"/>
                <w:szCs w:val="18"/>
              </w:rPr>
              <w:t>—</w:t>
            </w:r>
          </w:p>
        </w:tc>
      </w:tr>
      <w:tr w:rsidR="0059742E" w14:paraId="010C974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CC2F87"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480D6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38286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73B3EB"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C9FB71"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3BFD2F3" w14:textId="77777777" w:rsidR="0059742E" w:rsidRDefault="00C764C0">
            <w:pPr>
              <w:jc w:val="right"/>
            </w:pPr>
            <w:r>
              <w:rPr>
                <w:color w:val="1A1A1A"/>
                <w:sz w:val="18"/>
                <w:szCs w:val="18"/>
              </w:rPr>
              <w:t>[FID to confirm]</w:t>
            </w:r>
          </w:p>
        </w:tc>
      </w:tr>
    </w:tbl>
    <w:p w14:paraId="5B1396CB"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198CBF18" w14:textId="77777777" w:rsidR="0059742E" w:rsidRDefault="00C764C0">
      <w:pPr>
        <w:spacing w:before="280" w:after="120"/>
      </w:pPr>
      <w:r>
        <w:rPr>
          <w:b/>
          <w:bCs/>
          <w:color w:val="1A3A5C"/>
          <w:sz w:val="24"/>
          <w:szCs w:val="24"/>
        </w:rPr>
        <w:t>Part 6. Evaluation of Credit Risk and Calculation of Reference Value of Credit Line</w:t>
      </w:r>
    </w:p>
    <w:p w14:paraId="478BB663" w14:textId="77777777" w:rsidR="0059742E" w:rsidRDefault="00C764C0">
      <w:pPr>
        <w:pBdr>
          <w:bottom w:val="single" w:sz="4" w:space="2" w:color="2E6DA4"/>
        </w:pBdr>
        <w:spacing w:before="200" w:after="80"/>
      </w:pPr>
      <w:r>
        <w:rPr>
          <w:b/>
          <w:bCs/>
          <w:color w:val="2E6DA4"/>
          <w:sz w:val="22"/>
          <w:szCs w:val="22"/>
        </w:rPr>
        <w:lastRenderedPageBreak/>
        <w:t>6.1 Maximum Credit limit</w:t>
      </w:r>
    </w:p>
    <w:p w14:paraId="55E0D66B"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2D8EBAA3"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1AAAF551"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9ACB0B"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86C37F1" w14:textId="77777777" w:rsidR="0059742E" w:rsidRDefault="00C764C0">
            <w:pPr>
              <w:jc w:val="center"/>
            </w:pPr>
            <w:r>
              <w:rPr>
                <w:b/>
                <w:bCs/>
                <w:color w:val="FFFFFF"/>
                <w:sz w:val="18"/>
                <w:szCs w:val="18"/>
              </w:rPr>
              <w:t>Calculation</w:t>
            </w:r>
          </w:p>
        </w:tc>
      </w:tr>
      <w:tr w:rsidR="0059742E" w14:paraId="61EE4F76"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91D2F5"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456D321" w14:textId="77777777" w:rsidR="0059742E" w:rsidRDefault="00C764C0">
            <w:r>
              <w:rPr>
                <w:color w:val="1A1A1A"/>
                <w:sz w:val="18"/>
                <w:szCs w:val="18"/>
              </w:rPr>
              <w:t>= a (risk factor weight) × CT0 = 18% × USD 200 billion = USD 36 billion</w:t>
            </w:r>
          </w:p>
        </w:tc>
      </w:tr>
      <w:tr w:rsidR="0059742E" w14:paraId="09933A0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E6B3DBC"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2BFCEF" w14:textId="77777777" w:rsidR="0059742E" w:rsidRDefault="00C764C0">
            <w:r>
              <w:rPr>
                <w:color w:val="1A1A1A"/>
                <w:sz w:val="18"/>
                <w:szCs w:val="18"/>
              </w:rPr>
              <w:t>Ba3 / BB corresponds to an internal rating of sA+ (pending final approval). Per ICBC internal rule, risk factor weight a = 18%.</w:t>
            </w:r>
          </w:p>
        </w:tc>
      </w:tr>
      <w:tr w:rsidR="0059742E" w14:paraId="234A363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026439B"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FC976F" w14:textId="77777777" w:rsidR="0059742E" w:rsidRDefault="00C764C0">
            <w:r>
              <w:rPr>
                <w:color w:val="1A1A1A"/>
                <w:sz w:val="18"/>
                <w:szCs w:val="18"/>
              </w:rPr>
              <w:t>Per ICBC internal rule, CT0 = USD 200 billion.</w:t>
            </w:r>
          </w:p>
        </w:tc>
      </w:tr>
      <w:tr w:rsidR="0059742E" w14:paraId="3F2DE647"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10DF0D5"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EDCFEF6" w14:textId="77777777" w:rsidR="0059742E" w:rsidRDefault="00C764C0">
            <w:r>
              <w:rPr>
                <w:color w:val="1A1A1A"/>
                <w:sz w:val="18"/>
                <w:szCs w:val="18"/>
              </w:rPr>
              <w:t>= b (concentration factor weight) × Total Liabilities = 0.5% × USD 10,270 million = USD 51.4 million</w:t>
            </w:r>
          </w:p>
        </w:tc>
      </w:tr>
      <w:tr w:rsidR="0059742E" w14:paraId="3D5BB797"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EE8137F"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840E9F3"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5EC72329"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29EEB0F"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C51B4" w14:textId="77777777" w:rsidR="0059742E" w:rsidRDefault="00C764C0">
            <w:r>
              <w:rPr>
                <w:color w:val="1A1A1A"/>
                <w:sz w:val="18"/>
                <w:szCs w:val="18"/>
              </w:rPr>
              <w:t>UZS 124,777.0 billion ÷ 12,150 × 1,000 = approximately USD 10,270 million.</w:t>
            </w:r>
          </w:p>
        </w:tc>
      </w:tr>
      <w:tr w:rsidR="0059742E" w14:paraId="4DA80283"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89CB24A"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7084EB" w14:textId="77777777" w:rsidR="0059742E" w:rsidRDefault="00C764C0">
            <w:r>
              <w:rPr>
                <w:color w:val="1A1A1A"/>
                <w:sz w:val="18"/>
                <w:szCs w:val="18"/>
              </w:rPr>
              <w:t>NBU is the largest bank in Uzbekistan and a key correspondent in Central Asia. adj1 = 1.0</w:t>
            </w:r>
          </w:p>
        </w:tc>
      </w:tr>
      <w:tr w:rsidR="0059742E" w14:paraId="7B4E3E5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1753EF2"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9FC9E35" w14:textId="77777777" w:rsidR="0059742E" w:rsidRDefault="00C764C0">
            <w:r>
              <w:rPr>
                <w:color w:val="1A1A1A"/>
                <w:sz w:val="18"/>
                <w:szCs w:val="18"/>
              </w:rPr>
              <w:t>Our institution does not have a local branch in Uzbekistan. adj2 = 1.0</w:t>
            </w:r>
          </w:p>
        </w:tc>
      </w:tr>
      <w:tr w:rsidR="0059742E" w14:paraId="339D44D5"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3BB0081"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0F0771" w14:textId="77777777" w:rsidR="0059742E" w:rsidRDefault="00C764C0">
            <w:r>
              <w:rPr>
                <w:b/>
                <w:bCs/>
                <w:color w:val="1A1A1A"/>
                <w:sz w:val="18"/>
                <w:szCs w:val="18"/>
              </w:rPr>
              <w:t>= min(USD 36 billion, USD 51.4 million) × 1.0 × 1.0 = USD 51.4 million</w:t>
            </w:r>
          </w:p>
        </w:tc>
      </w:tr>
    </w:tbl>
    <w:p w14:paraId="33665D7F" w14:textId="77777777" w:rsidR="0059742E" w:rsidRDefault="00C764C0">
      <w:pPr>
        <w:pBdr>
          <w:bottom w:val="single" w:sz="4" w:space="2" w:color="2E6DA4"/>
        </w:pBdr>
        <w:spacing w:before="200" w:after="80"/>
      </w:pPr>
      <w:r>
        <w:rPr>
          <w:b/>
          <w:bCs/>
          <w:color w:val="2E6DA4"/>
          <w:sz w:val="22"/>
          <w:szCs w:val="22"/>
        </w:rPr>
        <w:t>6.2 Summary</w:t>
      </w:r>
    </w:p>
    <w:p w14:paraId="791D9ADD"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7FCB064B"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2ABD6EBF"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04E66D6" w14:textId="77777777" w:rsidR="0059742E" w:rsidRDefault="0059742E">
      <w:pPr>
        <w:spacing w:before="360" w:after="60"/>
      </w:pPr>
    </w:p>
    <w:p w14:paraId="1ACBE43B" w14:textId="77777777" w:rsidR="00BA183A" w:rsidRDefault="00000000">
      <w:pPr>
        <w:spacing w:before="280" w:after="120"/>
      </w:pPr>
      <w:r>
        <w:rPr>
          <w:b/>
          <w:bCs/>
          <w:color w:val="1A3A5C"/>
          <w:sz w:val="24"/>
          <w:szCs w:val="24"/>
        </w:rPr>
        <w:t>Part 7. Proposed Key Transaction Terms, Financial Covenants and Risk Mitigants</w:t>
      </w:r>
    </w:p>
    <w:p w14:paraId="1AFF5FA9" w14:textId="77777777" w:rsidR="00BA183A" w:rsidRDefault="00000000">
      <w:pPr>
        <w:spacing w:before="60" w:after="80"/>
      </w:pPr>
      <w:r>
        <w:rPr>
          <w:color w:val="1A1A1A"/>
        </w:rPr>
        <w:t xml:space="preserve">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w:t>
      </w:r>
      <w:r>
        <w:rPr>
          <w:color w:val="1A1A1A"/>
        </w:rPr>
        <w:lastRenderedPageBreak/>
        <w:t>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5205A106"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55E8F39C" w14:textId="77777777">
        <w:tc>
          <w:tcPr>
            <w:tcW w:w="3360" w:type="dxa"/>
            <w:shd w:val="clear" w:color="auto" w:fill="2E4057"/>
            <w:tcMar>
              <w:top w:w="40" w:type="dxa"/>
              <w:left w:w="100" w:type="dxa"/>
              <w:bottom w:w="40" w:type="dxa"/>
              <w:right w:w="100" w:type="dxa"/>
            </w:tcMar>
            <w:vAlign w:val="center"/>
          </w:tcPr>
          <w:p w14:paraId="3CFF39B9"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656402E" w14:textId="77777777" w:rsidR="00BA183A" w:rsidRDefault="00000000">
            <w:pPr>
              <w:spacing w:before="20" w:after="20"/>
            </w:pPr>
            <w:r>
              <w:rPr>
                <w:b/>
                <w:bCs/>
                <w:color w:val="FFFFFF"/>
                <w:sz w:val="18"/>
                <w:szCs w:val="18"/>
              </w:rPr>
              <w:t>Detail</w:t>
            </w:r>
          </w:p>
        </w:tc>
      </w:tr>
      <w:tr w:rsidR="00BA183A" w14:paraId="13499EC1" w14:textId="77777777">
        <w:tc>
          <w:tcPr>
            <w:tcW w:w="3360" w:type="dxa"/>
            <w:shd w:val="clear" w:color="auto" w:fill="FFFFFF"/>
            <w:tcMar>
              <w:top w:w="40" w:type="dxa"/>
              <w:left w:w="100" w:type="dxa"/>
              <w:bottom w:w="40" w:type="dxa"/>
              <w:right w:w="100" w:type="dxa"/>
            </w:tcMar>
            <w:vAlign w:val="center"/>
          </w:tcPr>
          <w:p w14:paraId="64D68BC6"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15BD1E8C" w14:textId="77777777" w:rsidR="00BA183A" w:rsidRDefault="00000000">
            <w:pPr>
              <w:spacing w:before="20" w:after="20"/>
            </w:pPr>
            <w:r>
              <w:rPr>
                <w:color w:val="1A1A1A"/>
                <w:sz w:val="18"/>
                <w:szCs w:val="18"/>
              </w:rPr>
              <w:t>JSC National Bank for Foreign Economic Activity of the Republic of Uzbekistan ("NBU")</w:t>
            </w:r>
          </w:p>
        </w:tc>
      </w:tr>
      <w:tr w:rsidR="00BA183A" w14:paraId="47D1DD77" w14:textId="77777777">
        <w:tc>
          <w:tcPr>
            <w:tcW w:w="3360" w:type="dxa"/>
            <w:shd w:val="clear" w:color="auto" w:fill="FFFFFF"/>
            <w:tcMar>
              <w:top w:w="40" w:type="dxa"/>
              <w:left w:w="100" w:type="dxa"/>
              <w:bottom w:w="40" w:type="dxa"/>
              <w:right w:w="100" w:type="dxa"/>
            </w:tcMar>
            <w:vAlign w:val="center"/>
          </w:tcPr>
          <w:p w14:paraId="0A5C06F1"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07830134"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437ABA1D" w14:textId="77777777">
        <w:tc>
          <w:tcPr>
            <w:tcW w:w="3360" w:type="dxa"/>
            <w:shd w:val="clear" w:color="auto" w:fill="FFFFFF"/>
            <w:tcMar>
              <w:top w:w="40" w:type="dxa"/>
              <w:left w:w="100" w:type="dxa"/>
              <w:bottom w:w="40" w:type="dxa"/>
              <w:right w:w="100" w:type="dxa"/>
            </w:tcMar>
            <w:vAlign w:val="center"/>
          </w:tcPr>
          <w:p w14:paraId="5929F333"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3963C49E"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07A8D8C1" w14:textId="77777777">
        <w:tc>
          <w:tcPr>
            <w:tcW w:w="3360" w:type="dxa"/>
            <w:shd w:val="clear" w:color="auto" w:fill="FFFFFF"/>
            <w:tcMar>
              <w:top w:w="40" w:type="dxa"/>
              <w:left w:w="100" w:type="dxa"/>
              <w:bottom w:w="40" w:type="dxa"/>
              <w:right w:w="100" w:type="dxa"/>
            </w:tcMar>
            <w:vAlign w:val="center"/>
          </w:tcPr>
          <w:p w14:paraId="5642C6C5"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5AD06468" w14:textId="77777777" w:rsidR="00BA183A" w:rsidRDefault="00000000">
            <w:pPr>
              <w:spacing w:before="20" w:after="20"/>
            </w:pPr>
            <w:r>
              <w:rPr>
                <w:color w:val="1A1A1A"/>
                <w:sz w:val="18"/>
                <w:szCs w:val="18"/>
              </w:rPr>
              <w:t>Senior unsecured; pari passu with NBU's other senior unsecured obligations</w:t>
            </w:r>
          </w:p>
        </w:tc>
      </w:tr>
      <w:tr w:rsidR="00BA183A" w14:paraId="276A9EF6" w14:textId="77777777">
        <w:tc>
          <w:tcPr>
            <w:tcW w:w="3360" w:type="dxa"/>
            <w:shd w:val="clear" w:color="auto" w:fill="FFFFFF"/>
            <w:tcMar>
              <w:top w:w="40" w:type="dxa"/>
              <w:left w:w="100" w:type="dxa"/>
              <w:bottom w:w="40" w:type="dxa"/>
              <w:right w:w="100" w:type="dxa"/>
            </w:tcMar>
            <w:vAlign w:val="center"/>
          </w:tcPr>
          <w:p w14:paraId="739017F6"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79F42CE1"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648B86C" w14:textId="77777777">
        <w:tc>
          <w:tcPr>
            <w:tcW w:w="3360" w:type="dxa"/>
            <w:shd w:val="clear" w:color="auto" w:fill="FFFFFF"/>
            <w:tcMar>
              <w:top w:w="40" w:type="dxa"/>
              <w:left w:w="100" w:type="dxa"/>
              <w:bottom w:w="40" w:type="dxa"/>
              <w:right w:w="100" w:type="dxa"/>
            </w:tcMar>
            <w:vAlign w:val="center"/>
          </w:tcPr>
          <w:p w14:paraId="40611A82"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6842D094" w14:textId="77777777" w:rsidR="00BA183A" w:rsidRDefault="00000000">
            <w:pPr>
              <w:spacing w:before="20" w:after="20"/>
            </w:pPr>
            <w:r>
              <w:rPr>
                <w:color w:val="1A1A1A"/>
                <w:sz w:val="18"/>
                <w:szCs w:val="18"/>
              </w:rPr>
              <w:t>Primarily USD; UZS where applicable</w:t>
            </w:r>
          </w:p>
        </w:tc>
      </w:tr>
      <w:tr w:rsidR="00BA183A" w14:paraId="695B8270" w14:textId="77777777">
        <w:tc>
          <w:tcPr>
            <w:tcW w:w="3360" w:type="dxa"/>
            <w:shd w:val="clear" w:color="auto" w:fill="FFFFFF"/>
            <w:tcMar>
              <w:top w:w="40" w:type="dxa"/>
              <w:left w:w="100" w:type="dxa"/>
              <w:bottom w:w="40" w:type="dxa"/>
              <w:right w:w="100" w:type="dxa"/>
            </w:tcMar>
            <w:vAlign w:val="center"/>
          </w:tcPr>
          <w:p w14:paraId="0ED7EE57"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0CDF30B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011F8A0A" w14:textId="77777777">
        <w:tc>
          <w:tcPr>
            <w:tcW w:w="3360" w:type="dxa"/>
            <w:shd w:val="clear" w:color="auto" w:fill="FFFFFF"/>
            <w:tcMar>
              <w:top w:w="40" w:type="dxa"/>
              <w:left w:w="100" w:type="dxa"/>
              <w:bottom w:w="40" w:type="dxa"/>
              <w:right w:w="100" w:type="dxa"/>
            </w:tcMar>
            <w:vAlign w:val="center"/>
          </w:tcPr>
          <w:p w14:paraId="76A7ECDC"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23369C86"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E8D4717" w14:textId="77777777">
        <w:tc>
          <w:tcPr>
            <w:tcW w:w="3360" w:type="dxa"/>
            <w:shd w:val="clear" w:color="auto" w:fill="FFFFFF"/>
            <w:tcMar>
              <w:top w:w="40" w:type="dxa"/>
              <w:left w:w="100" w:type="dxa"/>
              <w:bottom w:w="40" w:type="dxa"/>
              <w:right w:w="100" w:type="dxa"/>
            </w:tcMar>
            <w:vAlign w:val="center"/>
          </w:tcPr>
          <w:p w14:paraId="31FF4E71"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A71105B" w14:textId="77777777" w:rsidR="00BA183A" w:rsidRDefault="00000000">
            <w:pPr>
              <w:spacing w:before="20" w:after="20"/>
            </w:pPr>
            <w:r>
              <w:rPr>
                <w:color w:val="1A1A1A"/>
                <w:sz w:val="18"/>
                <w:szCs w:val="18"/>
              </w:rPr>
              <w:t>Per transaction (see the Section 8 cost-benefit framework); to be confirmed by Treasury / FID</w:t>
            </w:r>
          </w:p>
        </w:tc>
      </w:tr>
    </w:tbl>
    <w:p w14:paraId="1CED1F40" w14:textId="77777777" w:rsidR="00BA183A" w:rsidRDefault="00000000">
      <w:pPr>
        <w:pBdr>
          <w:bottom w:val="single" w:sz="4" w:space="2" w:color="2E6DA4"/>
        </w:pBdr>
        <w:spacing w:before="200" w:after="80"/>
      </w:pPr>
      <w:r>
        <w:rPr>
          <w:b/>
          <w:bCs/>
          <w:color w:val="2E6DA4"/>
          <w:sz w:val="22"/>
          <w:szCs w:val="22"/>
        </w:rPr>
        <w:t>7.2 Proposed Financial Covenants</w:t>
      </w:r>
    </w:p>
    <w:p w14:paraId="4FD4ACF8"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2220AA7F" w14:textId="77777777">
        <w:tc>
          <w:tcPr>
            <w:tcW w:w="4080" w:type="dxa"/>
            <w:shd w:val="clear" w:color="auto" w:fill="2E4057"/>
            <w:tcMar>
              <w:top w:w="40" w:type="dxa"/>
              <w:left w:w="100" w:type="dxa"/>
              <w:bottom w:w="40" w:type="dxa"/>
              <w:right w:w="100" w:type="dxa"/>
            </w:tcMar>
            <w:vAlign w:val="center"/>
          </w:tcPr>
          <w:p w14:paraId="2CFC9451"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70D2A251"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5BA9F4C9" w14:textId="77777777" w:rsidR="00BA183A" w:rsidRDefault="00000000">
            <w:pPr>
              <w:spacing w:before="20" w:after="20"/>
            </w:pPr>
            <w:r>
              <w:rPr>
                <w:b/>
                <w:bCs/>
                <w:color w:val="FFFFFF"/>
                <w:sz w:val="18"/>
                <w:szCs w:val="18"/>
              </w:rPr>
              <w:t>Basis / reference</w:t>
            </w:r>
          </w:p>
        </w:tc>
      </w:tr>
      <w:tr w:rsidR="00BA183A" w14:paraId="7BE9FF9C" w14:textId="77777777">
        <w:tc>
          <w:tcPr>
            <w:tcW w:w="4080" w:type="dxa"/>
            <w:shd w:val="clear" w:color="auto" w:fill="FFFFFF"/>
            <w:tcMar>
              <w:top w:w="40" w:type="dxa"/>
              <w:left w:w="100" w:type="dxa"/>
              <w:bottom w:w="40" w:type="dxa"/>
              <w:right w:w="100" w:type="dxa"/>
            </w:tcMar>
            <w:vAlign w:val="center"/>
          </w:tcPr>
          <w:p w14:paraId="5A399E0E"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6F7169B5"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6CF130CC" w14:textId="77777777" w:rsidR="00BA183A" w:rsidRDefault="00000000">
            <w:pPr>
              <w:spacing w:before="20" w:after="20"/>
            </w:pPr>
            <w:r>
              <w:rPr>
                <w:color w:val="1A1A1A"/>
                <w:sz w:val="18"/>
                <w:szCs w:val="18"/>
              </w:rPr>
              <w:t>CBU minimum 12%; sector ~18.3%</w:t>
            </w:r>
          </w:p>
        </w:tc>
      </w:tr>
      <w:tr w:rsidR="00BA183A" w14:paraId="6642D2D1" w14:textId="77777777">
        <w:tc>
          <w:tcPr>
            <w:tcW w:w="4080" w:type="dxa"/>
            <w:shd w:val="clear" w:color="auto" w:fill="FFFFFF"/>
            <w:tcMar>
              <w:top w:w="40" w:type="dxa"/>
              <w:left w:w="100" w:type="dxa"/>
              <w:bottom w:w="40" w:type="dxa"/>
              <w:right w:w="100" w:type="dxa"/>
            </w:tcMar>
            <w:vAlign w:val="center"/>
          </w:tcPr>
          <w:p w14:paraId="5B000D77"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2C11699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330BC9A0" w14:textId="77777777" w:rsidR="00BA183A" w:rsidRDefault="00000000">
            <w:pPr>
              <w:spacing w:before="20" w:after="20"/>
            </w:pPr>
            <w:r>
              <w:rPr>
                <w:color w:val="1A1A1A"/>
                <w:sz w:val="18"/>
                <w:szCs w:val="18"/>
              </w:rPr>
              <w:t>CBU minimum 8%; sector ~15.2%</w:t>
            </w:r>
          </w:p>
        </w:tc>
      </w:tr>
      <w:tr w:rsidR="00BA183A" w14:paraId="250DD518" w14:textId="77777777">
        <w:tc>
          <w:tcPr>
            <w:tcW w:w="4080" w:type="dxa"/>
            <w:shd w:val="clear" w:color="auto" w:fill="FFFFFF"/>
            <w:tcMar>
              <w:top w:w="40" w:type="dxa"/>
              <w:left w:w="100" w:type="dxa"/>
              <w:bottom w:w="40" w:type="dxa"/>
              <w:right w:w="100" w:type="dxa"/>
            </w:tcMar>
            <w:vAlign w:val="center"/>
          </w:tcPr>
          <w:p w14:paraId="2C9E9802"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B3A56C6"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681FBFCC" w14:textId="77777777" w:rsidR="00BA183A" w:rsidRDefault="00000000">
            <w:pPr>
              <w:spacing w:before="20" w:after="20"/>
            </w:pPr>
            <w:r>
              <w:rPr>
                <w:color w:val="1A1A1A"/>
                <w:sz w:val="18"/>
                <w:szCs w:val="18"/>
              </w:rPr>
              <w:t>NBU ~2.8%; sector ~4.1%</w:t>
            </w:r>
          </w:p>
        </w:tc>
      </w:tr>
      <w:tr w:rsidR="00BA183A" w14:paraId="2E430458" w14:textId="77777777">
        <w:tc>
          <w:tcPr>
            <w:tcW w:w="4080" w:type="dxa"/>
            <w:shd w:val="clear" w:color="auto" w:fill="FFFFFF"/>
            <w:tcMar>
              <w:top w:w="40" w:type="dxa"/>
              <w:left w:w="100" w:type="dxa"/>
              <w:bottom w:w="40" w:type="dxa"/>
              <w:right w:w="100" w:type="dxa"/>
            </w:tcMar>
            <w:vAlign w:val="center"/>
          </w:tcPr>
          <w:p w14:paraId="1EB4C759"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18505BB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5DDACEF9" w14:textId="77777777" w:rsidR="00BA183A" w:rsidRDefault="00000000">
            <w:pPr>
              <w:spacing w:before="20" w:after="20"/>
            </w:pPr>
            <w:r>
              <w:rPr>
                <w:color w:val="1A1A1A"/>
                <w:sz w:val="18"/>
                <w:szCs w:val="18"/>
              </w:rPr>
              <w:t>Basel III / CBU</w:t>
            </w:r>
          </w:p>
        </w:tc>
      </w:tr>
      <w:tr w:rsidR="00BA183A" w14:paraId="0F938EAC" w14:textId="77777777">
        <w:tc>
          <w:tcPr>
            <w:tcW w:w="4080" w:type="dxa"/>
            <w:shd w:val="clear" w:color="auto" w:fill="FFFFFF"/>
            <w:tcMar>
              <w:top w:w="40" w:type="dxa"/>
              <w:left w:w="100" w:type="dxa"/>
              <w:bottom w:w="40" w:type="dxa"/>
              <w:right w:w="100" w:type="dxa"/>
            </w:tcMar>
            <w:vAlign w:val="center"/>
          </w:tcPr>
          <w:p w14:paraId="5C0A6E4C"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17363AA5"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16748809" w14:textId="77777777" w:rsidR="00BA183A" w:rsidRDefault="00000000">
            <w:pPr>
              <w:spacing w:before="20" w:after="20"/>
            </w:pPr>
            <w:r>
              <w:rPr>
                <w:color w:val="1A1A1A"/>
                <w:sz w:val="18"/>
                <w:szCs w:val="18"/>
              </w:rPr>
              <w:t>Basel III / CBU</w:t>
            </w:r>
          </w:p>
        </w:tc>
      </w:tr>
      <w:tr w:rsidR="00BA183A" w14:paraId="00728D4F" w14:textId="77777777">
        <w:tc>
          <w:tcPr>
            <w:tcW w:w="4080" w:type="dxa"/>
            <w:shd w:val="clear" w:color="auto" w:fill="FFFFFF"/>
            <w:tcMar>
              <w:top w:w="40" w:type="dxa"/>
              <w:left w:w="100" w:type="dxa"/>
              <w:bottom w:w="40" w:type="dxa"/>
              <w:right w:w="100" w:type="dxa"/>
            </w:tcMar>
            <w:vAlign w:val="center"/>
          </w:tcPr>
          <w:p w14:paraId="2AD52850"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4E785802"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79D5217C" w14:textId="77777777" w:rsidR="00BA183A" w:rsidRDefault="00000000">
            <w:pPr>
              <w:spacing w:before="20" w:after="20"/>
            </w:pPr>
            <w:r>
              <w:rPr>
                <w:color w:val="1A1A1A"/>
                <w:sz w:val="18"/>
                <w:szCs w:val="18"/>
              </w:rPr>
              <w:t>Quasi-sovereign support is core to the credit</w:t>
            </w:r>
          </w:p>
        </w:tc>
      </w:tr>
      <w:tr w:rsidR="00BA183A" w14:paraId="4E420B02" w14:textId="77777777">
        <w:tc>
          <w:tcPr>
            <w:tcW w:w="4080" w:type="dxa"/>
            <w:shd w:val="clear" w:color="auto" w:fill="FFFFFF"/>
            <w:tcMar>
              <w:top w:w="40" w:type="dxa"/>
              <w:left w:w="100" w:type="dxa"/>
              <w:bottom w:w="40" w:type="dxa"/>
              <w:right w:w="100" w:type="dxa"/>
            </w:tcMar>
            <w:vAlign w:val="center"/>
          </w:tcPr>
          <w:p w14:paraId="45A3BB88" w14:textId="77777777" w:rsidR="00BA183A" w:rsidRDefault="00000000">
            <w:pPr>
              <w:spacing w:before="20" w:after="20"/>
            </w:pPr>
            <w:r>
              <w:rPr>
                <w:color w:val="1A1A1A"/>
                <w:sz w:val="18"/>
                <w:szCs w:val="18"/>
              </w:rPr>
              <w:t>Licence and ratings maintenance</w:t>
            </w:r>
          </w:p>
        </w:tc>
        <w:tc>
          <w:tcPr>
            <w:tcW w:w="2880" w:type="dxa"/>
            <w:shd w:val="clear" w:color="auto" w:fill="FFFFFF"/>
            <w:tcMar>
              <w:top w:w="40" w:type="dxa"/>
              <w:left w:w="100" w:type="dxa"/>
              <w:bottom w:w="40" w:type="dxa"/>
              <w:right w:w="100" w:type="dxa"/>
            </w:tcMar>
            <w:vAlign w:val="center"/>
          </w:tcPr>
          <w:p w14:paraId="355E3436"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7A05DED2" w14:textId="77777777" w:rsidR="00BA183A" w:rsidRDefault="00000000">
            <w:pPr>
              <w:spacing w:before="20" w:after="20"/>
            </w:pPr>
            <w:r>
              <w:rPr>
                <w:color w:val="1A1A1A"/>
                <w:sz w:val="18"/>
                <w:szCs w:val="18"/>
              </w:rPr>
              <w:t>Franchise / rating linkage</w:t>
            </w:r>
          </w:p>
        </w:tc>
      </w:tr>
      <w:tr w:rsidR="00BA183A" w14:paraId="454579D4" w14:textId="77777777">
        <w:tc>
          <w:tcPr>
            <w:tcW w:w="4080" w:type="dxa"/>
            <w:shd w:val="clear" w:color="auto" w:fill="FFFFFF"/>
            <w:tcMar>
              <w:top w:w="40" w:type="dxa"/>
              <w:left w:w="100" w:type="dxa"/>
              <w:bottom w:w="40" w:type="dxa"/>
              <w:right w:w="100" w:type="dxa"/>
            </w:tcMar>
            <w:vAlign w:val="center"/>
          </w:tcPr>
          <w:p w14:paraId="56AD3B25" w14:textId="77777777" w:rsidR="00BA183A" w:rsidRDefault="00000000">
            <w:pPr>
              <w:spacing w:before="20" w:after="20"/>
            </w:pPr>
            <w:r>
              <w:rPr>
                <w:color w:val="1A1A1A"/>
                <w:sz w:val="18"/>
                <w:szCs w:val="18"/>
              </w:rPr>
              <w:lastRenderedPageBreak/>
              <w:t>Negative pledge / pari passu / cross-default</w:t>
            </w:r>
          </w:p>
        </w:tc>
        <w:tc>
          <w:tcPr>
            <w:tcW w:w="2880" w:type="dxa"/>
            <w:shd w:val="clear" w:color="auto" w:fill="FFFFFF"/>
            <w:tcMar>
              <w:top w:w="40" w:type="dxa"/>
              <w:left w:w="100" w:type="dxa"/>
              <w:bottom w:w="40" w:type="dxa"/>
              <w:right w:w="100" w:type="dxa"/>
            </w:tcMar>
            <w:vAlign w:val="center"/>
          </w:tcPr>
          <w:p w14:paraId="4EC2D81A"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23E9393C" w14:textId="77777777" w:rsidR="00BA183A" w:rsidRDefault="00000000">
            <w:pPr>
              <w:spacing w:before="20" w:after="20"/>
            </w:pPr>
            <w:r>
              <w:rPr>
                <w:color w:val="1A1A1A"/>
                <w:sz w:val="18"/>
                <w:szCs w:val="18"/>
              </w:rPr>
              <w:t>Market standard</w:t>
            </w:r>
          </w:p>
        </w:tc>
      </w:tr>
      <w:tr w:rsidR="00BA183A" w14:paraId="57DE8B27" w14:textId="77777777">
        <w:tc>
          <w:tcPr>
            <w:tcW w:w="4080" w:type="dxa"/>
            <w:shd w:val="clear" w:color="auto" w:fill="FFFFFF"/>
            <w:tcMar>
              <w:top w:w="40" w:type="dxa"/>
              <w:left w:w="100" w:type="dxa"/>
              <w:bottom w:w="40" w:type="dxa"/>
              <w:right w:w="100" w:type="dxa"/>
            </w:tcMar>
            <w:vAlign w:val="center"/>
          </w:tcPr>
          <w:p w14:paraId="155F9B5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0FD77D4D"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58EEAFE3" w14:textId="77777777" w:rsidR="00BA183A" w:rsidRDefault="00000000">
            <w:pPr>
              <w:spacing w:before="20" w:after="20"/>
            </w:pPr>
            <w:r>
              <w:rPr>
                <w:color w:val="1A1A1A"/>
                <w:sz w:val="18"/>
                <w:szCs w:val="18"/>
              </w:rPr>
              <w:t>Compliance / regulatory</w:t>
            </w:r>
          </w:p>
        </w:tc>
      </w:tr>
    </w:tbl>
    <w:p w14:paraId="0F8D4265"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3938CD6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532C7814"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6C076FAE"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74544CEF"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61186E39"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0149753A"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7A22D07D"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24A541E0"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72DCF421" w14:textId="77777777" w:rsidR="00BA183A" w:rsidRDefault="00000000">
      <w:pPr>
        <w:spacing w:before="280" w:after="120"/>
      </w:pPr>
      <w:r>
        <w:rPr>
          <w:b/>
          <w:bCs/>
          <w:color w:val="1A3A5C"/>
          <w:sz w:val="24"/>
          <w:szCs w:val="24"/>
        </w:rPr>
        <w:t>Part 8. Transaction Details</w:t>
      </w:r>
    </w:p>
    <w:p w14:paraId="218E9A50" w14:textId="77777777" w:rsidR="00BA183A" w:rsidRDefault="00000000">
      <w:pPr>
        <w:pBdr>
          <w:bottom w:val="single" w:sz="4" w:space="2" w:color="2E6DA4"/>
        </w:pBdr>
        <w:spacing w:before="200" w:after="80"/>
      </w:pPr>
      <w:r>
        <w:rPr>
          <w:b/>
          <w:bCs/>
          <w:color w:val="2E6DA4"/>
          <w:sz w:val="22"/>
          <w:szCs w:val="22"/>
        </w:rPr>
        <w:t>8.1 Cost-Income Analysis</w:t>
      </w:r>
    </w:p>
    <w:p w14:paraId="76C2C082"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1.87% per annum. Figures are indicative and remain subject to confirmation by Treasury / FID.</w:t>
      </w:r>
    </w:p>
    <w:p w14:paraId="28602613" w14:textId="77777777" w:rsidR="00BA183A" w:rsidRDefault="00000000">
      <w:pPr>
        <w:spacing w:before="60" w:after="80"/>
      </w:pPr>
      <w:r>
        <w:rPr>
          <w:color w:val="1A1A1A"/>
        </w:rPr>
        <w:t>Loan yield (fixed): 3.80% per annum (380 bps).</w:t>
      </w:r>
    </w:p>
    <w:p w14:paraId="0BA181A5" w14:textId="77777777" w:rsidR="00BA183A" w:rsidRDefault="00000000">
      <w:pPr>
        <w:spacing w:before="60" w:after="80"/>
      </w:pPr>
      <w:r>
        <w:rPr>
          <w:color w:val="1A1A1A"/>
        </w:rPr>
        <w:t>Cost of funds (3-year CNH): 1.87% per annum (187 bps).</w:t>
      </w:r>
    </w:p>
    <w:p w14:paraId="4DF74925" w14:textId="77777777" w:rsidR="00BA183A" w:rsidRDefault="00000000">
      <w:pPr>
        <w:spacing w:before="60" w:after="80"/>
      </w:pPr>
      <w:r>
        <w:rPr>
          <w:color w:val="1A1A1A"/>
        </w:rPr>
        <w:t>Net interest spread: 3.80% - 1.87% = 1.93% per annum (193 bps).</w:t>
      </w:r>
    </w:p>
    <w:p w14:paraId="22BDDEBE" w14:textId="77777777" w:rsidR="00BA183A" w:rsidRDefault="00000000">
      <w:pPr>
        <w:spacing w:before="60" w:after="80"/>
      </w:pPr>
      <w:r>
        <w:rPr>
          <w:color w:val="1A1A1A"/>
        </w:rPr>
        <w:t>Upfront fee: 0.60% flat on the committed amount (one-time).</w:t>
      </w:r>
    </w:p>
    <w:p w14:paraId="6916F1BE"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3044F43F" w14:textId="77777777" w:rsidR="00BA183A" w:rsidRDefault="00000000">
      <w:pPr>
        <w:spacing w:before="60" w:after="80"/>
      </w:pPr>
      <w:r>
        <w:rPr>
          <w:color w:val="1A1A1A"/>
        </w:rPr>
        <w:t>Net income to ICBC (DIFC Branch): approximately 1.93% per annum (net interest spread), plus the 0.60% upfront fee.</w:t>
      </w:r>
    </w:p>
    <w:p w14:paraId="605ACFC7" w14:textId="77777777" w:rsidR="00BA183A" w:rsidRDefault="00000000">
      <w:pPr>
        <w:spacing w:before="60" w:after="80"/>
      </w:pPr>
      <w:r>
        <w:rPr>
          <w:color w:val="1A1A1A"/>
        </w:rPr>
        <w:t>Applied to the CNH 300 million commitment: net interest income of approximately CNH 5.8 million per annum (CNH 300 million x 1.93%), plus an upfront fee of approximately CNH 1.8 million (CNH 300 million x 0.60%). Over the three-year tenor this totals approximately CNH 19.2 million (about CNH 6.4 million per annum equivalent), or approximately USD 2.7 million in aggregate (around USD 0.9 million per annum) at an indicative rate of CNH 7.2 per USD. Final figures depend on the confirmed committed amount, drawn balances and cost of funds.</w:t>
      </w:r>
    </w:p>
    <w:p w14:paraId="16E1FCA8" w14:textId="77777777" w:rsidR="0059742E" w:rsidRDefault="00C764C0">
      <w:pPr>
        <w:spacing w:before="100" w:after="60"/>
      </w:pPr>
      <w:r>
        <w:rPr>
          <w:b/>
          <w:bCs/>
        </w:rPr>
        <w:lastRenderedPageBreak/>
        <w:t>Relationship Manager:</w:t>
      </w:r>
      <w:r>
        <w:t xml:space="preserve"> Hanfang Bao</w:t>
      </w:r>
    </w:p>
    <w:p w14:paraId="76A67A11" w14:textId="77777777" w:rsidR="0059742E" w:rsidRDefault="00C764C0">
      <w:pPr>
        <w:spacing w:before="60" w:after="60"/>
      </w:pPr>
      <w:r>
        <w:rPr>
          <w:b/>
          <w:bCs/>
        </w:rPr>
        <w:t>Primary Responsible Person of Operation:</w:t>
      </w:r>
      <w:r>
        <w:t xml:space="preserve"> [Name]</w:t>
      </w:r>
    </w:p>
    <w:p w14:paraId="6BA5D17D" w14:textId="77777777" w:rsidR="0059742E" w:rsidRDefault="00C764C0">
      <w:pPr>
        <w:spacing w:before="120" w:after="40"/>
      </w:pPr>
      <w:r>
        <w:rPr>
          <w:b/>
          <w:bCs/>
          <w:color w:val="1A3A5C"/>
        </w:rPr>
        <w:t>Financial Institution Department</w:t>
      </w:r>
    </w:p>
    <w:p w14:paraId="5362973A" w14:textId="77777777" w:rsidR="0059742E" w:rsidRDefault="00C764C0">
      <w:pPr>
        <w:spacing w:before="40" w:after="40"/>
      </w:pPr>
      <w:r>
        <w:rPr>
          <w:color w:val="555555"/>
        </w:rPr>
        <w:t>April 2026</w:t>
      </w:r>
    </w:p>
    <w:p w14:paraId="08507ECA"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5159E984" w14:textId="77777777">
        <w:tc>
          <w:tcPr>
            <w:tcW w:w="10080" w:type="dxa"/>
            <w:gridSpan w:val="3"/>
            <w:shd w:val="clear" w:color="auto" w:fill="FFFFFF"/>
            <w:tcMar>
              <w:top w:w="40" w:type="dxa"/>
              <w:left w:w="100" w:type="dxa"/>
              <w:bottom w:w="40" w:type="dxa"/>
              <w:right w:w="100" w:type="dxa"/>
            </w:tcMar>
            <w:vAlign w:val="center"/>
          </w:tcPr>
          <w:p w14:paraId="131CC262" w14:textId="77777777" w:rsidR="00BA183A" w:rsidRDefault="00000000">
            <w:pPr>
              <w:spacing w:before="20" w:after="20"/>
            </w:pPr>
            <w:r>
              <w:rPr>
                <w:b/>
                <w:bCs/>
                <w:color w:val="1A1A1A"/>
                <w:sz w:val="18"/>
                <w:szCs w:val="18"/>
              </w:rPr>
              <w:t>Date:</w:t>
            </w:r>
          </w:p>
        </w:tc>
      </w:tr>
      <w:tr w:rsidR="00BA183A" w14:paraId="0B708ABF" w14:textId="77777777">
        <w:tc>
          <w:tcPr>
            <w:tcW w:w="3360" w:type="dxa"/>
            <w:shd w:val="clear" w:color="auto" w:fill="FFFFFF"/>
            <w:tcMar>
              <w:top w:w="40" w:type="dxa"/>
              <w:left w:w="100" w:type="dxa"/>
              <w:bottom w:w="40" w:type="dxa"/>
              <w:right w:w="100" w:type="dxa"/>
            </w:tcMar>
            <w:vAlign w:val="center"/>
          </w:tcPr>
          <w:p w14:paraId="01604479"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652F8F6D"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6C9E2EA6" w14:textId="77777777" w:rsidR="00BA183A" w:rsidRDefault="00000000">
            <w:pPr>
              <w:spacing w:before="20" w:after="20"/>
              <w:jc w:val="center"/>
            </w:pPr>
            <w:r>
              <w:rPr>
                <w:color w:val="1A1A1A"/>
                <w:sz w:val="18"/>
                <w:szCs w:val="18"/>
              </w:rPr>
              <w:t>[Name]</w:t>
            </w:r>
          </w:p>
        </w:tc>
      </w:tr>
      <w:tr w:rsidR="00BA183A" w14:paraId="7B07C80B" w14:textId="77777777">
        <w:tc>
          <w:tcPr>
            <w:tcW w:w="3360" w:type="dxa"/>
            <w:shd w:val="clear" w:color="auto" w:fill="FFFFFF"/>
            <w:tcMar>
              <w:top w:w="40" w:type="dxa"/>
              <w:left w:w="100" w:type="dxa"/>
              <w:bottom w:w="40" w:type="dxa"/>
              <w:right w:w="100" w:type="dxa"/>
            </w:tcMar>
            <w:vAlign w:val="center"/>
          </w:tcPr>
          <w:p w14:paraId="77877F59"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242D81DA"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0DB603E" w14:textId="77777777" w:rsidR="00BA183A" w:rsidRDefault="00000000">
            <w:pPr>
              <w:spacing w:before="20" w:after="20"/>
              <w:jc w:val="center"/>
            </w:pPr>
            <w:r>
              <w:rPr>
                <w:b/>
                <w:bCs/>
                <w:color w:val="1A1A1A"/>
                <w:sz w:val="18"/>
                <w:szCs w:val="18"/>
              </w:rPr>
              <w:t>Head of FID</w:t>
            </w:r>
          </w:p>
        </w:tc>
      </w:tr>
    </w:tbl>
    <w:p w14:paraId="74923D90"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E98DE" w14:textId="77777777" w:rsidR="004A709D" w:rsidRDefault="004A709D">
      <w:r>
        <w:separator/>
      </w:r>
    </w:p>
  </w:endnote>
  <w:endnote w:type="continuationSeparator" w:id="0">
    <w:p w14:paraId="08197864" w14:textId="77777777" w:rsidR="004A709D" w:rsidRDefault="004A70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69343"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B520"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DC68"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E49C1" w14:textId="77777777" w:rsidR="004A709D" w:rsidRDefault="004A709D">
      <w:r>
        <w:separator/>
      </w:r>
    </w:p>
  </w:footnote>
  <w:footnote w:type="continuationSeparator" w:id="0">
    <w:p w14:paraId="6BA7096A" w14:textId="77777777" w:rsidR="004A709D" w:rsidRDefault="004A70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4AE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FE5C"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67940A4D"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43E8"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4A709D"/>
    <w:rsid w:val="0059742E"/>
    <w:rsid w:val="00621933"/>
    <w:rsid w:val="00641795"/>
    <w:rsid w:val="00697AFE"/>
    <w:rsid w:val="00797A0F"/>
    <w:rsid w:val="007D5564"/>
    <w:rsid w:val="008A42A1"/>
    <w:rsid w:val="009B67B8"/>
    <w:rsid w:val="00AF2393"/>
    <w:rsid w:val="00B12049"/>
    <w:rsid w:val="00B838A5"/>
    <w:rsid w:val="00BA183A"/>
    <w:rsid w:val="00BF0343"/>
    <w:rsid w:val="00C0561B"/>
    <w:rsid w:val="00C764C0"/>
    <w:rsid w:val="00CB4D8B"/>
    <w:rsid w:val="00CF198A"/>
    <w:rsid w:val="00DA0764"/>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3F317"/>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21</Pages>
  <Words>8729</Words>
  <Characters>49760</Characters>
  <Application>Microsoft Office Word</Application>
  <DocSecurity>0</DocSecurity>
  <Lines>414</Lines>
  <Paragraphs>116</Paragraphs>
  <ScaleCrop>false</ScaleCrop>
  <Company/>
  <LinksUpToDate>false</LinksUpToDate>
  <CharactersWithSpaces>58373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2026-06-16T07:55:00Z</dcterms:created>
  <dcterms:modified xsi:type="dcterms:W3CDTF">2026-06-16T07:55:00Z</dcterms:modified>
</cp:coreProperties>
</file>