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13A2E" w14:textId="77777777" w:rsidR="0059742E" w:rsidRDefault="00C764C0">
      <w:pPr>
        <w:spacing w:after="40"/>
      </w:pPr>
      <w:r>
        <w:rPr>
          <w:b/>
          <w:bCs/>
          <w:color w:val="1A3A5C"/>
          <w:sz w:val="32"/>
          <w:szCs w:val="32"/>
        </w:rPr>
        <w:t>JSC National Bank for Foreign Economic Activity of the Republic of Uzbekistan ("Borrower" or "NBU")</w:t>
      </w:r>
    </w:p>
    <w:p w14:paraId="21B1C490" w14:textId="77777777" w:rsidR="00BA183A" w:rsidRDefault="00000000">
      <w:pPr>
        <w:spacing w:before="280" w:after="120"/>
      </w:pPr>
      <w:r>
        <w:rPr>
          <w:b/>
          <w:bCs/>
          <w:color w:val="1A3A5C"/>
          <w:sz w:val="26"/>
          <w:szCs w:val="26"/>
        </w:rPr>
        <w:t>Transaction Summary</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2100"/>
        <w:gridCol w:w="2940"/>
        <w:gridCol w:w="2100"/>
        <w:gridCol w:w="2940"/>
      </w:tblGrid>
      <w:tr w:rsidR="00BA183A" w14:paraId="710DC282" w14:textId="77777777">
        <w:tc>
          <w:tcPr>
            <w:tcW w:w="2100" w:type="dxa"/>
            <w:shd w:val="clear" w:color="auto" w:fill="FFFFFF"/>
            <w:tcMar>
              <w:top w:w="40" w:type="dxa"/>
              <w:left w:w="100" w:type="dxa"/>
              <w:bottom w:w="40" w:type="dxa"/>
              <w:right w:w="100" w:type="dxa"/>
            </w:tcMar>
            <w:vAlign w:val="center"/>
          </w:tcPr>
          <w:p w14:paraId="3BCE9796" w14:textId="77777777" w:rsidR="00BA183A" w:rsidRDefault="00000000">
            <w:pPr>
              <w:spacing w:before="20" w:after="20"/>
            </w:pPr>
            <w:r>
              <w:rPr>
                <w:b/>
                <w:bCs/>
                <w:color w:val="1A3A5C"/>
                <w:sz w:val="18"/>
                <w:szCs w:val="18"/>
              </w:rPr>
              <w:t>Name of Customer</w:t>
            </w:r>
          </w:p>
        </w:tc>
        <w:tc>
          <w:tcPr>
            <w:tcW w:w="2940" w:type="dxa"/>
            <w:shd w:val="clear" w:color="auto" w:fill="FFFFFF"/>
            <w:tcMar>
              <w:top w:w="40" w:type="dxa"/>
              <w:left w:w="100" w:type="dxa"/>
              <w:bottom w:w="40" w:type="dxa"/>
              <w:right w:w="100" w:type="dxa"/>
            </w:tcMar>
            <w:vAlign w:val="center"/>
          </w:tcPr>
          <w:p w14:paraId="7F9A3612" w14:textId="77777777" w:rsidR="00BA183A" w:rsidRDefault="00000000">
            <w:pPr>
              <w:spacing w:before="20" w:after="20"/>
            </w:pPr>
            <w:r>
              <w:rPr>
                <w:color w:val="1A1A1A"/>
                <w:sz w:val="18"/>
                <w:szCs w:val="18"/>
              </w:rPr>
              <w:t>JSC National Bank for Foreign Economic Activity of the Republic of Uzbekistan ("NBU")</w:t>
            </w:r>
          </w:p>
        </w:tc>
        <w:tc>
          <w:tcPr>
            <w:tcW w:w="2100" w:type="dxa"/>
            <w:shd w:val="clear" w:color="auto" w:fill="FFFFFF"/>
            <w:tcMar>
              <w:top w:w="40" w:type="dxa"/>
              <w:left w:w="100" w:type="dxa"/>
              <w:bottom w:w="40" w:type="dxa"/>
              <w:right w:w="100" w:type="dxa"/>
            </w:tcMar>
            <w:vAlign w:val="center"/>
          </w:tcPr>
          <w:p w14:paraId="5A1955E9" w14:textId="77777777" w:rsidR="00BA183A" w:rsidRDefault="00000000">
            <w:pPr>
              <w:spacing w:before="20" w:after="20"/>
            </w:pPr>
            <w:r>
              <w:rPr>
                <w:b/>
                <w:bCs/>
                <w:color w:val="1A3A5C"/>
                <w:sz w:val="18"/>
                <w:szCs w:val="18"/>
              </w:rPr>
              <w:t>Total Assets (Dec 2025)</w:t>
            </w:r>
          </w:p>
        </w:tc>
        <w:tc>
          <w:tcPr>
            <w:tcW w:w="2940" w:type="dxa"/>
            <w:shd w:val="clear" w:color="auto" w:fill="FFFFFF"/>
            <w:tcMar>
              <w:top w:w="40" w:type="dxa"/>
              <w:left w:w="100" w:type="dxa"/>
              <w:bottom w:w="40" w:type="dxa"/>
              <w:right w:w="100" w:type="dxa"/>
            </w:tcMar>
            <w:vAlign w:val="center"/>
          </w:tcPr>
          <w:p w14:paraId="1901B1C6" w14:textId="77777777" w:rsidR="00BA183A" w:rsidRDefault="00000000">
            <w:pPr>
              <w:spacing w:before="20" w:after="20"/>
            </w:pPr>
            <w:r>
              <w:rPr>
                <w:color w:val="1A1A1A"/>
                <w:sz w:val="18"/>
                <w:szCs w:val="18"/>
              </w:rPr>
              <w:t>UZS 144.7 trillion (~USD 11.9 billion)</w:t>
            </w:r>
          </w:p>
        </w:tc>
      </w:tr>
      <w:tr w:rsidR="00BA183A" w14:paraId="19745AE4" w14:textId="77777777">
        <w:tc>
          <w:tcPr>
            <w:tcW w:w="2100" w:type="dxa"/>
            <w:shd w:val="clear" w:color="auto" w:fill="FFFFFF"/>
            <w:tcMar>
              <w:top w:w="40" w:type="dxa"/>
              <w:left w:w="100" w:type="dxa"/>
              <w:bottom w:w="40" w:type="dxa"/>
              <w:right w:w="100" w:type="dxa"/>
            </w:tcMar>
            <w:vAlign w:val="center"/>
          </w:tcPr>
          <w:p w14:paraId="37EBDD4E" w14:textId="77777777" w:rsidR="00BA183A" w:rsidRDefault="00000000">
            <w:pPr>
              <w:spacing w:before="20" w:after="20"/>
            </w:pPr>
            <w:r>
              <w:rPr>
                <w:b/>
                <w:bCs/>
                <w:color w:val="1A3A5C"/>
                <w:sz w:val="18"/>
                <w:szCs w:val="18"/>
              </w:rPr>
              <w:t>Top Shareholder</w:t>
            </w:r>
          </w:p>
        </w:tc>
        <w:tc>
          <w:tcPr>
            <w:tcW w:w="2940" w:type="dxa"/>
            <w:shd w:val="clear" w:color="auto" w:fill="FFFFFF"/>
            <w:tcMar>
              <w:top w:w="40" w:type="dxa"/>
              <w:left w:w="100" w:type="dxa"/>
              <w:bottom w:w="40" w:type="dxa"/>
              <w:right w:w="100" w:type="dxa"/>
            </w:tcMar>
            <w:vAlign w:val="center"/>
          </w:tcPr>
          <w:p w14:paraId="6E95B859" w14:textId="77777777" w:rsidR="00BA183A" w:rsidRDefault="00000000">
            <w:pPr>
              <w:spacing w:before="20" w:after="20"/>
            </w:pPr>
            <w:r>
              <w:rPr>
                <w:color w:val="1A1A1A"/>
                <w:sz w:val="18"/>
                <w:szCs w:val="18"/>
              </w:rPr>
              <w:t>Ministry of Economy and Finance of the Republic of Uzbekistan</w:t>
            </w:r>
          </w:p>
        </w:tc>
        <w:tc>
          <w:tcPr>
            <w:tcW w:w="2100" w:type="dxa"/>
            <w:shd w:val="clear" w:color="auto" w:fill="FFFFFF"/>
            <w:tcMar>
              <w:top w:w="40" w:type="dxa"/>
              <w:left w:w="100" w:type="dxa"/>
              <w:bottom w:w="40" w:type="dxa"/>
              <w:right w:w="100" w:type="dxa"/>
            </w:tcMar>
            <w:vAlign w:val="center"/>
          </w:tcPr>
          <w:p w14:paraId="00CE2553" w14:textId="77777777" w:rsidR="00BA183A" w:rsidRDefault="00000000">
            <w:pPr>
              <w:spacing w:before="20" w:after="20"/>
            </w:pPr>
            <w:r>
              <w:rPr>
                <w:b/>
                <w:bCs/>
                <w:color w:val="1A3A5C"/>
                <w:sz w:val="18"/>
                <w:szCs w:val="18"/>
              </w:rPr>
              <w:t>Total Equity (Dec 2025)</w:t>
            </w:r>
          </w:p>
        </w:tc>
        <w:tc>
          <w:tcPr>
            <w:tcW w:w="2940" w:type="dxa"/>
            <w:shd w:val="clear" w:color="auto" w:fill="FFFFFF"/>
            <w:tcMar>
              <w:top w:w="40" w:type="dxa"/>
              <w:left w:w="100" w:type="dxa"/>
              <w:bottom w:w="40" w:type="dxa"/>
              <w:right w:w="100" w:type="dxa"/>
            </w:tcMar>
            <w:vAlign w:val="center"/>
          </w:tcPr>
          <w:p w14:paraId="7F7A7F58" w14:textId="77777777" w:rsidR="00BA183A" w:rsidRDefault="00000000">
            <w:pPr>
              <w:spacing w:before="20" w:after="20"/>
            </w:pPr>
            <w:r>
              <w:rPr>
                <w:color w:val="1A1A1A"/>
                <w:sz w:val="18"/>
                <w:szCs w:val="18"/>
              </w:rPr>
              <w:t>UZS 19.97 trillion (~USD 1.64 billion)</w:t>
            </w:r>
          </w:p>
        </w:tc>
      </w:tr>
      <w:tr w:rsidR="00BA183A" w14:paraId="2CF29EE0" w14:textId="77777777">
        <w:tc>
          <w:tcPr>
            <w:tcW w:w="2100" w:type="dxa"/>
            <w:shd w:val="clear" w:color="auto" w:fill="FFFFFF"/>
            <w:tcMar>
              <w:top w:w="40" w:type="dxa"/>
              <w:left w:w="100" w:type="dxa"/>
              <w:bottom w:w="40" w:type="dxa"/>
              <w:right w:w="100" w:type="dxa"/>
            </w:tcMar>
            <w:vAlign w:val="center"/>
          </w:tcPr>
          <w:p w14:paraId="1FCFAEE0" w14:textId="77777777" w:rsidR="00BA183A" w:rsidRDefault="00000000">
            <w:pPr>
              <w:spacing w:before="20" w:after="20"/>
            </w:pPr>
            <w:r>
              <w:rPr>
                <w:b/>
                <w:bCs/>
                <w:color w:val="1A3A5C"/>
                <w:sz w:val="18"/>
                <w:szCs w:val="18"/>
              </w:rPr>
              <w:t>Ultimate Shareholder</w:t>
            </w:r>
          </w:p>
        </w:tc>
        <w:tc>
          <w:tcPr>
            <w:tcW w:w="2940" w:type="dxa"/>
            <w:shd w:val="clear" w:color="auto" w:fill="FFFFFF"/>
            <w:tcMar>
              <w:top w:w="40" w:type="dxa"/>
              <w:left w:w="100" w:type="dxa"/>
              <w:bottom w:w="40" w:type="dxa"/>
              <w:right w:w="100" w:type="dxa"/>
            </w:tcMar>
            <w:vAlign w:val="center"/>
          </w:tcPr>
          <w:p w14:paraId="7D749D3D" w14:textId="77777777" w:rsidR="00BA183A" w:rsidRDefault="00000000">
            <w:pPr>
              <w:spacing w:before="20" w:after="20"/>
            </w:pPr>
            <w:r>
              <w:rPr>
                <w:color w:val="1A1A1A"/>
                <w:sz w:val="18"/>
                <w:szCs w:val="18"/>
              </w:rPr>
              <w:t>Government of the Republic of Uzbekistan (100% state-owned)</w:t>
            </w:r>
          </w:p>
        </w:tc>
        <w:tc>
          <w:tcPr>
            <w:tcW w:w="2100" w:type="dxa"/>
            <w:shd w:val="clear" w:color="auto" w:fill="FFFFFF"/>
            <w:tcMar>
              <w:top w:w="40" w:type="dxa"/>
              <w:left w:w="100" w:type="dxa"/>
              <w:bottom w:w="40" w:type="dxa"/>
              <w:right w:w="100" w:type="dxa"/>
            </w:tcMar>
            <w:vAlign w:val="center"/>
          </w:tcPr>
          <w:p w14:paraId="7DC13381" w14:textId="77777777" w:rsidR="00BA183A" w:rsidRDefault="00000000">
            <w:pPr>
              <w:spacing w:before="20" w:after="20"/>
            </w:pPr>
            <w:r>
              <w:rPr>
                <w:b/>
                <w:bCs/>
                <w:color w:val="1A3A5C"/>
                <w:sz w:val="18"/>
                <w:szCs w:val="18"/>
              </w:rPr>
              <w:t>Country of Incorporation</w:t>
            </w:r>
          </w:p>
        </w:tc>
        <w:tc>
          <w:tcPr>
            <w:tcW w:w="2940" w:type="dxa"/>
            <w:shd w:val="clear" w:color="auto" w:fill="FFFFFF"/>
            <w:tcMar>
              <w:top w:w="40" w:type="dxa"/>
              <w:left w:w="100" w:type="dxa"/>
              <w:bottom w:w="40" w:type="dxa"/>
              <w:right w:w="100" w:type="dxa"/>
            </w:tcMar>
            <w:vAlign w:val="center"/>
          </w:tcPr>
          <w:p w14:paraId="77E1CFED" w14:textId="77777777" w:rsidR="00BA183A" w:rsidRDefault="00000000">
            <w:pPr>
              <w:spacing w:before="20" w:after="20"/>
            </w:pPr>
            <w:r>
              <w:rPr>
                <w:color w:val="1A1A1A"/>
                <w:sz w:val="18"/>
                <w:szCs w:val="18"/>
              </w:rPr>
              <w:t>Republic of Uzbekistan</w:t>
            </w:r>
          </w:p>
        </w:tc>
      </w:tr>
      <w:tr w:rsidR="00BA183A" w14:paraId="3069D729" w14:textId="77777777">
        <w:tc>
          <w:tcPr>
            <w:tcW w:w="2100" w:type="dxa"/>
            <w:shd w:val="clear" w:color="auto" w:fill="FFFFFF"/>
            <w:tcMar>
              <w:top w:w="40" w:type="dxa"/>
              <w:left w:w="100" w:type="dxa"/>
              <w:bottom w:w="40" w:type="dxa"/>
              <w:right w:w="100" w:type="dxa"/>
            </w:tcMar>
            <w:vAlign w:val="center"/>
          </w:tcPr>
          <w:p w14:paraId="72C5C0E0" w14:textId="77777777" w:rsidR="00BA183A" w:rsidRDefault="00000000">
            <w:pPr>
              <w:spacing w:before="20" w:after="20"/>
            </w:pPr>
            <w:r>
              <w:rPr>
                <w:b/>
                <w:bCs/>
                <w:color w:val="1A3A5C"/>
                <w:sz w:val="18"/>
                <w:szCs w:val="18"/>
              </w:rPr>
              <w:t>Credit Rating &amp; Outlook</w:t>
            </w:r>
          </w:p>
        </w:tc>
        <w:tc>
          <w:tcPr>
            <w:tcW w:w="2940" w:type="dxa"/>
            <w:shd w:val="clear" w:color="auto" w:fill="FFFFFF"/>
            <w:tcMar>
              <w:top w:w="40" w:type="dxa"/>
              <w:left w:w="100" w:type="dxa"/>
              <w:bottom w:w="40" w:type="dxa"/>
              <w:right w:w="100" w:type="dxa"/>
            </w:tcMar>
            <w:vAlign w:val="center"/>
          </w:tcPr>
          <w:p w14:paraId="278558D9" w14:textId="77777777" w:rsidR="00BA183A" w:rsidRDefault="00000000">
            <w:pPr>
              <w:spacing w:before="20" w:after="20"/>
            </w:pPr>
            <w:r>
              <w:rPr>
                <w:color w:val="1A1A1A"/>
                <w:sz w:val="18"/>
                <w:szCs w:val="18"/>
              </w:rPr>
              <w:t>Moody's Ba3/Stable; S&amp;P BB-/Stable; Fitch BB/Stable</w:t>
            </w:r>
          </w:p>
        </w:tc>
        <w:tc>
          <w:tcPr>
            <w:tcW w:w="2100" w:type="dxa"/>
            <w:shd w:val="clear" w:color="auto" w:fill="FFFFFF"/>
            <w:tcMar>
              <w:top w:w="40" w:type="dxa"/>
              <w:left w:w="100" w:type="dxa"/>
              <w:bottom w:w="40" w:type="dxa"/>
              <w:right w:w="100" w:type="dxa"/>
            </w:tcMar>
            <w:vAlign w:val="center"/>
          </w:tcPr>
          <w:p w14:paraId="41AE3FE5" w14:textId="77777777" w:rsidR="00BA183A" w:rsidRDefault="00000000">
            <w:pPr>
              <w:spacing w:before="20" w:after="20"/>
            </w:pPr>
            <w:r>
              <w:rPr>
                <w:b/>
                <w:bCs/>
                <w:color w:val="1A3A5C"/>
                <w:sz w:val="18"/>
                <w:szCs w:val="18"/>
              </w:rPr>
              <w:t>Auditor</w:t>
            </w:r>
          </w:p>
        </w:tc>
        <w:tc>
          <w:tcPr>
            <w:tcW w:w="2940" w:type="dxa"/>
            <w:shd w:val="clear" w:color="auto" w:fill="FFFFFF"/>
            <w:tcMar>
              <w:top w:w="40" w:type="dxa"/>
              <w:left w:w="100" w:type="dxa"/>
              <w:bottom w:w="40" w:type="dxa"/>
              <w:right w:w="100" w:type="dxa"/>
            </w:tcMar>
            <w:vAlign w:val="center"/>
          </w:tcPr>
          <w:p w14:paraId="54D5FD78" w14:textId="77777777" w:rsidR="00BA183A" w:rsidRDefault="00000000">
            <w:pPr>
              <w:spacing w:before="20" w:after="20"/>
            </w:pPr>
            <w:r>
              <w:rPr>
                <w:color w:val="1A1A1A"/>
                <w:sz w:val="18"/>
                <w:szCs w:val="18"/>
              </w:rPr>
              <w:t>Deloitte &amp; Touche</w:t>
            </w:r>
          </w:p>
        </w:tc>
      </w:tr>
    </w:tbl>
    <w:p w14:paraId="67700F51" w14:textId="77777777" w:rsidR="00BA183A" w:rsidRDefault="00000000">
      <w:pPr>
        <w:spacing w:before="120" w:after="80"/>
      </w:pPr>
      <w:r>
        <w:rPr>
          <w:color w:val="1A1A1A"/>
        </w:rPr>
        <w:t>NBU has mandated Mashreqbank psc ("Mashreq") and Bank of China (Dubai) Branch ("BOC Dubai"), together the Initial Mandated Lead Arrangers and Bookrunners (the "IMLABs"), to arrange and coordinate the syndication of a CNH-denominated senior unsecured term loan facility of up to CNH 2.0 billion (the "Facility"), launching at CNH 1.0 billion with a green-shoe option. The Facility has a three-year tenor, carries a fixed interest rate of 3.8% per annum and a 0.6% flat upfront fee, and is being documented on LMA terms. FID proposes that ICBC (DIFC Branch) participate in the Facility as a lender.</w:t>
      </w:r>
    </w:p>
    <w:p w14:paraId="510884F2" w14:textId="77777777" w:rsidR="00BA183A" w:rsidRDefault="00000000">
      <w:pPr>
        <w:spacing w:before="60" w:after="80"/>
      </w:pPr>
      <w:r>
        <w:rPr>
          <w:color w:val="1A1A1A"/>
        </w:rPr>
        <w:t>The principal facility terms are summarised below; this is a summary only and the executed term sheet and Facility Agreement prevail.</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3360"/>
        <w:gridCol w:w="6720"/>
      </w:tblGrid>
      <w:tr w:rsidR="00BA183A" w14:paraId="495F04E4" w14:textId="77777777">
        <w:tc>
          <w:tcPr>
            <w:tcW w:w="3360" w:type="dxa"/>
            <w:shd w:val="clear" w:color="auto" w:fill="2E4057"/>
            <w:tcMar>
              <w:top w:w="40" w:type="dxa"/>
              <w:left w:w="100" w:type="dxa"/>
              <w:bottom w:w="40" w:type="dxa"/>
              <w:right w:w="100" w:type="dxa"/>
            </w:tcMar>
            <w:vAlign w:val="center"/>
          </w:tcPr>
          <w:p w14:paraId="4EE10EAE" w14:textId="77777777" w:rsidR="00BA183A" w:rsidRDefault="00000000">
            <w:pPr>
              <w:spacing w:before="20" w:after="20"/>
            </w:pPr>
            <w:r>
              <w:rPr>
                <w:b/>
                <w:bCs/>
                <w:color w:val="FFFFFF"/>
                <w:sz w:val="18"/>
                <w:szCs w:val="18"/>
              </w:rPr>
              <w:t>Item</w:t>
            </w:r>
          </w:p>
        </w:tc>
        <w:tc>
          <w:tcPr>
            <w:tcW w:w="6720" w:type="dxa"/>
            <w:shd w:val="clear" w:color="auto" w:fill="2E4057"/>
            <w:tcMar>
              <w:top w:w="40" w:type="dxa"/>
              <w:left w:w="100" w:type="dxa"/>
              <w:bottom w:w="40" w:type="dxa"/>
              <w:right w:w="100" w:type="dxa"/>
            </w:tcMar>
            <w:vAlign w:val="center"/>
          </w:tcPr>
          <w:p w14:paraId="2AFD1017" w14:textId="77777777" w:rsidR="00BA183A" w:rsidRDefault="00000000">
            <w:pPr>
              <w:spacing w:before="20" w:after="20"/>
            </w:pPr>
            <w:r>
              <w:rPr>
                <w:b/>
                <w:bCs/>
                <w:color w:val="FFFFFF"/>
                <w:sz w:val="18"/>
                <w:szCs w:val="18"/>
              </w:rPr>
              <w:t>Detail (per term sheet)</w:t>
            </w:r>
          </w:p>
        </w:tc>
      </w:tr>
      <w:tr w:rsidR="00BA183A" w14:paraId="26906985" w14:textId="77777777">
        <w:tc>
          <w:tcPr>
            <w:tcW w:w="3360" w:type="dxa"/>
            <w:shd w:val="clear" w:color="auto" w:fill="FFFFFF"/>
            <w:tcMar>
              <w:top w:w="40" w:type="dxa"/>
              <w:left w:w="100" w:type="dxa"/>
              <w:bottom w:w="40" w:type="dxa"/>
              <w:right w:w="100" w:type="dxa"/>
            </w:tcMar>
            <w:vAlign w:val="center"/>
          </w:tcPr>
          <w:p w14:paraId="5D4B840E" w14:textId="77777777" w:rsidR="00BA183A" w:rsidRDefault="00000000">
            <w:pPr>
              <w:spacing w:before="20" w:after="20"/>
            </w:pPr>
            <w:r>
              <w:rPr>
                <w:b/>
                <w:bCs/>
                <w:color w:val="1A1A1A"/>
                <w:sz w:val="18"/>
                <w:szCs w:val="18"/>
              </w:rPr>
              <w:t>Borrower</w:t>
            </w:r>
          </w:p>
        </w:tc>
        <w:tc>
          <w:tcPr>
            <w:tcW w:w="6720" w:type="dxa"/>
            <w:shd w:val="clear" w:color="auto" w:fill="FFFFFF"/>
            <w:tcMar>
              <w:top w:w="40" w:type="dxa"/>
              <w:left w:w="100" w:type="dxa"/>
              <w:bottom w:w="40" w:type="dxa"/>
              <w:right w:w="100" w:type="dxa"/>
            </w:tcMar>
            <w:vAlign w:val="center"/>
          </w:tcPr>
          <w:p w14:paraId="3515F623" w14:textId="77777777" w:rsidR="00BA183A" w:rsidRDefault="00000000">
            <w:pPr>
              <w:spacing w:before="20" w:after="20"/>
            </w:pPr>
            <w:r>
              <w:rPr>
                <w:color w:val="1A1A1A"/>
                <w:sz w:val="18"/>
                <w:szCs w:val="18"/>
              </w:rPr>
              <w:t>Joint-stock Company "National Bank for Foreign Economic Activity of the Republic of Uzbekistan"</w:t>
            </w:r>
          </w:p>
        </w:tc>
      </w:tr>
      <w:tr w:rsidR="00BA183A" w14:paraId="14C9F918" w14:textId="77777777">
        <w:tc>
          <w:tcPr>
            <w:tcW w:w="3360" w:type="dxa"/>
            <w:shd w:val="clear" w:color="auto" w:fill="FFFFFF"/>
            <w:tcMar>
              <w:top w:w="40" w:type="dxa"/>
              <w:left w:w="100" w:type="dxa"/>
              <w:bottom w:w="40" w:type="dxa"/>
              <w:right w:w="100" w:type="dxa"/>
            </w:tcMar>
            <w:vAlign w:val="center"/>
          </w:tcPr>
          <w:p w14:paraId="0D2CCDC4" w14:textId="77777777" w:rsidR="00BA183A" w:rsidRDefault="00000000">
            <w:pPr>
              <w:spacing w:before="20" w:after="20"/>
            </w:pPr>
            <w:r>
              <w:rPr>
                <w:b/>
                <w:bCs/>
                <w:color w:val="1A1A1A"/>
                <w:sz w:val="18"/>
                <w:szCs w:val="18"/>
              </w:rPr>
              <w:t>Coordinators / IMLABs</w:t>
            </w:r>
          </w:p>
        </w:tc>
        <w:tc>
          <w:tcPr>
            <w:tcW w:w="6720" w:type="dxa"/>
            <w:shd w:val="clear" w:color="auto" w:fill="FFFFFF"/>
            <w:tcMar>
              <w:top w:w="40" w:type="dxa"/>
              <w:left w:w="100" w:type="dxa"/>
              <w:bottom w:w="40" w:type="dxa"/>
              <w:right w:w="100" w:type="dxa"/>
            </w:tcMar>
            <w:vAlign w:val="center"/>
          </w:tcPr>
          <w:p w14:paraId="0ADE7F65" w14:textId="77777777" w:rsidR="00BA183A" w:rsidRDefault="00000000">
            <w:pPr>
              <w:spacing w:before="20" w:after="20"/>
            </w:pPr>
            <w:r>
              <w:rPr>
                <w:color w:val="1A1A1A"/>
                <w:sz w:val="18"/>
                <w:szCs w:val="18"/>
              </w:rPr>
              <w:t>Mashreqbank psc ("Mashreq") and Bank of China (Dubai) Branch ("BOC Dubai"), together the Initial Mandated Lead Arrangers and Bookrunners</w:t>
            </w:r>
          </w:p>
        </w:tc>
      </w:tr>
      <w:tr w:rsidR="00BA183A" w14:paraId="67ED613C" w14:textId="77777777">
        <w:tc>
          <w:tcPr>
            <w:tcW w:w="3360" w:type="dxa"/>
            <w:shd w:val="clear" w:color="auto" w:fill="FFFFFF"/>
            <w:tcMar>
              <w:top w:w="40" w:type="dxa"/>
              <w:left w:w="100" w:type="dxa"/>
              <w:bottom w:w="40" w:type="dxa"/>
              <w:right w:w="100" w:type="dxa"/>
            </w:tcMar>
            <w:vAlign w:val="center"/>
          </w:tcPr>
          <w:p w14:paraId="2365D86D" w14:textId="77777777" w:rsidR="00BA183A" w:rsidRDefault="00000000">
            <w:pPr>
              <w:spacing w:before="20" w:after="20"/>
            </w:pPr>
            <w:r>
              <w:rPr>
                <w:b/>
                <w:bCs/>
                <w:color w:val="1A1A1A"/>
                <w:sz w:val="18"/>
                <w:szCs w:val="18"/>
              </w:rPr>
              <w:t>Facility Agent</w:t>
            </w:r>
          </w:p>
        </w:tc>
        <w:tc>
          <w:tcPr>
            <w:tcW w:w="6720" w:type="dxa"/>
            <w:shd w:val="clear" w:color="auto" w:fill="FFFFFF"/>
            <w:tcMar>
              <w:top w:w="40" w:type="dxa"/>
              <w:left w:w="100" w:type="dxa"/>
              <w:bottom w:w="40" w:type="dxa"/>
              <w:right w:w="100" w:type="dxa"/>
            </w:tcMar>
            <w:vAlign w:val="center"/>
          </w:tcPr>
          <w:p w14:paraId="152C84BF" w14:textId="77777777" w:rsidR="00BA183A" w:rsidRDefault="00000000">
            <w:pPr>
              <w:spacing w:before="20" w:after="20"/>
            </w:pPr>
            <w:r>
              <w:rPr>
                <w:color w:val="1A1A1A"/>
                <w:sz w:val="18"/>
                <w:szCs w:val="18"/>
              </w:rPr>
              <w:t>To be confirmed</w:t>
            </w:r>
          </w:p>
        </w:tc>
      </w:tr>
      <w:tr w:rsidR="00BA183A" w14:paraId="0A418D4B" w14:textId="77777777">
        <w:tc>
          <w:tcPr>
            <w:tcW w:w="3360" w:type="dxa"/>
            <w:shd w:val="clear" w:color="auto" w:fill="FFFFFF"/>
            <w:tcMar>
              <w:top w:w="40" w:type="dxa"/>
              <w:left w:w="100" w:type="dxa"/>
              <w:bottom w:w="40" w:type="dxa"/>
              <w:right w:w="100" w:type="dxa"/>
            </w:tcMar>
            <w:vAlign w:val="center"/>
          </w:tcPr>
          <w:p w14:paraId="18B83070" w14:textId="77777777" w:rsidR="00BA183A" w:rsidRDefault="00000000">
            <w:pPr>
              <w:spacing w:before="20" w:after="20"/>
            </w:pPr>
            <w:r>
              <w:rPr>
                <w:b/>
                <w:bCs/>
                <w:color w:val="1A1A1A"/>
                <w:sz w:val="18"/>
                <w:szCs w:val="18"/>
              </w:rPr>
              <w:t>Lenders</w:t>
            </w:r>
          </w:p>
        </w:tc>
        <w:tc>
          <w:tcPr>
            <w:tcW w:w="6720" w:type="dxa"/>
            <w:shd w:val="clear" w:color="auto" w:fill="FFFFFF"/>
            <w:tcMar>
              <w:top w:w="40" w:type="dxa"/>
              <w:left w:w="100" w:type="dxa"/>
              <w:bottom w:w="40" w:type="dxa"/>
              <w:right w:w="100" w:type="dxa"/>
            </w:tcMar>
            <w:vAlign w:val="center"/>
          </w:tcPr>
          <w:p w14:paraId="6D26F2E8" w14:textId="77777777" w:rsidR="00BA183A" w:rsidRDefault="00000000">
            <w:pPr>
              <w:spacing w:before="20" w:after="20"/>
            </w:pPr>
            <w:r>
              <w:rPr>
                <w:color w:val="1A1A1A"/>
                <w:sz w:val="18"/>
                <w:szCs w:val="18"/>
              </w:rPr>
              <w:t>A pool of banks selected by the IMLABs; ICBC (DIFC Branch) proposed to participate as a lender</w:t>
            </w:r>
          </w:p>
        </w:tc>
      </w:tr>
      <w:tr w:rsidR="00BA183A" w14:paraId="44EBBA32" w14:textId="77777777">
        <w:tc>
          <w:tcPr>
            <w:tcW w:w="3360" w:type="dxa"/>
            <w:shd w:val="clear" w:color="auto" w:fill="FFFFFF"/>
            <w:tcMar>
              <w:top w:w="40" w:type="dxa"/>
              <w:left w:w="100" w:type="dxa"/>
              <w:bottom w:w="40" w:type="dxa"/>
              <w:right w:w="100" w:type="dxa"/>
            </w:tcMar>
            <w:vAlign w:val="center"/>
          </w:tcPr>
          <w:p w14:paraId="0FD63603" w14:textId="77777777" w:rsidR="00BA183A" w:rsidRDefault="00000000">
            <w:pPr>
              <w:spacing w:before="20" w:after="20"/>
            </w:pPr>
            <w:r>
              <w:rPr>
                <w:b/>
                <w:bCs/>
                <w:color w:val="1A1A1A"/>
                <w:sz w:val="18"/>
                <w:szCs w:val="18"/>
              </w:rPr>
              <w:t>Facility Type</w:t>
            </w:r>
          </w:p>
        </w:tc>
        <w:tc>
          <w:tcPr>
            <w:tcW w:w="6720" w:type="dxa"/>
            <w:shd w:val="clear" w:color="auto" w:fill="FFFFFF"/>
            <w:tcMar>
              <w:top w:w="40" w:type="dxa"/>
              <w:left w:w="100" w:type="dxa"/>
              <w:bottom w:w="40" w:type="dxa"/>
              <w:right w:w="100" w:type="dxa"/>
            </w:tcMar>
            <w:vAlign w:val="center"/>
          </w:tcPr>
          <w:p w14:paraId="27E2DAAC" w14:textId="77777777" w:rsidR="00BA183A" w:rsidRDefault="00000000">
            <w:pPr>
              <w:spacing w:before="20" w:after="20"/>
            </w:pPr>
            <w:r>
              <w:rPr>
                <w:color w:val="1A1A1A"/>
                <w:sz w:val="18"/>
                <w:szCs w:val="18"/>
              </w:rPr>
              <w:t>Term Loan Facility; senior unsecured; documented on LMA-recommended form</w:t>
            </w:r>
          </w:p>
        </w:tc>
      </w:tr>
      <w:tr w:rsidR="00BA183A" w14:paraId="03854DEF" w14:textId="77777777">
        <w:tc>
          <w:tcPr>
            <w:tcW w:w="3360" w:type="dxa"/>
            <w:shd w:val="clear" w:color="auto" w:fill="FFFFFF"/>
            <w:tcMar>
              <w:top w:w="40" w:type="dxa"/>
              <w:left w:w="100" w:type="dxa"/>
              <w:bottom w:w="40" w:type="dxa"/>
              <w:right w:w="100" w:type="dxa"/>
            </w:tcMar>
            <w:vAlign w:val="center"/>
          </w:tcPr>
          <w:p w14:paraId="2252F578" w14:textId="77777777" w:rsidR="00BA183A" w:rsidRDefault="00000000">
            <w:pPr>
              <w:spacing w:before="20" w:after="20"/>
            </w:pPr>
            <w:r>
              <w:rPr>
                <w:b/>
                <w:bCs/>
                <w:color w:val="1A1A1A"/>
                <w:sz w:val="18"/>
                <w:szCs w:val="18"/>
              </w:rPr>
              <w:t>Amount</w:t>
            </w:r>
          </w:p>
        </w:tc>
        <w:tc>
          <w:tcPr>
            <w:tcW w:w="6720" w:type="dxa"/>
            <w:shd w:val="clear" w:color="auto" w:fill="FFFFFF"/>
            <w:tcMar>
              <w:top w:w="40" w:type="dxa"/>
              <w:left w:w="100" w:type="dxa"/>
              <w:bottom w:w="40" w:type="dxa"/>
              <w:right w:w="100" w:type="dxa"/>
            </w:tcMar>
            <w:vAlign w:val="center"/>
          </w:tcPr>
          <w:p w14:paraId="639FC63F" w14:textId="77777777" w:rsidR="00BA183A" w:rsidRDefault="00000000">
            <w:pPr>
              <w:spacing w:before="20" w:after="20"/>
            </w:pPr>
            <w:r>
              <w:rPr>
                <w:color w:val="1A1A1A"/>
                <w:sz w:val="18"/>
                <w:szCs w:val="18"/>
              </w:rPr>
              <w:t>Up to CNH 2.0 billion (launching at CNH 1.0 billion)</w:t>
            </w:r>
          </w:p>
        </w:tc>
      </w:tr>
      <w:tr w:rsidR="00BA183A" w14:paraId="1AC3509E" w14:textId="77777777">
        <w:tc>
          <w:tcPr>
            <w:tcW w:w="3360" w:type="dxa"/>
            <w:shd w:val="clear" w:color="auto" w:fill="FFFFFF"/>
            <w:tcMar>
              <w:top w:w="40" w:type="dxa"/>
              <w:left w:w="100" w:type="dxa"/>
              <w:bottom w:w="40" w:type="dxa"/>
              <w:right w:w="100" w:type="dxa"/>
            </w:tcMar>
            <w:vAlign w:val="center"/>
          </w:tcPr>
          <w:p w14:paraId="2C0B84A5" w14:textId="77777777" w:rsidR="00BA183A" w:rsidRDefault="00000000">
            <w:pPr>
              <w:spacing w:before="20" w:after="20"/>
            </w:pPr>
            <w:r>
              <w:rPr>
                <w:b/>
                <w:bCs/>
                <w:color w:val="1A1A1A"/>
                <w:sz w:val="18"/>
                <w:szCs w:val="18"/>
              </w:rPr>
              <w:t>Green-shoe Option</w:t>
            </w:r>
          </w:p>
        </w:tc>
        <w:tc>
          <w:tcPr>
            <w:tcW w:w="6720" w:type="dxa"/>
            <w:shd w:val="clear" w:color="auto" w:fill="FFFFFF"/>
            <w:tcMar>
              <w:top w:w="40" w:type="dxa"/>
              <w:left w:w="100" w:type="dxa"/>
              <w:bottom w:w="40" w:type="dxa"/>
              <w:right w:w="100" w:type="dxa"/>
            </w:tcMar>
            <w:vAlign w:val="center"/>
          </w:tcPr>
          <w:p w14:paraId="50EC77F8" w14:textId="77777777" w:rsidR="00BA183A" w:rsidRDefault="00000000">
            <w:pPr>
              <w:spacing w:before="20" w:after="20"/>
            </w:pPr>
            <w:r>
              <w:rPr>
                <w:color w:val="1A1A1A"/>
                <w:sz w:val="18"/>
                <w:szCs w:val="18"/>
              </w:rPr>
              <w:t>If oversubscribed, the Facility may be increased by up to a further CNH 2.0 billion by mutual agreement</w:t>
            </w:r>
          </w:p>
        </w:tc>
      </w:tr>
      <w:tr w:rsidR="00BA183A" w14:paraId="027F1E20" w14:textId="77777777">
        <w:tc>
          <w:tcPr>
            <w:tcW w:w="3360" w:type="dxa"/>
            <w:shd w:val="clear" w:color="auto" w:fill="FFFFFF"/>
            <w:tcMar>
              <w:top w:w="40" w:type="dxa"/>
              <w:left w:w="100" w:type="dxa"/>
              <w:bottom w:w="40" w:type="dxa"/>
              <w:right w:w="100" w:type="dxa"/>
            </w:tcMar>
            <w:vAlign w:val="center"/>
          </w:tcPr>
          <w:p w14:paraId="51F889F9" w14:textId="77777777" w:rsidR="00BA183A" w:rsidRDefault="00000000">
            <w:pPr>
              <w:spacing w:before="20" w:after="20"/>
            </w:pPr>
            <w:r>
              <w:rPr>
                <w:b/>
                <w:bCs/>
                <w:color w:val="1A1A1A"/>
                <w:sz w:val="18"/>
                <w:szCs w:val="18"/>
              </w:rPr>
              <w:t>Purpose</w:t>
            </w:r>
          </w:p>
        </w:tc>
        <w:tc>
          <w:tcPr>
            <w:tcW w:w="6720" w:type="dxa"/>
            <w:shd w:val="clear" w:color="auto" w:fill="FFFFFF"/>
            <w:tcMar>
              <w:top w:w="40" w:type="dxa"/>
              <w:left w:w="100" w:type="dxa"/>
              <w:bottom w:w="40" w:type="dxa"/>
              <w:right w:w="100" w:type="dxa"/>
            </w:tcMar>
            <w:vAlign w:val="center"/>
          </w:tcPr>
          <w:p w14:paraId="46D207B9" w14:textId="77777777" w:rsidR="00BA183A" w:rsidRDefault="00000000">
            <w:pPr>
              <w:spacing w:before="20" w:after="20"/>
            </w:pPr>
            <w:r>
              <w:rPr>
                <w:color w:val="1A1A1A"/>
                <w:sz w:val="18"/>
                <w:szCs w:val="18"/>
              </w:rPr>
              <w:t>General corporate purposes</w:t>
            </w:r>
          </w:p>
        </w:tc>
      </w:tr>
      <w:tr w:rsidR="00BA183A" w14:paraId="0952990B" w14:textId="77777777">
        <w:tc>
          <w:tcPr>
            <w:tcW w:w="3360" w:type="dxa"/>
            <w:shd w:val="clear" w:color="auto" w:fill="FFFFFF"/>
            <w:tcMar>
              <w:top w:w="40" w:type="dxa"/>
              <w:left w:w="100" w:type="dxa"/>
              <w:bottom w:w="40" w:type="dxa"/>
              <w:right w:w="100" w:type="dxa"/>
            </w:tcMar>
            <w:vAlign w:val="center"/>
          </w:tcPr>
          <w:p w14:paraId="61B363E6" w14:textId="77777777" w:rsidR="00BA183A" w:rsidRDefault="00000000">
            <w:pPr>
              <w:spacing w:before="20" w:after="20"/>
            </w:pPr>
            <w:r>
              <w:rPr>
                <w:b/>
                <w:bCs/>
                <w:color w:val="1A1A1A"/>
                <w:sz w:val="18"/>
                <w:szCs w:val="18"/>
              </w:rPr>
              <w:t>Tenor / Maturity</w:t>
            </w:r>
          </w:p>
        </w:tc>
        <w:tc>
          <w:tcPr>
            <w:tcW w:w="6720" w:type="dxa"/>
            <w:shd w:val="clear" w:color="auto" w:fill="FFFFFF"/>
            <w:tcMar>
              <w:top w:w="40" w:type="dxa"/>
              <w:left w:w="100" w:type="dxa"/>
              <w:bottom w:w="40" w:type="dxa"/>
              <w:right w:w="100" w:type="dxa"/>
            </w:tcMar>
            <w:vAlign w:val="center"/>
          </w:tcPr>
          <w:p w14:paraId="3A0C6A30" w14:textId="77777777" w:rsidR="00BA183A" w:rsidRDefault="00000000">
            <w:pPr>
              <w:spacing w:before="20" w:after="20"/>
            </w:pPr>
            <w:r>
              <w:rPr>
                <w:color w:val="1A1A1A"/>
                <w:sz w:val="18"/>
                <w:szCs w:val="18"/>
              </w:rPr>
              <w:t>36 months from the First Utilisation Date; Borrower option to request a 1-year extension, at each lender's discretion (request &gt;= 60 days before maturity)</w:t>
            </w:r>
          </w:p>
        </w:tc>
      </w:tr>
      <w:tr w:rsidR="00BA183A" w14:paraId="4E7BA5D2" w14:textId="77777777">
        <w:tc>
          <w:tcPr>
            <w:tcW w:w="3360" w:type="dxa"/>
            <w:shd w:val="clear" w:color="auto" w:fill="FFFFFF"/>
            <w:tcMar>
              <w:top w:w="40" w:type="dxa"/>
              <w:left w:w="100" w:type="dxa"/>
              <w:bottom w:w="40" w:type="dxa"/>
              <w:right w:w="100" w:type="dxa"/>
            </w:tcMar>
            <w:vAlign w:val="center"/>
          </w:tcPr>
          <w:p w14:paraId="40C5FA29" w14:textId="77777777" w:rsidR="00BA183A" w:rsidRDefault="00000000">
            <w:pPr>
              <w:spacing w:before="20" w:after="20"/>
            </w:pPr>
            <w:r>
              <w:rPr>
                <w:b/>
                <w:bCs/>
                <w:color w:val="1A1A1A"/>
                <w:sz w:val="18"/>
                <w:szCs w:val="18"/>
              </w:rPr>
              <w:t>Availability Period</w:t>
            </w:r>
          </w:p>
        </w:tc>
        <w:tc>
          <w:tcPr>
            <w:tcW w:w="6720" w:type="dxa"/>
            <w:shd w:val="clear" w:color="auto" w:fill="FFFFFF"/>
            <w:tcMar>
              <w:top w:w="40" w:type="dxa"/>
              <w:left w:w="100" w:type="dxa"/>
              <w:bottom w:w="40" w:type="dxa"/>
              <w:right w:w="100" w:type="dxa"/>
            </w:tcMar>
            <w:vAlign w:val="center"/>
          </w:tcPr>
          <w:p w14:paraId="061AD575" w14:textId="77777777" w:rsidR="00BA183A" w:rsidRDefault="00000000">
            <w:pPr>
              <w:spacing w:before="20" w:after="20"/>
            </w:pPr>
            <w:r>
              <w:rPr>
                <w:color w:val="1A1A1A"/>
                <w:sz w:val="18"/>
                <w:szCs w:val="18"/>
              </w:rPr>
              <w:t>30 days from signing (extendable); no commitment fee for the first 30 days, thereafter a commitment fee of 20% of the applicable interest on the undrawn amount</w:t>
            </w:r>
          </w:p>
        </w:tc>
      </w:tr>
      <w:tr w:rsidR="00BA183A" w14:paraId="1D495C82" w14:textId="77777777">
        <w:tc>
          <w:tcPr>
            <w:tcW w:w="3360" w:type="dxa"/>
            <w:shd w:val="clear" w:color="auto" w:fill="FFFFFF"/>
            <w:tcMar>
              <w:top w:w="40" w:type="dxa"/>
              <w:left w:w="100" w:type="dxa"/>
              <w:bottom w:w="40" w:type="dxa"/>
              <w:right w:w="100" w:type="dxa"/>
            </w:tcMar>
            <w:vAlign w:val="center"/>
          </w:tcPr>
          <w:p w14:paraId="78954B98" w14:textId="77777777" w:rsidR="00BA183A" w:rsidRDefault="00000000">
            <w:pPr>
              <w:spacing w:before="20" w:after="20"/>
            </w:pPr>
            <w:r>
              <w:rPr>
                <w:b/>
                <w:bCs/>
                <w:color w:val="1A1A1A"/>
                <w:sz w:val="18"/>
                <w:szCs w:val="18"/>
              </w:rPr>
              <w:t>Drawdown / Repayment</w:t>
            </w:r>
          </w:p>
        </w:tc>
        <w:tc>
          <w:tcPr>
            <w:tcW w:w="6720" w:type="dxa"/>
            <w:shd w:val="clear" w:color="auto" w:fill="FFFFFF"/>
            <w:tcMar>
              <w:top w:w="40" w:type="dxa"/>
              <w:left w:w="100" w:type="dxa"/>
              <w:bottom w:w="40" w:type="dxa"/>
              <w:right w:w="100" w:type="dxa"/>
            </w:tcMar>
            <w:vAlign w:val="center"/>
          </w:tcPr>
          <w:p w14:paraId="1281EC0D" w14:textId="77777777" w:rsidR="00BA183A" w:rsidRDefault="00000000">
            <w:pPr>
              <w:spacing w:before="20" w:after="20"/>
            </w:pPr>
            <w:r>
              <w:rPr>
                <w:color w:val="1A1A1A"/>
                <w:sz w:val="18"/>
                <w:szCs w:val="18"/>
              </w:rPr>
              <w:t>Single drawdown in one lump sum on 5 business days' notice; bullet repayment of principal plus accrued interest at maturity; undrawn amounts cancelled</w:t>
            </w:r>
          </w:p>
        </w:tc>
      </w:tr>
      <w:tr w:rsidR="00BA183A" w14:paraId="16B52F30" w14:textId="77777777">
        <w:tc>
          <w:tcPr>
            <w:tcW w:w="3360" w:type="dxa"/>
            <w:shd w:val="clear" w:color="auto" w:fill="FFFFFF"/>
            <w:tcMar>
              <w:top w:w="40" w:type="dxa"/>
              <w:left w:w="100" w:type="dxa"/>
              <w:bottom w:w="40" w:type="dxa"/>
              <w:right w:w="100" w:type="dxa"/>
            </w:tcMar>
            <w:vAlign w:val="center"/>
          </w:tcPr>
          <w:p w14:paraId="226E9A08" w14:textId="77777777" w:rsidR="00BA183A" w:rsidRDefault="00000000">
            <w:pPr>
              <w:spacing w:before="20" w:after="20"/>
            </w:pPr>
            <w:r>
              <w:rPr>
                <w:b/>
                <w:bCs/>
                <w:color w:val="1A1A1A"/>
                <w:sz w:val="18"/>
                <w:szCs w:val="18"/>
              </w:rPr>
              <w:t>Fixed Interest</w:t>
            </w:r>
          </w:p>
        </w:tc>
        <w:tc>
          <w:tcPr>
            <w:tcW w:w="6720" w:type="dxa"/>
            <w:shd w:val="clear" w:color="auto" w:fill="FFFFFF"/>
            <w:tcMar>
              <w:top w:w="40" w:type="dxa"/>
              <w:left w:w="100" w:type="dxa"/>
              <w:bottom w:w="40" w:type="dxa"/>
              <w:right w:w="100" w:type="dxa"/>
            </w:tcMar>
            <w:vAlign w:val="center"/>
          </w:tcPr>
          <w:p w14:paraId="0817DE3B" w14:textId="77777777" w:rsidR="00BA183A" w:rsidRDefault="00000000">
            <w:pPr>
              <w:spacing w:before="20" w:after="20"/>
            </w:pPr>
            <w:r>
              <w:rPr>
                <w:color w:val="1A1A1A"/>
                <w:sz w:val="18"/>
                <w:szCs w:val="18"/>
              </w:rPr>
              <w:t>3.8% per annum</w:t>
            </w:r>
          </w:p>
        </w:tc>
      </w:tr>
      <w:tr w:rsidR="00BA183A" w14:paraId="461D037D" w14:textId="77777777">
        <w:tc>
          <w:tcPr>
            <w:tcW w:w="3360" w:type="dxa"/>
            <w:shd w:val="clear" w:color="auto" w:fill="FFFFFF"/>
            <w:tcMar>
              <w:top w:w="40" w:type="dxa"/>
              <w:left w:w="100" w:type="dxa"/>
              <w:bottom w:w="40" w:type="dxa"/>
              <w:right w:w="100" w:type="dxa"/>
            </w:tcMar>
            <w:vAlign w:val="center"/>
          </w:tcPr>
          <w:p w14:paraId="3FE00F4B" w14:textId="77777777" w:rsidR="00BA183A" w:rsidRDefault="00000000">
            <w:pPr>
              <w:spacing w:before="20" w:after="20"/>
            </w:pPr>
            <w:r>
              <w:rPr>
                <w:b/>
                <w:bCs/>
                <w:color w:val="1A1A1A"/>
                <w:sz w:val="18"/>
                <w:szCs w:val="18"/>
              </w:rPr>
              <w:lastRenderedPageBreak/>
              <w:t>Upfront Fee</w:t>
            </w:r>
          </w:p>
        </w:tc>
        <w:tc>
          <w:tcPr>
            <w:tcW w:w="6720" w:type="dxa"/>
            <w:shd w:val="clear" w:color="auto" w:fill="FFFFFF"/>
            <w:tcMar>
              <w:top w:w="40" w:type="dxa"/>
              <w:left w:w="100" w:type="dxa"/>
              <w:bottom w:w="40" w:type="dxa"/>
              <w:right w:w="100" w:type="dxa"/>
            </w:tcMar>
            <w:vAlign w:val="center"/>
          </w:tcPr>
          <w:p w14:paraId="11B77555" w14:textId="77777777" w:rsidR="00BA183A" w:rsidRDefault="00000000">
            <w:pPr>
              <w:spacing w:before="20" w:after="20"/>
            </w:pPr>
            <w:r>
              <w:rPr>
                <w:color w:val="1A1A1A"/>
                <w:sz w:val="18"/>
                <w:szCs w:val="18"/>
              </w:rPr>
              <w:t>0.6% flat, calculated on the total facility amount</w:t>
            </w:r>
          </w:p>
        </w:tc>
      </w:tr>
      <w:tr w:rsidR="00BA183A" w14:paraId="2171DB73" w14:textId="77777777">
        <w:tc>
          <w:tcPr>
            <w:tcW w:w="3360" w:type="dxa"/>
            <w:shd w:val="clear" w:color="auto" w:fill="FFFFFF"/>
            <w:tcMar>
              <w:top w:w="40" w:type="dxa"/>
              <w:left w:w="100" w:type="dxa"/>
              <w:bottom w:w="40" w:type="dxa"/>
              <w:right w:w="100" w:type="dxa"/>
            </w:tcMar>
            <w:vAlign w:val="center"/>
          </w:tcPr>
          <w:p w14:paraId="621BA26F" w14:textId="77777777" w:rsidR="00BA183A" w:rsidRDefault="00000000">
            <w:pPr>
              <w:spacing w:before="20" w:after="20"/>
            </w:pPr>
            <w:r>
              <w:rPr>
                <w:b/>
                <w:bCs/>
                <w:color w:val="1A1A1A"/>
                <w:sz w:val="18"/>
                <w:szCs w:val="18"/>
              </w:rPr>
              <w:t>Interest Periods / Day count</w:t>
            </w:r>
          </w:p>
        </w:tc>
        <w:tc>
          <w:tcPr>
            <w:tcW w:w="6720" w:type="dxa"/>
            <w:shd w:val="clear" w:color="auto" w:fill="FFFFFF"/>
            <w:tcMar>
              <w:top w:w="40" w:type="dxa"/>
              <w:left w:w="100" w:type="dxa"/>
              <w:bottom w:w="40" w:type="dxa"/>
              <w:right w:w="100" w:type="dxa"/>
            </w:tcMar>
            <w:vAlign w:val="center"/>
          </w:tcPr>
          <w:p w14:paraId="593355DD" w14:textId="77777777" w:rsidR="00BA183A" w:rsidRDefault="00000000">
            <w:pPr>
              <w:spacing w:before="20" w:after="20"/>
            </w:pPr>
            <w:r>
              <w:rPr>
                <w:color w:val="1A1A1A"/>
                <w:sz w:val="18"/>
                <w:szCs w:val="18"/>
              </w:rPr>
              <w:t>6 months (or as mutually agreed); actual/360</w:t>
            </w:r>
          </w:p>
        </w:tc>
      </w:tr>
      <w:tr w:rsidR="00BA183A" w14:paraId="4AA52F83" w14:textId="77777777">
        <w:tc>
          <w:tcPr>
            <w:tcW w:w="3360" w:type="dxa"/>
            <w:shd w:val="clear" w:color="auto" w:fill="FFFFFF"/>
            <w:tcMar>
              <w:top w:w="40" w:type="dxa"/>
              <w:left w:w="100" w:type="dxa"/>
              <w:bottom w:w="40" w:type="dxa"/>
              <w:right w:w="100" w:type="dxa"/>
            </w:tcMar>
            <w:vAlign w:val="center"/>
          </w:tcPr>
          <w:p w14:paraId="27FC8E4A" w14:textId="77777777" w:rsidR="00BA183A" w:rsidRDefault="00000000">
            <w:pPr>
              <w:spacing w:before="20" w:after="20"/>
            </w:pPr>
            <w:r>
              <w:rPr>
                <w:b/>
                <w:bCs/>
                <w:color w:val="1A1A1A"/>
                <w:sz w:val="18"/>
                <w:szCs w:val="18"/>
              </w:rPr>
              <w:t>Default Interest</w:t>
            </w:r>
          </w:p>
        </w:tc>
        <w:tc>
          <w:tcPr>
            <w:tcW w:w="6720" w:type="dxa"/>
            <w:shd w:val="clear" w:color="auto" w:fill="FFFFFF"/>
            <w:tcMar>
              <w:top w:w="40" w:type="dxa"/>
              <w:left w:w="100" w:type="dxa"/>
              <w:bottom w:w="40" w:type="dxa"/>
              <w:right w:w="100" w:type="dxa"/>
            </w:tcMar>
            <w:vAlign w:val="center"/>
          </w:tcPr>
          <w:p w14:paraId="1EEB799D" w14:textId="77777777" w:rsidR="00BA183A" w:rsidRDefault="00000000">
            <w:pPr>
              <w:spacing w:before="20" w:after="20"/>
            </w:pPr>
            <w:r>
              <w:rPr>
                <w:color w:val="1A1A1A"/>
                <w:sz w:val="18"/>
                <w:szCs w:val="18"/>
              </w:rPr>
              <w:t>2% per annum above the applicable rate</w:t>
            </w:r>
          </w:p>
        </w:tc>
      </w:tr>
      <w:tr w:rsidR="00BA183A" w14:paraId="257E8129" w14:textId="77777777">
        <w:tc>
          <w:tcPr>
            <w:tcW w:w="3360" w:type="dxa"/>
            <w:shd w:val="clear" w:color="auto" w:fill="FFFFFF"/>
            <w:tcMar>
              <w:top w:w="40" w:type="dxa"/>
              <w:left w:w="100" w:type="dxa"/>
              <w:bottom w:w="40" w:type="dxa"/>
              <w:right w:w="100" w:type="dxa"/>
            </w:tcMar>
            <w:vAlign w:val="center"/>
          </w:tcPr>
          <w:p w14:paraId="3E1C8643" w14:textId="77777777" w:rsidR="00BA183A" w:rsidRDefault="00000000">
            <w:pPr>
              <w:spacing w:before="20" w:after="20"/>
            </w:pPr>
            <w:r>
              <w:rPr>
                <w:b/>
                <w:bCs/>
                <w:color w:val="1A1A1A"/>
                <w:sz w:val="18"/>
                <w:szCs w:val="18"/>
              </w:rPr>
              <w:t>Voluntary Prepayment</w:t>
            </w:r>
          </w:p>
        </w:tc>
        <w:tc>
          <w:tcPr>
            <w:tcW w:w="6720" w:type="dxa"/>
            <w:shd w:val="clear" w:color="auto" w:fill="FFFFFF"/>
            <w:tcMar>
              <w:top w:w="40" w:type="dxa"/>
              <w:left w:w="100" w:type="dxa"/>
              <w:bottom w:w="40" w:type="dxa"/>
              <w:right w:w="100" w:type="dxa"/>
            </w:tcMar>
            <w:vAlign w:val="center"/>
          </w:tcPr>
          <w:p w14:paraId="675791BA" w14:textId="77777777" w:rsidR="00BA183A" w:rsidRDefault="00000000">
            <w:pPr>
              <w:spacing w:before="20" w:after="20"/>
            </w:pPr>
            <w:r>
              <w:rPr>
                <w:color w:val="1A1A1A"/>
                <w:sz w:val="18"/>
                <w:szCs w:val="18"/>
              </w:rPr>
              <w:t>In whole or part on 5 business days' notice (minimum CNH 70 million / USD 10 million), with accrued interest and breakage costs; prepaid amounts may not be redrawn</w:t>
            </w:r>
          </w:p>
        </w:tc>
      </w:tr>
      <w:tr w:rsidR="00BA183A" w14:paraId="3F9E1C0A" w14:textId="77777777">
        <w:tc>
          <w:tcPr>
            <w:tcW w:w="3360" w:type="dxa"/>
            <w:shd w:val="clear" w:color="auto" w:fill="FFFFFF"/>
            <w:tcMar>
              <w:top w:w="40" w:type="dxa"/>
              <w:left w:w="100" w:type="dxa"/>
              <w:bottom w:w="40" w:type="dxa"/>
              <w:right w:w="100" w:type="dxa"/>
            </w:tcMar>
            <w:vAlign w:val="center"/>
          </w:tcPr>
          <w:p w14:paraId="012DCDA7" w14:textId="77777777" w:rsidR="00BA183A" w:rsidRDefault="00000000">
            <w:pPr>
              <w:spacing w:before="20" w:after="20"/>
            </w:pPr>
            <w:r>
              <w:rPr>
                <w:b/>
                <w:bCs/>
                <w:color w:val="1A1A1A"/>
                <w:sz w:val="18"/>
                <w:szCs w:val="18"/>
              </w:rPr>
              <w:t>Financial Covenants</w:t>
            </w:r>
          </w:p>
        </w:tc>
        <w:tc>
          <w:tcPr>
            <w:tcW w:w="6720" w:type="dxa"/>
            <w:shd w:val="clear" w:color="auto" w:fill="FFFFFF"/>
            <w:tcMar>
              <w:top w:w="40" w:type="dxa"/>
              <w:left w:w="100" w:type="dxa"/>
              <w:bottom w:w="40" w:type="dxa"/>
              <w:right w:w="100" w:type="dxa"/>
            </w:tcMar>
            <w:vAlign w:val="center"/>
          </w:tcPr>
          <w:p w14:paraId="55372548" w14:textId="77777777" w:rsidR="00BA183A" w:rsidRDefault="00000000">
            <w:pPr>
              <w:spacing w:before="20" w:after="20"/>
            </w:pPr>
            <w:r>
              <w:rPr>
                <w:color w:val="1A1A1A"/>
                <w:sz w:val="18"/>
                <w:szCs w:val="18"/>
              </w:rPr>
              <w:t>Minimum CAR the higher of 13% or the CBU-prescribed minimum (Borrower standalone); NPL ratio not exceeding 7% (see Section 7)</w:t>
            </w:r>
          </w:p>
        </w:tc>
      </w:tr>
      <w:tr w:rsidR="00BA183A" w14:paraId="74F298E9" w14:textId="77777777">
        <w:tc>
          <w:tcPr>
            <w:tcW w:w="3360" w:type="dxa"/>
            <w:shd w:val="clear" w:color="auto" w:fill="FFFFFF"/>
            <w:tcMar>
              <w:top w:w="40" w:type="dxa"/>
              <w:left w:w="100" w:type="dxa"/>
              <w:bottom w:w="40" w:type="dxa"/>
              <w:right w:w="100" w:type="dxa"/>
            </w:tcMar>
            <w:vAlign w:val="center"/>
          </w:tcPr>
          <w:p w14:paraId="2FA68B9E" w14:textId="77777777" w:rsidR="00BA183A" w:rsidRDefault="00000000">
            <w:pPr>
              <w:spacing w:before="20" w:after="20"/>
            </w:pPr>
            <w:r>
              <w:rPr>
                <w:b/>
                <w:bCs/>
                <w:color w:val="1A1A1A"/>
                <w:sz w:val="18"/>
                <w:szCs w:val="18"/>
              </w:rPr>
              <w:t>Governing Law / Jurisdiction</w:t>
            </w:r>
          </w:p>
        </w:tc>
        <w:tc>
          <w:tcPr>
            <w:tcW w:w="6720" w:type="dxa"/>
            <w:shd w:val="clear" w:color="auto" w:fill="FFFFFF"/>
            <w:tcMar>
              <w:top w:w="40" w:type="dxa"/>
              <w:left w:w="100" w:type="dxa"/>
              <w:bottom w:w="40" w:type="dxa"/>
              <w:right w:w="100" w:type="dxa"/>
            </w:tcMar>
            <w:vAlign w:val="center"/>
          </w:tcPr>
          <w:p w14:paraId="2346FA07" w14:textId="77777777" w:rsidR="00BA183A" w:rsidRDefault="00000000">
            <w:pPr>
              <w:spacing w:before="20" w:after="20"/>
            </w:pPr>
            <w:r>
              <w:rPr>
                <w:color w:val="1A1A1A"/>
                <w:sz w:val="18"/>
                <w:szCs w:val="18"/>
              </w:rPr>
              <w:t>English law; courts of England (exclusive, with an enforcement carve-out)</w:t>
            </w:r>
          </w:p>
        </w:tc>
      </w:tr>
    </w:tbl>
    <w:p w14:paraId="19E10F98" w14:textId="77777777" w:rsidR="00BA183A" w:rsidRDefault="00000000">
      <w:pPr>
        <w:spacing w:before="80" w:after="120"/>
      </w:pPr>
      <w:r>
        <w:rPr>
          <w:color w:val="1A1A1A"/>
        </w:rPr>
        <w:t>ICBC (DIFC Branch)'s participation is proposed at CNH 300 million, subject to FID approval, and is within the maximum supportable limit assessed in Section 6 (USD 51.4 million). The economics of the proposed participation are set out in Section 8 (Cost-Income Analysis), and the credit terms, financial covenants and risk mitigants in Section 7. The Facility includes binding financial covenants - a minimum Capital Adequacy Ratio of the higher of 13% or the CBU-prescribed minimum, and an NPL ratio not exceeding 7% - together with the customary LMA mandatory-prepayment triggers (including a two-notch downgrade of the sovereign or the Borrower, change of control, and sanctions events).</w:t>
      </w:r>
    </w:p>
    <w:p w14:paraId="6A1FF1E3" w14:textId="77777777" w:rsidR="0059742E" w:rsidRDefault="00C764C0">
      <w:pPr>
        <w:spacing w:before="280" w:after="120"/>
      </w:pPr>
      <w:r>
        <w:rPr>
          <w:b/>
          <w:bCs/>
          <w:color w:val="1A3A5C"/>
          <w:sz w:val="26"/>
          <w:szCs w:val="26"/>
        </w:rPr>
        <w:t>Part 1 - Overall Evaluation of Customer</w:t>
      </w:r>
    </w:p>
    <w:p w14:paraId="668F9017" w14:textId="77777777" w:rsidR="0059742E" w:rsidRDefault="00C764C0">
      <w:pPr>
        <w:pBdr>
          <w:bottom w:val="single" w:sz="4" w:space="2" w:color="2E6DA4"/>
        </w:pBdr>
        <w:spacing w:before="200" w:after="80"/>
      </w:pPr>
      <w:r>
        <w:rPr>
          <w:b/>
          <w:bCs/>
          <w:color w:val="2E6DA4"/>
          <w:sz w:val="22"/>
          <w:szCs w:val="22"/>
        </w:rPr>
        <w:t>1.1 Key Information List of Customer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40"/>
        <w:gridCol w:w="2100"/>
        <w:gridCol w:w="2940"/>
      </w:tblGrid>
      <w:tr w:rsidR="0059742E" w:rsidRPr="00697AFE" w14:paraId="3C15E747" w14:textId="77777777" w:rsidTr="00797A0F">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2C97C183" w14:textId="77777777" w:rsidR="0059742E" w:rsidRPr="00697AFE" w:rsidRDefault="00C764C0">
            <w:pPr>
              <w:jc w:val="center"/>
            </w:pPr>
            <w:r>
              <w:rPr>
                <w:b/>
                <w:bCs/>
                <w:sz w:val="18"/>
                <w:szCs w:val="18"/>
              </w:rPr>
              <w:t>Name of Customer</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54E77B6E" w14:textId="77777777" w:rsidR="0059742E" w:rsidRPr="00697AFE" w:rsidRDefault="00C764C0">
            <w:r>
              <w:rPr>
                <w:sz w:val="18"/>
                <w:szCs w:val="18"/>
              </w:rPr>
              <w:t>JSC National Bank for Foreign Economic Activity of the Republic of Uzbekistan ("NBU")</w:t>
            </w:r>
          </w:p>
        </w:tc>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4F7717AE" w14:textId="77777777" w:rsidR="0059742E" w:rsidRPr="00697AFE" w:rsidRDefault="00C764C0">
            <w:pPr>
              <w:jc w:val="center"/>
            </w:pPr>
            <w:r>
              <w:rPr>
                <w:b/>
                <w:bCs/>
                <w:sz w:val="18"/>
                <w:szCs w:val="18"/>
              </w:rPr>
              <w:t>Total Assets (Dec 2025)</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26D45D8E" w14:textId="77777777" w:rsidR="0059742E" w:rsidRPr="00697AFE" w:rsidRDefault="00C764C0">
            <w:r>
              <w:rPr>
                <w:sz w:val="18"/>
                <w:szCs w:val="18"/>
              </w:rPr>
              <w:t>UZS 144.7 trillion (~USD 11.9 billion)</w:t>
            </w:r>
          </w:p>
        </w:tc>
      </w:tr>
      <w:tr w:rsidR="0059742E" w:rsidRPr="00697AFE" w14:paraId="381D0DEC" w14:textId="77777777" w:rsidTr="00797A0F">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2F566EB4" w14:textId="77777777" w:rsidR="0059742E" w:rsidRPr="00697AFE" w:rsidRDefault="00C764C0">
            <w:pPr>
              <w:jc w:val="center"/>
            </w:pPr>
            <w:r>
              <w:rPr>
                <w:b/>
                <w:bCs/>
                <w:sz w:val="18"/>
                <w:szCs w:val="18"/>
              </w:rPr>
              <w:t>Top Shareholder</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21E1B60D" w14:textId="77777777" w:rsidR="0059742E" w:rsidRPr="00697AFE" w:rsidRDefault="00C764C0">
            <w:r>
              <w:rPr>
                <w:sz w:val="18"/>
                <w:szCs w:val="18"/>
              </w:rPr>
              <w:t>Ministry of Economy and Finance of the Republic of Uzbekistan</w:t>
            </w:r>
          </w:p>
        </w:tc>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6B11CF36" w14:textId="77777777" w:rsidR="0059742E" w:rsidRPr="00697AFE" w:rsidRDefault="00C764C0">
            <w:pPr>
              <w:jc w:val="center"/>
            </w:pPr>
            <w:r>
              <w:rPr>
                <w:b/>
                <w:bCs/>
                <w:sz w:val="18"/>
                <w:szCs w:val="18"/>
              </w:rPr>
              <w:t>Total Equity (Dec 2025)</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25473731" w14:textId="77777777" w:rsidR="0059742E" w:rsidRPr="00697AFE" w:rsidRDefault="00C764C0">
            <w:r>
              <w:rPr>
                <w:sz w:val="18"/>
                <w:szCs w:val="18"/>
              </w:rPr>
              <w:t>UZS 19.97 trillion (~USD 1.64 billion)</w:t>
            </w:r>
          </w:p>
        </w:tc>
      </w:tr>
      <w:tr w:rsidR="0059742E" w:rsidRPr="00697AFE" w14:paraId="44D79144" w14:textId="77777777" w:rsidTr="00797A0F">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4DABD646" w14:textId="77777777" w:rsidR="0059742E" w:rsidRPr="00697AFE" w:rsidRDefault="00C764C0">
            <w:pPr>
              <w:jc w:val="center"/>
            </w:pPr>
            <w:r>
              <w:rPr>
                <w:b/>
                <w:bCs/>
                <w:sz w:val="18"/>
                <w:szCs w:val="18"/>
              </w:rPr>
              <w:t>Ultimate Shareholder</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54481677" w14:textId="77777777" w:rsidR="0059742E" w:rsidRPr="00697AFE" w:rsidRDefault="00C764C0">
            <w:r>
              <w:rPr>
                <w:sz w:val="18"/>
                <w:szCs w:val="18"/>
              </w:rPr>
              <w:t>Government of the Republic of Uzbekistan (100% state-owned)</w:t>
            </w:r>
          </w:p>
        </w:tc>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6C92C7AB" w14:textId="77777777" w:rsidR="0059742E" w:rsidRPr="00697AFE" w:rsidRDefault="00C764C0">
            <w:pPr>
              <w:jc w:val="center"/>
            </w:pPr>
            <w:r>
              <w:rPr>
                <w:b/>
                <w:bCs/>
                <w:sz w:val="18"/>
                <w:szCs w:val="18"/>
              </w:rPr>
              <w:t>Country of Incorporation</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5602CF4D" w14:textId="77777777" w:rsidR="0059742E" w:rsidRPr="00697AFE" w:rsidRDefault="00C764C0">
            <w:r>
              <w:rPr>
                <w:sz w:val="18"/>
                <w:szCs w:val="18"/>
              </w:rPr>
              <w:t>Republic of Uzbekistan</w:t>
            </w:r>
          </w:p>
        </w:tc>
      </w:tr>
      <w:tr w:rsidR="0059742E" w:rsidRPr="00697AFE" w14:paraId="4F83FC7D" w14:textId="77777777" w:rsidTr="00797A0F">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1CECC4CF" w14:textId="77777777" w:rsidR="0059742E" w:rsidRPr="00697AFE" w:rsidRDefault="00C764C0">
            <w:pPr>
              <w:jc w:val="center"/>
            </w:pPr>
            <w:r>
              <w:rPr>
                <w:b/>
                <w:bCs/>
                <w:sz w:val="18"/>
                <w:szCs w:val="18"/>
              </w:rPr>
              <w:t>Credit Ratings</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4246EA47" w14:textId="77777777" w:rsidR="0059742E" w:rsidRPr="00697AFE" w:rsidRDefault="00C764C0">
            <w:r>
              <w:rPr>
                <w:sz w:val="18"/>
                <w:szCs w:val="18"/>
              </w:rPr>
              <w:t>Moody's: Ba3/Stable | S&amp;P: BB-/Stable | Fitch: BB/Stable</w:t>
            </w:r>
          </w:p>
        </w:tc>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35967EA9" w14:textId="77777777" w:rsidR="0059742E" w:rsidRPr="00697AFE" w:rsidRDefault="00C764C0">
            <w:pPr>
              <w:jc w:val="center"/>
            </w:pPr>
            <w:r>
              <w:rPr>
                <w:b/>
                <w:bCs/>
                <w:sz w:val="18"/>
                <w:szCs w:val="18"/>
              </w:rPr>
              <w:t>Auditor</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6985DD34" w14:textId="77777777" w:rsidR="0059742E" w:rsidRPr="00697AFE" w:rsidRDefault="00C764C0">
            <w:r>
              <w:rPr>
                <w:sz w:val="18"/>
                <w:szCs w:val="18"/>
              </w:rPr>
              <w:t>Deloitte &amp; Touche</w:t>
            </w:r>
          </w:p>
        </w:tc>
      </w:tr>
    </w:tbl>
    <w:p w14:paraId="157A3722" w14:textId="77777777" w:rsidR="0059742E" w:rsidRDefault="00C764C0">
      <w:pPr>
        <w:spacing w:before="60" w:after="60"/>
      </w:pPr>
      <w:r>
        <w:rPr>
          <w:i/>
          <w:iCs/>
          <w:color w:val="777777"/>
          <w:sz w:val="16"/>
          <w:szCs w:val="16"/>
        </w:rPr>
        <w:t>USD/UZS = 12,150 (as of April 2026)</w:t>
      </w:r>
    </w:p>
    <w:p w14:paraId="0CA1C02A" w14:textId="77777777" w:rsidR="0059742E" w:rsidRDefault="00C764C0">
      <w:pPr>
        <w:spacing w:before="60" w:after="80"/>
      </w:pPr>
      <w:r>
        <w:rPr>
          <w:color w:val="1A1A1A"/>
        </w:rPr>
        <w:t>JSC National Bank for Foreign Economic Activity of the Republic of Uzbekistan ("NBU") is a joint-stock company established by Presidential Decree in September 1991. The bank is headquartered at 101 Amir Temur Avenue, Tashkent, Uzbekistan. NBU is 100% state-owned, with the Ministry of Economy and Finance of the Republic of Uzbekistan and the Fund for Reconstruction and Development of the Republic of Uzbekistan as its principal shareholders.</w:t>
      </w:r>
    </w:p>
    <w:p w14:paraId="3455B033" w14:textId="77777777" w:rsidR="003B07C8" w:rsidRDefault="00000000">
      <w:pPr>
        <w:spacing w:before="80" w:after="40"/>
      </w:pPr>
      <w:r>
        <w:rPr>
          <w:b/>
          <w:bCs/>
          <w:color w:val="1A3A5C"/>
        </w:rPr>
        <w:t>Shareholder structure (as at 31 December 2025)</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5180"/>
        <w:gridCol w:w="2050"/>
        <w:gridCol w:w="1450"/>
        <w:gridCol w:w="1400"/>
      </w:tblGrid>
      <w:tr w:rsidR="003B07C8" w14:paraId="4B18E534" w14:textId="77777777">
        <w:tc>
          <w:tcPr>
            <w:tcW w:w="5180" w:type="dxa"/>
            <w:shd w:val="clear" w:color="auto" w:fill="2E4057"/>
            <w:tcMar>
              <w:top w:w="40" w:type="dxa"/>
              <w:left w:w="100" w:type="dxa"/>
              <w:bottom w:w="40" w:type="dxa"/>
              <w:right w:w="100" w:type="dxa"/>
            </w:tcMar>
            <w:vAlign w:val="center"/>
          </w:tcPr>
          <w:p w14:paraId="56555D0F" w14:textId="77777777" w:rsidR="003B07C8" w:rsidRDefault="00000000">
            <w:pPr>
              <w:spacing w:before="20" w:after="20"/>
            </w:pPr>
            <w:r>
              <w:rPr>
                <w:b/>
                <w:bCs/>
                <w:color w:val="FFFFFF"/>
                <w:sz w:val="18"/>
                <w:szCs w:val="18"/>
              </w:rPr>
              <w:t>Shareholder</w:t>
            </w:r>
          </w:p>
        </w:tc>
        <w:tc>
          <w:tcPr>
            <w:tcW w:w="2050" w:type="dxa"/>
            <w:shd w:val="clear" w:color="auto" w:fill="2E4057"/>
            <w:tcMar>
              <w:top w:w="40" w:type="dxa"/>
              <w:left w:w="100" w:type="dxa"/>
              <w:bottom w:w="40" w:type="dxa"/>
              <w:right w:w="100" w:type="dxa"/>
            </w:tcMar>
            <w:vAlign w:val="center"/>
          </w:tcPr>
          <w:p w14:paraId="23DFDBB2" w14:textId="77777777" w:rsidR="003B07C8" w:rsidRDefault="00000000">
            <w:pPr>
              <w:spacing w:before="20" w:after="20"/>
              <w:jc w:val="right"/>
            </w:pPr>
            <w:r>
              <w:rPr>
                <w:b/>
                <w:bCs/>
                <w:color w:val="FFFFFF"/>
                <w:sz w:val="18"/>
                <w:szCs w:val="18"/>
              </w:rPr>
              <w:t>Ordinary registered shares</w:t>
            </w:r>
          </w:p>
        </w:tc>
        <w:tc>
          <w:tcPr>
            <w:tcW w:w="1450" w:type="dxa"/>
            <w:shd w:val="clear" w:color="auto" w:fill="2E4057"/>
            <w:tcMar>
              <w:top w:w="40" w:type="dxa"/>
              <w:left w:w="100" w:type="dxa"/>
              <w:bottom w:w="40" w:type="dxa"/>
              <w:right w:w="100" w:type="dxa"/>
            </w:tcMar>
            <w:vAlign w:val="center"/>
          </w:tcPr>
          <w:p w14:paraId="5DFC0DEF" w14:textId="77777777" w:rsidR="003B07C8" w:rsidRDefault="00000000">
            <w:pPr>
              <w:spacing w:before="20" w:after="20"/>
              <w:jc w:val="right"/>
            </w:pPr>
            <w:r>
              <w:rPr>
                <w:b/>
                <w:bCs/>
                <w:color w:val="FFFFFF"/>
                <w:sz w:val="18"/>
                <w:szCs w:val="18"/>
              </w:rPr>
              <w:t>Par value (UZS bn)</w:t>
            </w:r>
          </w:p>
        </w:tc>
        <w:tc>
          <w:tcPr>
            <w:tcW w:w="1400" w:type="dxa"/>
            <w:shd w:val="clear" w:color="auto" w:fill="2E4057"/>
            <w:tcMar>
              <w:top w:w="40" w:type="dxa"/>
              <w:left w:w="100" w:type="dxa"/>
              <w:bottom w:w="40" w:type="dxa"/>
              <w:right w:w="100" w:type="dxa"/>
            </w:tcMar>
            <w:vAlign w:val="center"/>
          </w:tcPr>
          <w:p w14:paraId="29AF7499" w14:textId="77777777" w:rsidR="003B07C8" w:rsidRDefault="00000000">
            <w:pPr>
              <w:spacing w:before="20" w:after="20"/>
              <w:jc w:val="right"/>
            </w:pPr>
            <w:r>
              <w:rPr>
                <w:b/>
                <w:bCs/>
                <w:color w:val="FFFFFF"/>
                <w:sz w:val="18"/>
                <w:szCs w:val="18"/>
              </w:rPr>
              <w:t>Holding</w:t>
            </w:r>
          </w:p>
        </w:tc>
      </w:tr>
      <w:tr w:rsidR="003B07C8" w14:paraId="269186C2" w14:textId="77777777">
        <w:tc>
          <w:tcPr>
            <w:tcW w:w="5180" w:type="dxa"/>
            <w:shd w:val="clear" w:color="auto" w:fill="FFFFFF"/>
            <w:tcMar>
              <w:top w:w="40" w:type="dxa"/>
              <w:left w:w="100" w:type="dxa"/>
              <w:bottom w:w="40" w:type="dxa"/>
              <w:right w:w="100" w:type="dxa"/>
            </w:tcMar>
            <w:vAlign w:val="center"/>
          </w:tcPr>
          <w:p w14:paraId="151DCAA5" w14:textId="77777777" w:rsidR="003B07C8" w:rsidRDefault="00000000">
            <w:pPr>
              <w:spacing w:before="20" w:after="20"/>
            </w:pPr>
            <w:r>
              <w:rPr>
                <w:color w:val="1A1A1A"/>
                <w:sz w:val="18"/>
                <w:szCs w:val="18"/>
              </w:rPr>
              <w:t>Fund for Reconstruction and Development of the Republic of Uzbekistan (UFRD)</w:t>
            </w:r>
          </w:p>
        </w:tc>
        <w:tc>
          <w:tcPr>
            <w:tcW w:w="2050" w:type="dxa"/>
            <w:shd w:val="clear" w:color="auto" w:fill="FFFFFF"/>
            <w:tcMar>
              <w:top w:w="40" w:type="dxa"/>
              <w:left w:w="100" w:type="dxa"/>
              <w:bottom w:w="40" w:type="dxa"/>
              <w:right w:w="100" w:type="dxa"/>
            </w:tcMar>
            <w:vAlign w:val="center"/>
          </w:tcPr>
          <w:p w14:paraId="32F3CBBF" w14:textId="77777777" w:rsidR="003B07C8" w:rsidRDefault="00000000">
            <w:pPr>
              <w:spacing w:before="20" w:after="20"/>
              <w:jc w:val="right"/>
            </w:pPr>
            <w:r>
              <w:rPr>
                <w:color w:val="1A1A1A"/>
                <w:sz w:val="18"/>
                <w:szCs w:val="18"/>
              </w:rPr>
              <w:t>10,990,718,050</w:t>
            </w:r>
          </w:p>
        </w:tc>
        <w:tc>
          <w:tcPr>
            <w:tcW w:w="1450" w:type="dxa"/>
            <w:shd w:val="clear" w:color="auto" w:fill="FFFFFF"/>
            <w:tcMar>
              <w:top w:w="40" w:type="dxa"/>
              <w:left w:w="100" w:type="dxa"/>
              <w:bottom w:w="40" w:type="dxa"/>
              <w:right w:w="100" w:type="dxa"/>
            </w:tcMar>
            <w:vAlign w:val="center"/>
          </w:tcPr>
          <w:p w14:paraId="4DDC33E1" w14:textId="77777777" w:rsidR="003B07C8" w:rsidRDefault="00000000">
            <w:pPr>
              <w:spacing w:before="20" w:after="20"/>
              <w:jc w:val="right"/>
            </w:pPr>
            <w:r>
              <w:rPr>
                <w:color w:val="1A1A1A"/>
                <w:sz w:val="18"/>
                <w:szCs w:val="18"/>
              </w:rPr>
              <w:t>10,990.7</w:t>
            </w:r>
          </w:p>
        </w:tc>
        <w:tc>
          <w:tcPr>
            <w:tcW w:w="1400" w:type="dxa"/>
            <w:shd w:val="clear" w:color="auto" w:fill="FFFFFF"/>
            <w:tcMar>
              <w:top w:w="40" w:type="dxa"/>
              <w:left w:w="100" w:type="dxa"/>
              <w:bottom w:w="40" w:type="dxa"/>
              <w:right w:w="100" w:type="dxa"/>
            </w:tcMar>
            <w:vAlign w:val="center"/>
          </w:tcPr>
          <w:p w14:paraId="13BF223F" w14:textId="77777777" w:rsidR="003B07C8" w:rsidRDefault="00000000">
            <w:pPr>
              <w:spacing w:before="20" w:after="20"/>
              <w:jc w:val="right"/>
            </w:pPr>
            <w:r>
              <w:rPr>
                <w:b/>
                <w:bCs/>
                <w:color w:val="1A1A1A"/>
                <w:sz w:val="18"/>
                <w:szCs w:val="18"/>
              </w:rPr>
              <w:t>61.86%</w:t>
            </w:r>
          </w:p>
        </w:tc>
      </w:tr>
      <w:tr w:rsidR="003B07C8" w14:paraId="17CD82A0" w14:textId="77777777">
        <w:tc>
          <w:tcPr>
            <w:tcW w:w="5180" w:type="dxa"/>
            <w:shd w:val="clear" w:color="auto" w:fill="FFFFFF"/>
            <w:tcMar>
              <w:top w:w="40" w:type="dxa"/>
              <w:left w:w="100" w:type="dxa"/>
              <w:bottom w:w="40" w:type="dxa"/>
              <w:right w:w="100" w:type="dxa"/>
            </w:tcMar>
            <w:vAlign w:val="center"/>
          </w:tcPr>
          <w:p w14:paraId="37EB78F9" w14:textId="77777777" w:rsidR="003B07C8" w:rsidRDefault="00000000">
            <w:pPr>
              <w:spacing w:before="20" w:after="20"/>
            </w:pPr>
            <w:r>
              <w:rPr>
                <w:color w:val="1A1A1A"/>
                <w:sz w:val="18"/>
                <w:szCs w:val="18"/>
              </w:rPr>
              <w:t>Ministry of Economy and Finance of the Republic of Uzbekistan</w:t>
            </w:r>
          </w:p>
        </w:tc>
        <w:tc>
          <w:tcPr>
            <w:tcW w:w="2050" w:type="dxa"/>
            <w:shd w:val="clear" w:color="auto" w:fill="FFFFFF"/>
            <w:tcMar>
              <w:top w:w="40" w:type="dxa"/>
              <w:left w:w="100" w:type="dxa"/>
              <w:bottom w:w="40" w:type="dxa"/>
              <w:right w:w="100" w:type="dxa"/>
            </w:tcMar>
            <w:vAlign w:val="center"/>
          </w:tcPr>
          <w:p w14:paraId="5F8CC0A5" w14:textId="77777777" w:rsidR="003B07C8" w:rsidRDefault="00000000">
            <w:pPr>
              <w:spacing w:before="20" w:after="20"/>
              <w:jc w:val="right"/>
            </w:pPr>
            <w:r>
              <w:rPr>
                <w:color w:val="1A1A1A"/>
                <w:sz w:val="18"/>
                <w:szCs w:val="18"/>
              </w:rPr>
              <w:t>6,776,397,120</w:t>
            </w:r>
          </w:p>
        </w:tc>
        <w:tc>
          <w:tcPr>
            <w:tcW w:w="1450" w:type="dxa"/>
            <w:shd w:val="clear" w:color="auto" w:fill="FFFFFF"/>
            <w:tcMar>
              <w:top w:w="40" w:type="dxa"/>
              <w:left w:w="100" w:type="dxa"/>
              <w:bottom w:w="40" w:type="dxa"/>
              <w:right w:w="100" w:type="dxa"/>
            </w:tcMar>
            <w:vAlign w:val="center"/>
          </w:tcPr>
          <w:p w14:paraId="35C77221" w14:textId="77777777" w:rsidR="003B07C8" w:rsidRDefault="00000000">
            <w:pPr>
              <w:spacing w:before="20" w:after="20"/>
              <w:jc w:val="right"/>
            </w:pPr>
            <w:r>
              <w:rPr>
                <w:color w:val="1A1A1A"/>
                <w:sz w:val="18"/>
                <w:szCs w:val="18"/>
              </w:rPr>
              <w:t>6,776.4</w:t>
            </w:r>
          </w:p>
        </w:tc>
        <w:tc>
          <w:tcPr>
            <w:tcW w:w="1400" w:type="dxa"/>
            <w:shd w:val="clear" w:color="auto" w:fill="FFFFFF"/>
            <w:tcMar>
              <w:top w:w="40" w:type="dxa"/>
              <w:left w:w="100" w:type="dxa"/>
              <w:bottom w:w="40" w:type="dxa"/>
              <w:right w:w="100" w:type="dxa"/>
            </w:tcMar>
            <w:vAlign w:val="center"/>
          </w:tcPr>
          <w:p w14:paraId="3F721CF4" w14:textId="77777777" w:rsidR="003B07C8" w:rsidRDefault="00000000">
            <w:pPr>
              <w:spacing w:before="20" w:after="20"/>
              <w:jc w:val="right"/>
            </w:pPr>
            <w:r>
              <w:rPr>
                <w:b/>
                <w:bCs/>
                <w:color w:val="1A1A1A"/>
                <w:sz w:val="18"/>
                <w:szCs w:val="18"/>
              </w:rPr>
              <w:t>38.14%</w:t>
            </w:r>
          </w:p>
        </w:tc>
      </w:tr>
      <w:tr w:rsidR="003B07C8" w14:paraId="71F156AB" w14:textId="77777777">
        <w:tc>
          <w:tcPr>
            <w:tcW w:w="5180" w:type="dxa"/>
            <w:shd w:val="clear" w:color="auto" w:fill="DCE6F1"/>
            <w:tcMar>
              <w:top w:w="40" w:type="dxa"/>
              <w:left w:w="100" w:type="dxa"/>
              <w:bottom w:w="40" w:type="dxa"/>
              <w:right w:w="100" w:type="dxa"/>
            </w:tcMar>
            <w:vAlign w:val="center"/>
          </w:tcPr>
          <w:p w14:paraId="421900A1" w14:textId="77777777" w:rsidR="003B07C8" w:rsidRDefault="00000000">
            <w:pPr>
              <w:spacing w:before="20" w:after="20"/>
            </w:pPr>
            <w:r>
              <w:rPr>
                <w:b/>
                <w:bCs/>
                <w:color w:val="1A1A1A"/>
                <w:sz w:val="18"/>
                <w:szCs w:val="18"/>
              </w:rPr>
              <w:t>Total (100% state-owned)</w:t>
            </w:r>
          </w:p>
        </w:tc>
        <w:tc>
          <w:tcPr>
            <w:tcW w:w="2050" w:type="dxa"/>
            <w:shd w:val="clear" w:color="auto" w:fill="DCE6F1"/>
            <w:tcMar>
              <w:top w:w="40" w:type="dxa"/>
              <w:left w:w="100" w:type="dxa"/>
              <w:bottom w:w="40" w:type="dxa"/>
              <w:right w:w="100" w:type="dxa"/>
            </w:tcMar>
            <w:vAlign w:val="center"/>
          </w:tcPr>
          <w:p w14:paraId="5439E56C" w14:textId="77777777" w:rsidR="003B07C8" w:rsidRDefault="00000000">
            <w:pPr>
              <w:spacing w:before="20" w:after="20"/>
              <w:jc w:val="right"/>
            </w:pPr>
            <w:r>
              <w:rPr>
                <w:b/>
                <w:bCs/>
                <w:color w:val="1A1A1A"/>
                <w:sz w:val="18"/>
                <w:szCs w:val="18"/>
              </w:rPr>
              <w:t>17,767,115,170</w:t>
            </w:r>
          </w:p>
        </w:tc>
        <w:tc>
          <w:tcPr>
            <w:tcW w:w="1450" w:type="dxa"/>
            <w:shd w:val="clear" w:color="auto" w:fill="DCE6F1"/>
            <w:tcMar>
              <w:top w:w="40" w:type="dxa"/>
              <w:left w:w="100" w:type="dxa"/>
              <w:bottom w:w="40" w:type="dxa"/>
              <w:right w:w="100" w:type="dxa"/>
            </w:tcMar>
            <w:vAlign w:val="center"/>
          </w:tcPr>
          <w:p w14:paraId="4C233E45" w14:textId="77777777" w:rsidR="003B07C8" w:rsidRDefault="00000000">
            <w:pPr>
              <w:spacing w:before="20" w:after="20"/>
              <w:jc w:val="right"/>
            </w:pPr>
            <w:r>
              <w:rPr>
                <w:b/>
                <w:bCs/>
                <w:color w:val="1A1A1A"/>
                <w:sz w:val="18"/>
                <w:szCs w:val="18"/>
              </w:rPr>
              <w:t>17,767.1</w:t>
            </w:r>
          </w:p>
        </w:tc>
        <w:tc>
          <w:tcPr>
            <w:tcW w:w="1400" w:type="dxa"/>
            <w:shd w:val="clear" w:color="auto" w:fill="DCE6F1"/>
            <w:tcMar>
              <w:top w:w="40" w:type="dxa"/>
              <w:left w:w="100" w:type="dxa"/>
              <w:bottom w:w="40" w:type="dxa"/>
              <w:right w:w="100" w:type="dxa"/>
            </w:tcMar>
            <w:vAlign w:val="center"/>
          </w:tcPr>
          <w:p w14:paraId="7F18B554" w14:textId="77777777" w:rsidR="003B07C8" w:rsidRDefault="00000000">
            <w:pPr>
              <w:spacing w:before="20" w:after="20"/>
              <w:jc w:val="right"/>
            </w:pPr>
            <w:r>
              <w:rPr>
                <w:b/>
                <w:bCs/>
                <w:color w:val="1A1A1A"/>
                <w:sz w:val="18"/>
                <w:szCs w:val="18"/>
              </w:rPr>
              <w:t>100.00%</w:t>
            </w:r>
          </w:p>
        </w:tc>
      </w:tr>
    </w:tbl>
    <w:p w14:paraId="5296C166" w14:textId="77777777" w:rsidR="003B07C8" w:rsidRDefault="00000000">
      <w:pPr>
        <w:spacing w:before="60" w:after="120"/>
      </w:pPr>
      <w:r>
        <w:rPr>
          <w:i/>
          <w:iCs/>
          <w:color w:val="777777"/>
          <w:sz w:val="16"/>
          <w:szCs w:val="16"/>
        </w:rPr>
        <w:t>All shares are ordinary registered shares with a par value of UZS 1,000; NBU is 100% state-owned. The share register reconciles to the bank’s authorized capital of UZS 17,767.1 billion at 31 December 2025. Source: NBU investor disclosures (nbu.uz).</w:t>
      </w:r>
    </w:p>
    <w:p w14:paraId="7C8659D1" w14:textId="77777777" w:rsidR="0059742E" w:rsidRDefault="00C764C0">
      <w:pPr>
        <w:spacing w:before="60" w:after="80"/>
      </w:pPr>
      <w:r>
        <w:rPr>
          <w:color w:val="1A1A1A"/>
        </w:rPr>
        <w:lastRenderedPageBreak/>
        <w:t>NBU is the largest bank in Uzbekistan by total assets, accounting for approximately 16% of total banking sector assets as of end-2025. It is the international flagship of the Uzbekistan banking system, often described as the "visiting card" of the country in international financial markets. The bank combines the functions of a project finance bank, universal commercial bank, investment bank, and savings institution, playing a central role in financing large investment projects and supporting foreign economic activity.</w:t>
      </w:r>
    </w:p>
    <w:p w14:paraId="4930991E" w14:textId="77777777" w:rsidR="0059742E" w:rsidRDefault="00C764C0">
      <w:pPr>
        <w:spacing w:before="60" w:after="80"/>
      </w:pPr>
      <w:r>
        <w:rPr>
          <w:color w:val="1A1A1A"/>
        </w:rPr>
        <w:t>NBU operates through a nationwide network of 96 branches and representative offices across all regions of Uzbekistan, as well as international correspondent banking relationships with over 500 banks globally. The bank's primary strategic objectives include:</w:t>
      </w:r>
    </w:p>
    <w:p w14:paraId="686EE6D8" w14:textId="77777777" w:rsidR="0059742E" w:rsidRDefault="00C764C0">
      <w:pPr>
        <w:pStyle w:val="ListParagraph"/>
        <w:numPr>
          <w:ilvl w:val="0"/>
          <w:numId w:val="2"/>
        </w:numPr>
        <w:spacing w:before="40" w:after="40"/>
      </w:pPr>
      <w:r>
        <w:rPr>
          <w:color w:val="1A1A1A"/>
        </w:rPr>
        <w:t>Active lending to large investment projects in priority sectors of the economy through foreign credit lines and international capital market resources</w:t>
      </w:r>
    </w:p>
    <w:p w14:paraId="019AC93C" w14:textId="77777777" w:rsidR="0059742E" w:rsidRDefault="00C764C0">
      <w:pPr>
        <w:pStyle w:val="ListParagraph"/>
        <w:numPr>
          <w:ilvl w:val="0"/>
          <w:numId w:val="2"/>
        </w:numPr>
        <w:spacing w:before="40" w:after="40"/>
      </w:pPr>
      <w:r>
        <w:rPr>
          <w:color w:val="1A1A1A"/>
        </w:rPr>
        <w:t>Servicing foreign trade operations of domestic enterprises at international standards, including letters of credit, guarantees, factoring and documentary operations</w:t>
      </w:r>
    </w:p>
    <w:p w14:paraId="2A26B154" w14:textId="77777777" w:rsidR="0059742E" w:rsidRDefault="00C764C0">
      <w:pPr>
        <w:pStyle w:val="ListParagraph"/>
        <w:numPr>
          <w:ilvl w:val="0"/>
          <w:numId w:val="2"/>
        </w:numPr>
        <w:spacing w:before="40" w:after="40"/>
      </w:pPr>
      <w:r>
        <w:rPr>
          <w:color w:val="1A1A1A"/>
        </w:rPr>
        <w:t>Retail and SME banking services, including mortgage lending, car loans, salary projects and digital banking via the Milliy Mobile App</w:t>
      </w:r>
    </w:p>
    <w:p w14:paraId="296DB5A4" w14:textId="77777777" w:rsidR="0059742E" w:rsidRDefault="00C764C0">
      <w:pPr>
        <w:pStyle w:val="ListParagraph"/>
        <w:numPr>
          <w:ilvl w:val="0"/>
          <w:numId w:val="2"/>
        </w:numPr>
        <w:spacing w:before="40" w:after="40"/>
      </w:pPr>
      <w:r>
        <w:rPr>
          <w:color w:val="1A1A1A"/>
        </w:rPr>
        <w:t>Development of capital market and investment banking activities, including underwriting and Eurobond issuances</w:t>
      </w:r>
    </w:p>
    <w:p w14:paraId="70DE168D" w14:textId="77777777" w:rsidR="0059742E" w:rsidRDefault="00C764C0">
      <w:pPr>
        <w:pStyle w:val="ListParagraph"/>
        <w:numPr>
          <w:ilvl w:val="0"/>
          <w:numId w:val="2"/>
        </w:numPr>
        <w:spacing w:before="40" w:after="40"/>
      </w:pPr>
      <w:r>
        <w:rPr>
          <w:color w:val="1A1A1A"/>
        </w:rPr>
        <w:t>Attracting foreign investments and advanced technologies to the Uzbek economy through long-term international borrowings</w:t>
      </w:r>
    </w:p>
    <w:p w14:paraId="131409BC" w14:textId="77777777" w:rsidR="0059742E" w:rsidRDefault="00C764C0">
      <w:pPr>
        <w:spacing w:before="60" w:after="80"/>
      </w:pPr>
      <w:r>
        <w:rPr>
          <w:color w:val="1A1A1A"/>
        </w:rPr>
        <w:t>In July 2025, NBU successfully priced a dual-tranche Eurobond consisting of a USD 300 million, 5-year senior bond at 7.2% coupon and a UZS 1.5 trillion, 3-year local-currency bond at 17.95% coupon — the latter settled in USD. Both tranches attracted strong investor demand, with order books significantly oversubscribed.</w:t>
      </w:r>
    </w:p>
    <w:p w14:paraId="02C63FC0" w14:textId="77777777" w:rsidR="003B07C8" w:rsidRDefault="00000000">
      <w:pPr>
        <w:pBdr>
          <w:bottom w:val="single" w:sz="4" w:space="2" w:color="2E6DA4"/>
        </w:pBdr>
        <w:spacing w:before="200" w:after="80"/>
      </w:pPr>
      <w:r>
        <w:rPr>
          <w:b/>
          <w:bCs/>
          <w:color w:val="2E6DA4"/>
          <w:sz w:val="22"/>
          <w:szCs w:val="22"/>
        </w:rPr>
        <w:t>1.2 Shareholders</w:t>
      </w:r>
    </w:p>
    <w:p w14:paraId="0A88630C" w14:textId="77777777" w:rsidR="003B07C8" w:rsidRDefault="00000000">
      <w:pPr>
        <w:spacing w:before="60" w:after="80"/>
      </w:pPr>
      <w:r>
        <w:rPr>
          <w:color w:val="1A1A1A"/>
        </w:rPr>
        <w:t>NBU is 100% state-owned. Following its 2019 transformation from a unitary enterprise into a joint-stock company (Presidential Resolution PP-4540 of 30 November 2019), the bank is held by two arms of the Government of the Republic of Uzbekistan: the Fund for Reconstruction and Development of the Republic of Uzbekistan (UFRD), which holds 61.86%, and the Ministry of Economy and Finance of the Republic of Uzbekistan, which holds 38.14% (see the shareholder table in Section 1.1). The ultimate shareholder is therefore the Republic of Uzbekistan, and the bank is treated by the rating agencies as a quasi-sovereign entity.</w:t>
      </w:r>
    </w:p>
    <w:p w14:paraId="2D4C82FA" w14:textId="77777777" w:rsidR="003B07C8" w:rsidRDefault="00000000">
      <w:pPr>
        <w:spacing w:before="60" w:after="80"/>
      </w:pPr>
      <w:r>
        <w:rPr>
          <w:color w:val="1A1A1A"/>
        </w:rPr>
        <w:t>State ownership is central to the credit. The government has provided recurring capital support through subscriptions to NBU’s authorized capital, which rose to UZS 17,767.1 billion at 31 December 2025; the share register reconciles directly to this figure. This pattern of capital injections, together with NBU’s systemic importance and policy role, underpins the agencies’ assessment of a very high probability of extraordinary state support.</w:t>
      </w:r>
    </w:p>
    <w:p w14:paraId="6B498374" w14:textId="77777777" w:rsidR="003B07C8" w:rsidRDefault="00000000">
      <w:pPr>
        <w:spacing w:before="60" w:after="80"/>
      </w:pPr>
      <w:r>
        <w:rPr>
          <w:color w:val="1A1A1A"/>
        </w:rPr>
        <w:t>As part of Uzbekistan’s banking-sector reform programme, NBU is among the state-owned institutions potentially subject to future partial privatisation through an IPO or strategic-investor process. Any reduction in state ownership below a controlling stake, or a change of control, would be a covenant review event under the proposed terms (see Section 7.2), given that quasi-sovereign support is core to the credit profile.</w:t>
      </w:r>
    </w:p>
    <w:p w14:paraId="7E44F781" w14:textId="77777777" w:rsidR="003B07C8" w:rsidRDefault="00000000">
      <w:pPr>
        <w:pBdr>
          <w:bottom w:val="single" w:sz="4" w:space="2" w:color="2E6DA4"/>
        </w:pBdr>
        <w:spacing w:before="200" w:after="80"/>
      </w:pPr>
      <w:r>
        <w:rPr>
          <w:b/>
          <w:bCs/>
          <w:color w:val="2E6DA4"/>
          <w:sz w:val="22"/>
          <w:szCs w:val="22"/>
        </w:rPr>
        <w:t>1.3 Subsidiary List</w:t>
      </w:r>
    </w:p>
    <w:p w14:paraId="36D809EC" w14:textId="77777777" w:rsidR="003B07C8" w:rsidRDefault="00000000">
      <w:pPr>
        <w:spacing w:before="60" w:after="80"/>
      </w:pPr>
      <w:r>
        <w:rPr>
          <w:color w:val="1A1A1A"/>
        </w:rPr>
        <w:t>NBU heads a banking group and prepares consolidated IFRS financial statements. Non-controlling interests were only UZS 103.4 billion at 30 June 2025 (approximately 0.5% of total equity), indicating that the consolidated subsidiaries are predominantly wholly-owned and that the bank itself accounts for substantially all group assets. NBU’s strategic equity participations and industrial holdings are held and managed through its asset-management arm, NBU Invest Group. The principal subsidiaries and associated undertakings identified from public disclosures are summarised below.</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3050"/>
        <w:gridCol w:w="3050"/>
        <w:gridCol w:w="1480"/>
        <w:gridCol w:w="2500"/>
      </w:tblGrid>
      <w:tr w:rsidR="003B07C8" w14:paraId="619CB9C8" w14:textId="77777777">
        <w:tc>
          <w:tcPr>
            <w:tcW w:w="3050" w:type="dxa"/>
            <w:shd w:val="clear" w:color="auto" w:fill="2E4057"/>
            <w:tcMar>
              <w:top w:w="40" w:type="dxa"/>
              <w:left w:w="100" w:type="dxa"/>
              <w:bottom w:w="40" w:type="dxa"/>
              <w:right w:w="100" w:type="dxa"/>
            </w:tcMar>
            <w:vAlign w:val="center"/>
          </w:tcPr>
          <w:p w14:paraId="19017888" w14:textId="77777777" w:rsidR="003B07C8" w:rsidRDefault="00000000">
            <w:pPr>
              <w:spacing w:before="20" w:after="20"/>
            </w:pPr>
            <w:r>
              <w:rPr>
                <w:b/>
                <w:bCs/>
                <w:color w:val="FFFFFF"/>
                <w:sz w:val="18"/>
                <w:szCs w:val="18"/>
              </w:rPr>
              <w:t>Entity</w:t>
            </w:r>
          </w:p>
        </w:tc>
        <w:tc>
          <w:tcPr>
            <w:tcW w:w="3050" w:type="dxa"/>
            <w:shd w:val="clear" w:color="auto" w:fill="2E4057"/>
            <w:tcMar>
              <w:top w:w="40" w:type="dxa"/>
              <w:left w:w="100" w:type="dxa"/>
              <w:bottom w:w="40" w:type="dxa"/>
              <w:right w:w="100" w:type="dxa"/>
            </w:tcMar>
            <w:vAlign w:val="center"/>
          </w:tcPr>
          <w:p w14:paraId="6879AC0E" w14:textId="77777777" w:rsidR="003B07C8" w:rsidRDefault="00000000">
            <w:pPr>
              <w:spacing w:before="20" w:after="20"/>
            </w:pPr>
            <w:r>
              <w:rPr>
                <w:b/>
                <w:bCs/>
                <w:color w:val="FFFFFF"/>
                <w:sz w:val="18"/>
                <w:szCs w:val="18"/>
              </w:rPr>
              <w:t>Principal activity</w:t>
            </w:r>
          </w:p>
        </w:tc>
        <w:tc>
          <w:tcPr>
            <w:tcW w:w="1480" w:type="dxa"/>
            <w:shd w:val="clear" w:color="auto" w:fill="2E4057"/>
            <w:tcMar>
              <w:top w:w="40" w:type="dxa"/>
              <w:left w:w="100" w:type="dxa"/>
              <w:bottom w:w="40" w:type="dxa"/>
              <w:right w:w="100" w:type="dxa"/>
            </w:tcMar>
            <w:vAlign w:val="center"/>
          </w:tcPr>
          <w:p w14:paraId="1ECA8D33" w14:textId="77777777" w:rsidR="003B07C8" w:rsidRDefault="00000000">
            <w:pPr>
              <w:spacing w:before="20" w:after="20"/>
              <w:jc w:val="right"/>
            </w:pPr>
            <w:r>
              <w:rPr>
                <w:b/>
                <w:bCs/>
                <w:color w:val="FFFFFF"/>
                <w:sz w:val="18"/>
                <w:szCs w:val="18"/>
              </w:rPr>
              <w:t>NBU stake</w:t>
            </w:r>
          </w:p>
        </w:tc>
        <w:tc>
          <w:tcPr>
            <w:tcW w:w="2500" w:type="dxa"/>
            <w:shd w:val="clear" w:color="auto" w:fill="2E4057"/>
            <w:tcMar>
              <w:top w:w="40" w:type="dxa"/>
              <w:left w:w="100" w:type="dxa"/>
              <w:bottom w:w="40" w:type="dxa"/>
              <w:right w:w="100" w:type="dxa"/>
            </w:tcMar>
            <w:vAlign w:val="center"/>
          </w:tcPr>
          <w:p w14:paraId="5B979785" w14:textId="77777777" w:rsidR="003B07C8" w:rsidRDefault="00000000">
            <w:pPr>
              <w:spacing w:before="20" w:after="20"/>
            </w:pPr>
            <w:r>
              <w:rPr>
                <w:b/>
                <w:bCs/>
                <w:color w:val="FFFFFF"/>
                <w:sz w:val="18"/>
                <w:szCs w:val="18"/>
              </w:rPr>
              <w:t>Notes / basis</w:t>
            </w:r>
          </w:p>
        </w:tc>
      </w:tr>
      <w:tr w:rsidR="003B07C8" w14:paraId="39034EC8" w14:textId="77777777">
        <w:tc>
          <w:tcPr>
            <w:tcW w:w="3050" w:type="dxa"/>
            <w:shd w:val="clear" w:color="auto" w:fill="FFFFFF"/>
            <w:tcMar>
              <w:top w:w="40" w:type="dxa"/>
              <w:left w:w="100" w:type="dxa"/>
              <w:bottom w:w="40" w:type="dxa"/>
              <w:right w:w="100" w:type="dxa"/>
            </w:tcMar>
            <w:vAlign w:val="center"/>
          </w:tcPr>
          <w:p w14:paraId="54902025" w14:textId="77777777" w:rsidR="003B07C8" w:rsidRDefault="00000000">
            <w:pPr>
              <w:spacing w:before="20" w:after="20"/>
            </w:pPr>
            <w:r>
              <w:rPr>
                <w:color w:val="1A1A1A"/>
                <w:sz w:val="18"/>
                <w:szCs w:val="18"/>
              </w:rPr>
              <w:lastRenderedPageBreak/>
              <w:t>NBU Invest Group LLC</w:t>
            </w:r>
          </w:p>
        </w:tc>
        <w:tc>
          <w:tcPr>
            <w:tcW w:w="3050" w:type="dxa"/>
            <w:shd w:val="clear" w:color="auto" w:fill="FFFFFF"/>
            <w:tcMar>
              <w:top w:w="40" w:type="dxa"/>
              <w:left w:w="100" w:type="dxa"/>
              <w:bottom w:w="40" w:type="dxa"/>
              <w:right w:w="100" w:type="dxa"/>
            </w:tcMar>
            <w:vAlign w:val="center"/>
          </w:tcPr>
          <w:p w14:paraId="382E1A43" w14:textId="77777777" w:rsidR="003B07C8" w:rsidRDefault="00000000">
            <w:pPr>
              <w:spacing w:before="20" w:after="20"/>
            </w:pPr>
            <w:r>
              <w:rPr>
                <w:color w:val="1A1A1A"/>
                <w:sz w:val="18"/>
                <w:szCs w:val="18"/>
              </w:rPr>
              <w:t>Asset management; holding vehicle for NBU’s strategic equity and industrial portfolio</w:t>
            </w:r>
          </w:p>
        </w:tc>
        <w:tc>
          <w:tcPr>
            <w:tcW w:w="1480" w:type="dxa"/>
            <w:shd w:val="clear" w:color="auto" w:fill="FFFFFF"/>
            <w:tcMar>
              <w:top w:w="40" w:type="dxa"/>
              <w:left w:w="100" w:type="dxa"/>
              <w:bottom w:w="40" w:type="dxa"/>
              <w:right w:w="100" w:type="dxa"/>
            </w:tcMar>
            <w:vAlign w:val="center"/>
          </w:tcPr>
          <w:p w14:paraId="5BB2489E" w14:textId="77777777" w:rsidR="003B07C8" w:rsidRDefault="00000000">
            <w:pPr>
              <w:spacing w:before="20" w:after="20"/>
              <w:jc w:val="right"/>
            </w:pPr>
            <w:r>
              <w:rPr>
                <w:color w:val="1A1A1A"/>
                <w:sz w:val="18"/>
                <w:szCs w:val="18"/>
              </w:rPr>
              <w:t>100%*</w:t>
            </w:r>
          </w:p>
        </w:tc>
        <w:tc>
          <w:tcPr>
            <w:tcW w:w="2500" w:type="dxa"/>
            <w:shd w:val="clear" w:color="auto" w:fill="FFFFFF"/>
            <w:tcMar>
              <w:top w:w="40" w:type="dxa"/>
              <w:left w:w="100" w:type="dxa"/>
              <w:bottom w:w="40" w:type="dxa"/>
              <w:right w:w="100" w:type="dxa"/>
            </w:tcMar>
            <w:vAlign w:val="center"/>
          </w:tcPr>
          <w:p w14:paraId="6198ABCA" w14:textId="77777777" w:rsidR="003B07C8" w:rsidRDefault="00000000">
            <w:pPr>
              <w:spacing w:before="20" w:after="20"/>
            </w:pPr>
            <w:r>
              <w:rPr>
                <w:color w:val="1A1A1A"/>
                <w:sz w:val="18"/>
                <w:szCs w:val="18"/>
              </w:rPr>
              <w:t>Manages stakes in priority sectors (textiles, construction materials, agriculture, etc.)</w:t>
            </w:r>
          </w:p>
        </w:tc>
      </w:tr>
      <w:tr w:rsidR="003B07C8" w14:paraId="4B142E19" w14:textId="77777777">
        <w:tc>
          <w:tcPr>
            <w:tcW w:w="3050" w:type="dxa"/>
            <w:shd w:val="clear" w:color="auto" w:fill="FFFFFF"/>
            <w:tcMar>
              <w:top w:w="40" w:type="dxa"/>
              <w:left w:w="100" w:type="dxa"/>
              <w:bottom w:w="40" w:type="dxa"/>
              <w:right w:w="100" w:type="dxa"/>
            </w:tcMar>
            <w:vAlign w:val="center"/>
          </w:tcPr>
          <w:p w14:paraId="4EF225CC" w14:textId="77777777" w:rsidR="003B07C8" w:rsidRDefault="00000000">
            <w:pPr>
              <w:spacing w:before="20" w:after="20"/>
            </w:pPr>
            <w:r>
              <w:rPr>
                <w:color w:val="1A1A1A"/>
                <w:sz w:val="18"/>
                <w:szCs w:val="18"/>
              </w:rPr>
              <w:t>Uzbek Leasing International A.O. (ULI)</w:t>
            </w:r>
          </w:p>
        </w:tc>
        <w:tc>
          <w:tcPr>
            <w:tcW w:w="3050" w:type="dxa"/>
            <w:shd w:val="clear" w:color="auto" w:fill="FFFFFF"/>
            <w:tcMar>
              <w:top w:w="40" w:type="dxa"/>
              <w:left w:w="100" w:type="dxa"/>
              <w:bottom w:w="40" w:type="dxa"/>
              <w:right w:w="100" w:type="dxa"/>
            </w:tcMar>
            <w:vAlign w:val="center"/>
          </w:tcPr>
          <w:p w14:paraId="3AA0E677" w14:textId="77777777" w:rsidR="003B07C8" w:rsidRDefault="00000000">
            <w:pPr>
              <w:spacing w:before="20" w:after="20"/>
            </w:pPr>
            <w:r>
              <w:rPr>
                <w:color w:val="1A1A1A"/>
                <w:sz w:val="18"/>
                <w:szCs w:val="18"/>
              </w:rPr>
              <w:t>SME and equipment leasing</w:t>
            </w:r>
          </w:p>
        </w:tc>
        <w:tc>
          <w:tcPr>
            <w:tcW w:w="1480" w:type="dxa"/>
            <w:shd w:val="clear" w:color="auto" w:fill="FFFFFF"/>
            <w:tcMar>
              <w:top w:w="40" w:type="dxa"/>
              <w:left w:w="100" w:type="dxa"/>
              <w:bottom w:w="40" w:type="dxa"/>
              <w:right w:w="100" w:type="dxa"/>
            </w:tcMar>
            <w:vAlign w:val="center"/>
          </w:tcPr>
          <w:p w14:paraId="49B63786" w14:textId="77777777" w:rsidR="003B07C8" w:rsidRDefault="00000000">
            <w:pPr>
              <w:spacing w:before="20" w:after="20"/>
              <w:jc w:val="right"/>
            </w:pPr>
            <w:r>
              <w:rPr>
                <w:color w:val="1A1A1A"/>
                <w:sz w:val="18"/>
                <w:szCs w:val="18"/>
              </w:rPr>
              <w:t>45.5%</w:t>
            </w:r>
          </w:p>
        </w:tc>
        <w:tc>
          <w:tcPr>
            <w:tcW w:w="2500" w:type="dxa"/>
            <w:shd w:val="clear" w:color="auto" w:fill="FFFFFF"/>
            <w:tcMar>
              <w:top w:w="40" w:type="dxa"/>
              <w:left w:w="100" w:type="dxa"/>
              <w:bottom w:w="40" w:type="dxa"/>
              <w:right w:w="100" w:type="dxa"/>
            </w:tcMar>
            <w:vAlign w:val="center"/>
          </w:tcPr>
          <w:p w14:paraId="6E7CF6C7" w14:textId="77777777" w:rsidR="003B07C8" w:rsidRDefault="00000000">
            <w:pPr>
              <w:spacing w:before="20" w:after="20"/>
            </w:pPr>
            <w:r>
              <w:rPr>
                <w:color w:val="1A1A1A"/>
                <w:sz w:val="18"/>
                <w:szCs w:val="18"/>
              </w:rPr>
              <w:t>Associate; co-shareholders Uzbek-Oman Investment Co. (44.1%) and Maybank (10.4%) (IFC, 2022)</w:t>
            </w:r>
          </w:p>
        </w:tc>
      </w:tr>
      <w:tr w:rsidR="003B07C8" w14:paraId="61D498F1" w14:textId="77777777">
        <w:tc>
          <w:tcPr>
            <w:tcW w:w="3050" w:type="dxa"/>
            <w:shd w:val="clear" w:color="auto" w:fill="FFFFFF"/>
            <w:tcMar>
              <w:top w:w="40" w:type="dxa"/>
              <w:left w:w="100" w:type="dxa"/>
              <w:bottom w:w="40" w:type="dxa"/>
              <w:right w:w="100" w:type="dxa"/>
            </w:tcMar>
            <w:vAlign w:val="center"/>
          </w:tcPr>
          <w:p w14:paraId="60394E05" w14:textId="77777777" w:rsidR="003B07C8" w:rsidRDefault="00000000">
            <w:pPr>
              <w:spacing w:before="20" w:after="20"/>
            </w:pPr>
            <w:r>
              <w:rPr>
                <w:color w:val="1A1A1A"/>
                <w:sz w:val="18"/>
                <w:szCs w:val="18"/>
              </w:rPr>
              <w:t>Strategic equity / industrial holdings</w:t>
            </w:r>
          </w:p>
        </w:tc>
        <w:tc>
          <w:tcPr>
            <w:tcW w:w="3050" w:type="dxa"/>
            <w:shd w:val="clear" w:color="auto" w:fill="FFFFFF"/>
            <w:tcMar>
              <w:top w:w="40" w:type="dxa"/>
              <w:left w:w="100" w:type="dxa"/>
              <w:bottom w:w="40" w:type="dxa"/>
              <w:right w:w="100" w:type="dxa"/>
            </w:tcMar>
            <w:vAlign w:val="center"/>
          </w:tcPr>
          <w:p w14:paraId="117306F6" w14:textId="77777777" w:rsidR="003B07C8" w:rsidRDefault="00000000">
            <w:pPr>
              <w:spacing w:before="20" w:after="20"/>
            </w:pPr>
            <w:r>
              <w:rPr>
                <w:color w:val="1A1A1A"/>
                <w:sz w:val="18"/>
                <w:szCs w:val="18"/>
              </w:rPr>
              <w:t>Equity participations in priority economic sectors</w:t>
            </w:r>
          </w:p>
        </w:tc>
        <w:tc>
          <w:tcPr>
            <w:tcW w:w="1480" w:type="dxa"/>
            <w:shd w:val="clear" w:color="auto" w:fill="FFFFFF"/>
            <w:tcMar>
              <w:top w:w="40" w:type="dxa"/>
              <w:left w:w="100" w:type="dxa"/>
              <w:bottom w:w="40" w:type="dxa"/>
              <w:right w:w="100" w:type="dxa"/>
            </w:tcMar>
            <w:vAlign w:val="center"/>
          </w:tcPr>
          <w:p w14:paraId="04DEC97D" w14:textId="77777777" w:rsidR="003B07C8" w:rsidRDefault="00000000">
            <w:pPr>
              <w:spacing w:before="20" w:after="20"/>
              <w:jc w:val="right"/>
            </w:pPr>
            <w:r>
              <w:rPr>
                <w:color w:val="1A1A1A"/>
                <w:sz w:val="18"/>
                <w:szCs w:val="18"/>
              </w:rPr>
              <w:t>Various</w:t>
            </w:r>
          </w:p>
        </w:tc>
        <w:tc>
          <w:tcPr>
            <w:tcW w:w="2500" w:type="dxa"/>
            <w:shd w:val="clear" w:color="auto" w:fill="FFFFFF"/>
            <w:tcMar>
              <w:top w:w="40" w:type="dxa"/>
              <w:left w:w="100" w:type="dxa"/>
              <w:bottom w:w="40" w:type="dxa"/>
              <w:right w:w="100" w:type="dxa"/>
            </w:tcMar>
            <w:vAlign w:val="center"/>
          </w:tcPr>
          <w:p w14:paraId="71E463C6" w14:textId="77777777" w:rsidR="003B07C8" w:rsidRDefault="00000000">
            <w:pPr>
              <w:spacing w:before="20" w:after="20"/>
            </w:pPr>
            <w:r>
              <w:rPr>
                <w:color w:val="1A1A1A"/>
                <w:sz w:val="18"/>
                <w:szCs w:val="18"/>
              </w:rPr>
              <w:t>Held and managed via NBU Invest Group; consolidated where controlled</w:t>
            </w:r>
          </w:p>
        </w:tc>
      </w:tr>
    </w:tbl>
    <w:p w14:paraId="33FC32B0" w14:textId="77777777" w:rsidR="003B07C8" w:rsidRDefault="00000000">
      <w:pPr>
        <w:spacing w:before="60" w:after="120"/>
      </w:pPr>
      <w:r>
        <w:rPr>
          <w:i/>
          <w:iCs/>
          <w:color w:val="777777"/>
          <w:sz w:val="16"/>
          <w:szCs w:val="16"/>
        </w:rPr>
        <w:t>* Ownership stakes marked with an asterisk, and the complete list of consolidated subsidiaries, are to be confirmed from the notes to NBU’s IFRS consolidated financial statements (provided as an attachment per Section 2.1). NBU has also historically held a banking subsidiary in Russia (Asia Invest Bank, Moscow); its current status should be confirmed. Sources: NBU Invest Group (nbuig.uz); IFC project disclosure (Uzbek Leasing International, 2022); NBU interim IFRS financial statements, 30 June 2025.</w:t>
      </w:r>
    </w:p>
    <w:p w:rsidR="003B07C8" w:rsidRDefault="00000000">
      <w:pPr>
        <w:pBdr>
          <w:bottom w:val="single" w:sz="4" w:space="2" w:color="2E6DA4"/>
        </w:pBdr>
        <w:spacing w:before="200" w:after="80"/>
      </w:pPr>
      <w:r>
        <w:rPr>
          <w:b/>
          <w:bCs/>
          <w:color w:val="2E6DA4"/>
          <w:sz w:val="22"/>
          <w:szCs w:val="22"/>
        </w:rPr>
        <w:t>1.4 Client Management and Transaction Structure</w:t>
      </w:r>
    </w:p>
    <w:p w:rsidR="003B07C8" w:rsidRDefault="00000000">
      <w:pPr>
        <w:spacing w:before="60" w:after="80"/>
      </w:pPr>
      <w:r>
        <w:rPr>
          <w:color w:val="1A1A1A"/>
        </w:rPr>
        <w:t>ICBC Almaty Branch is the client management branch for NBU and holds primary relationship responsibility for the Bank within the ICBC group. The client’s internal rating status is currently pending final approval, with the internal rating expected to be sA+, valid for one year. The total approved credit limit for NBU is also pending approval, at CNH 500 million in aggregate, to be committed across three ICBC entities — ICBC Almaty Branch and ICBC (Asia) each committing CNH 100 million, and ICBC (Dubai) committing CNH 300 million, the last corresponding to the proposed participation in the Facility described above. The credit-limit details relevant to this transaction are summarised below.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6120"/>
      </w:tblGrid>
      <w:tr>
        <w:tc>
          <w:tcPr>
            <w:tcW w:w="3960"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pPr>
              <w:jc w:val="center"/>
            </w:pPr>
            <w:r>
              <w:rPr>
                <w:b/>
                <w:bCs/>
                <w:color w:val="FFFFFF"/>
                <w:sz w:val="18"/>
                <w:szCs w:val="18"/>
              </w:rPr>
              <w:t>Item</w:t>
            </w:r>
          </w:p>
        </w:tc>
        <w:tc>
          <w:tcPr>
            <w:tcW w:w="6120"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pPr>
              <w:jc w:val="center"/>
            </w:pPr>
            <w:r>
              <w:rPr>
                <w:b/>
                <w:bCs/>
                <w:color w:val="FFFFFF"/>
                <w:sz w:val="18"/>
                <w:szCs w:val="18"/>
              </w:rPr>
              <w:t>Detail</w:t>
            </w:r>
          </w:p>
        </w:tc>
      </w:tr>
      <w:tr>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r>
              <w:rPr>
                <w:b/>
                <w:bCs/>
                <w:color w:val="1A1A1A"/>
                <w:sz w:val="18"/>
                <w:szCs w:val="18"/>
              </w:rPr>
              <w:t>Client management branch</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r>
              <w:rPr>
                <w:color w:val="1A1A1A"/>
                <w:sz w:val="18"/>
                <w:szCs w:val="18"/>
              </w:rPr>
              <w:t>ICBC Almaty Branch is the client management branch for NBU.</w:t>
            </w:r>
          </w:p>
        </w:tc>
      </w:tr>
      <w:tr>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r>
              <w:rPr>
                <w:b/>
                <w:bCs/>
                <w:color w:val="1A1A1A"/>
                <w:sz w:val="18"/>
                <w:szCs w:val="18"/>
              </w:rPr>
              <w:t>Internal rating (status)</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r>
              <w:rPr>
                <w:color w:val="1A1A1A"/>
                <w:sz w:val="18"/>
                <w:szCs w:val="18"/>
              </w:rPr>
              <w:t>sA+ (pending final approval); valid for one year.</w:t>
            </w:r>
          </w:p>
        </w:tc>
      </w:tr>
      <w:tr>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r>
              <w:rPr>
                <w:b/>
                <w:bCs/>
                <w:color w:val="1A1A1A"/>
                <w:sz w:val="18"/>
                <w:szCs w:val="18"/>
              </w:rPr>
              <w:t>Total approved credit limit (pending)</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r>
              <w:rPr>
                <w:color w:val="1A1A1A"/>
                <w:sz w:val="18"/>
                <w:szCs w:val="18"/>
              </w:rPr>
              <w:t>CNH 500 million in aggregate — ICBC Almaty Branch CNH 100 million, ICBC (Asia) CNH 100 million and ICBC (Dubai) CNH 300 million.</w:t>
            </w:r>
          </w:p>
        </w:tc>
      </w:tr>
      <w:tr>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r>
              <w:rPr>
                <w:b/>
                <w:bCs/>
                <w:color w:val="1A1A1A"/>
                <w:sz w:val="18"/>
                <w:szCs w:val="18"/>
              </w:rPr>
              <w:t>Relevant credit-limit section</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r>
              <w:rPr>
                <w:color w:val="1A1A1A"/>
                <w:sz w:val="18"/>
                <w:szCs w:val="18"/>
              </w:rPr>
              <w:t>Intra-banking (inter-bank) credit.</w:t>
            </w:r>
          </w:p>
        </w:tc>
      </w:tr>
      <w:tr>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r>
              <w:rPr>
                <w:b/>
                <w:bCs/>
                <w:color w:val="1A1A1A"/>
                <w:sz w:val="18"/>
                <w:szCs w:val="18"/>
              </w:rPr>
              <w:t>Validity period of the current credit limit</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r>
              <w:rPr>
                <w:color w:val="1A1A1A"/>
                <w:sz w:val="18"/>
                <w:szCs w:val="18"/>
              </w:rPr>
              <w:t>1 year.</w:t>
            </w:r>
          </w:p>
        </w:tc>
      </w:tr>
      <w:tr>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r>
              <w:rPr>
                <w:b/>
                <w:bCs/>
                <w:color w:val="1A1A1A"/>
                <w:sz w:val="18"/>
                <w:szCs w:val="18"/>
              </w:rPr>
              <w:t>Current available credit limit</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r>
              <w:rPr>
                <w:color w:val="1A1A1A"/>
                <w:sz w:val="18"/>
                <w:szCs w:val="18"/>
              </w:rPr>
              <w:t>Nil (CNH 0).</w:t>
            </w:r>
          </w:p>
        </w:tc>
      </w:tr>
      <w:tr>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r>
              <w:rPr>
                <w:b/>
                <w:bCs/>
                <w:color w:val="1A1A1A"/>
                <w:sz w:val="18"/>
                <w:szCs w:val="18"/>
              </w:rPr>
              <w:t>Sufficient limit available for the proposed syndication</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r>
              <w:rPr>
                <w:color w:val="1A1A1A"/>
                <w:sz w:val="18"/>
                <w:szCs w:val="18"/>
              </w:rPr>
              <w:t>Yes, upon approval.</w:t>
            </w:r>
          </w:p>
        </w:tc>
      </w:tr>
      <w:tr>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r>
              <w:rPr>
                <w:b/>
                <w:bCs/>
                <w:color w:val="1A1A1A"/>
                <w:sz w:val="18"/>
                <w:szCs w:val="18"/>
              </w:rPr>
              <w:t>Restrictions or conditions in the latest credit-limit approval relevant to this transaction</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r>
              <w:rPr>
                <w:color w:val="1A1A1A"/>
                <w:sz w:val="18"/>
                <w:szCs w:val="18"/>
              </w:rPr>
              <w:t>Not expected.</w:t>
            </w:r>
          </w:p>
        </w:tc>
      </w:tr>
    </w:tbl>
    <w:p w14:paraId="6D315B4F" w14:textId="77777777" w:rsidR="0059742E" w:rsidRDefault="00C764C0">
      <w:r>
        <w:br w:type="page"/>
      </w:r>
    </w:p>
    <w:p w14:paraId="1988C995" w14:textId="77777777" w:rsidR="0059742E" w:rsidRDefault="00C764C0">
      <w:pPr>
        <w:spacing w:before="280" w:after="120"/>
      </w:pPr>
      <w:r>
        <w:rPr>
          <w:b/>
          <w:bCs/>
          <w:color w:val="1A3A5C"/>
          <w:sz w:val="26"/>
          <w:szCs w:val="26"/>
        </w:rPr>
        <w:lastRenderedPageBreak/>
        <w:t>Part 2 - Evaluation and Financial Position</w:t>
      </w:r>
    </w:p>
    <w:p w14:paraId="2FAA118D" w14:textId="77777777" w:rsidR="0059742E" w:rsidRDefault="00C764C0">
      <w:pPr>
        <w:pBdr>
          <w:bottom w:val="single" w:sz="4" w:space="2" w:color="2E6DA4"/>
        </w:pBdr>
        <w:spacing w:before="200" w:after="80"/>
      </w:pPr>
      <w:r>
        <w:rPr>
          <w:b/>
          <w:bCs/>
          <w:color w:val="2E6DA4"/>
          <w:sz w:val="22"/>
          <w:szCs w:val="22"/>
        </w:rPr>
        <w:t>2.1 Financial Situation</w:t>
      </w:r>
    </w:p>
    <w:p w14:paraId="2A701F72" w14:textId="77777777" w:rsidR="0059742E" w:rsidRDefault="00C764C0">
      <w:pPr>
        <w:spacing w:before="60" w:after="80"/>
      </w:pPr>
      <w:r>
        <w:rPr>
          <w:color w:val="1A1A1A"/>
        </w:rPr>
        <w:t>The Group’s external auditor for its IFRS consolidated financial statements is Deloitte &amp; Touche. The audited IFRS consolidated financial statements for FY2024 have been published; the most recent IFRS financial information available is the reviewed (not audited) interim condensed consolidated financial statements for the six months ended 30 June 2025 (“2025 1H”), on which Deloitte &amp; Touche issued a limited-assurance review conclusion (i.e. a review, not an audit). The FY2025 IFRS audit is pending as of the report date. Accordingly, the financial position below is presented on the 2025 1H reviewed IFRS basis, with the 31 December 2024 and 31 December 2023 (balance sheet) and six-months-to-30-June-2024 and full-year FY2023 (income statement) comparatives shown for reference. The 31 December 2023 and FY2023 comparatives are drawn from the audited IFRS consolidated financial statements for the year ended 31 December 2023. No year-on-year percentage change is presented, because a six-month interim period is not directly comparable with a full prior year. The complete reviewed interim IFRS financial statements for 2025 1H are provided as a separate attachment and prevail over the summary below. Figures are in UZS millions unless noted.</w:t>
      </w:r>
    </w:p>
    <w:p w14:paraId="2A732E5C" w14:textId="77777777" w:rsidR="00BA183A" w:rsidRDefault="00000000">
      <w:pPr>
        <w:spacing w:before="180" w:after="60"/>
      </w:pPr>
      <w:r>
        <w:rPr>
          <w:b/>
          <w:bCs/>
          <w:color w:val="2E6DA4"/>
        </w:rPr>
        <w:t>Interim IFRS Financial Statements (Reviewed, H1 2025)</w:t>
      </w:r>
    </w:p>
    <w:p w14:paraId="1FC64003" w14:textId="77777777" w:rsidR="00BA183A" w:rsidRDefault="00000000">
      <w:pPr>
        <w:spacing w:before="60" w:after="80"/>
      </w:pPr>
      <w:r>
        <w:rPr>
          <w:color w:val="1A1A1A"/>
        </w:rPr>
        <w:t>The following primary financial statements are extracted from NBU's interim condensed consolidated financial statements for the six months ended 30 June 2025, prepared under IFRS and reviewed (not audited) by Deloitte &amp; Touche, which issued a limited-assurance review conclusion. The complete statements, including the accompanying notes and the independent auditor's review report, are provided as a separate attachment and prevail over this summary. Figures are in UZS millions. Certain captions have been grouped for presentation; "Other assets", "Other liabilities" and "Other reserves and retained earnings" aggregate the remaining balance-sheet captions.</w:t>
      </w:r>
    </w:p>
    <w:p w14:paraId="13927C99" w14:textId="77777777" w:rsidR="00BA183A" w:rsidRDefault="00000000">
      <w:pPr>
        <w:spacing w:before="180" w:after="60"/>
      </w:pPr>
      <w:r>
        <w:rPr>
          <w:b/>
          <w:bCs/>
          <w:color w:val="2E6DA4"/>
        </w:rPr>
        <w:t>Interim Condensed Consolidated Statement of Financial Position (30 June 2025)</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4320"/>
        <w:gridCol w:w="1920"/>
        <w:gridCol w:w="1920"/>
        <w:gridCol w:w="1920"/>
      </w:tblGrid>
      <w:tr w:rsidR="00BA183A" w14:paraId="5178986E" w14:textId="77777777">
        <w:tc>
          <w:tcPr>
            <w:tcW w:w="4320" w:type="dxa"/>
            <w:shd w:val="clear" w:color="auto" w:fill="2E4057"/>
            <w:tcMar>
              <w:top w:w="40" w:type="dxa"/>
              <w:left w:w="100" w:type="dxa"/>
              <w:bottom w:w="40" w:type="dxa"/>
              <w:right w:w="100" w:type="dxa"/>
            </w:tcMar>
            <w:vAlign w:val="center"/>
          </w:tcPr>
          <w:p w14:paraId="75C2B453" w14:textId="77777777" w:rsidR="00BA183A" w:rsidRDefault="00000000">
            <w:pPr>
              <w:spacing w:before="20" w:after="20"/>
            </w:pPr>
            <w:r>
              <w:rPr>
                <w:b/>
                <w:bCs/>
                <w:color w:val="FFFFFF"/>
                <w:sz w:val="18"/>
                <w:szCs w:val="18"/>
              </w:rPr>
              <w:t>UZS millions</w:t>
            </w:r>
          </w:p>
        </w:tc>
        <w:tc>
          <w:tcPr>
            <w:tcW w:w="1920" w:type="dxa"/>
            <w:shd w:val="clear" w:color="auto" w:fill="2E4057"/>
            <w:tcMar>
              <w:top w:w="40" w:type="dxa"/>
              <w:left w:w="100" w:type="dxa"/>
              <w:bottom w:w="40" w:type="dxa"/>
              <w:right w:w="100" w:type="dxa"/>
            </w:tcMar>
            <w:vAlign w:val="center"/>
          </w:tcPr>
          <w:p w14:paraId="498CBD94" w14:textId="77777777" w:rsidR="00BA183A" w:rsidRDefault="00000000">
            <w:pPr>
              <w:spacing w:before="20" w:after="20"/>
              <w:jc w:val="right"/>
            </w:pPr>
            <w:r>
              <w:rPr>
                <w:b/>
                <w:bCs/>
                <w:color w:val="FFFFFF"/>
                <w:sz w:val="18"/>
                <w:szCs w:val="18"/>
              </w:rPr>
              <w:t>30 Jun 2025</w:t>
            </w:r>
          </w:p>
        </w:tc>
        <w:tc>
          <w:tcPr>
            <w:tcW w:w="1920" w:type="dxa"/>
            <w:shd w:val="clear" w:color="auto" w:fill="2E4057"/>
            <w:tcMar>
              <w:top w:w="40" w:type="dxa"/>
              <w:left w:w="100" w:type="dxa"/>
              <w:bottom w:w="40" w:type="dxa"/>
              <w:right w:w="100" w:type="dxa"/>
            </w:tcMar>
            <w:vAlign w:val="center"/>
          </w:tcPr>
          <w:p w14:paraId="3751A01F" w14:textId="77777777" w:rsidR="00BA183A" w:rsidRDefault="00000000">
            <w:pPr>
              <w:spacing w:before="20" w:after="20"/>
              <w:jc w:val="right"/>
            </w:pPr>
            <w:r>
              <w:rPr>
                <w:b/>
                <w:bCs/>
                <w:color w:val="FFFFFF"/>
                <w:sz w:val="18"/>
                <w:szCs w:val="18"/>
              </w:rPr>
              <w:t>31 Dec 2024</w:t>
            </w:r>
          </w:p>
        </w:tc>
        <w:tc>
          <w:tcPr>
            <w:tcW w:w="1920" w:type="dxa"/>
            <w:shd w:val="clear" w:color="auto" w:fill="2E4057"/>
            <w:tcMar>
              <w:top w:w="40" w:type="dxa"/>
              <w:left w:w="100" w:type="dxa"/>
              <w:bottom w:w="40" w:type="dxa"/>
              <w:right w:w="100" w:type="dxa"/>
            </w:tcMar>
            <w:vAlign w:val="center"/>
          </w:tcPr>
          <w:p w:rsidR="00BA183A" w:rsidRDefault="00000000">
            <w:pPr>
              <w:spacing w:before="20" w:after="20"/>
              <w:jc w:val="right"/>
            </w:pPr>
            <w:r>
              <w:rPr>
                <w:b/>
                <w:bCs/>
                <w:color w:val="FFFFFF"/>
                <w:sz w:val="18"/>
                <w:szCs w:val="18"/>
              </w:rPr>
              <w:t>31 Dec 2023</w:t>
            </w:r>
          </w:p>
        </w:tc>
      </w:tr>
      <w:tr w:rsidR="00BA183A" w14:paraId="3AEADA05" w14:textId="77777777">
        <w:tc>
          <w:tcPr>
            <w:tcW w:w="10080" w:type="dxa"/>
            <w:gridSpan w:val="4"/>
            <w:shd w:val="clear" w:color="auto" w:fill="EDF2F7"/>
            <w:tcMar>
              <w:top w:w="40" w:type="dxa"/>
              <w:left w:w="100" w:type="dxa"/>
              <w:bottom w:w="40" w:type="dxa"/>
              <w:right w:w="100" w:type="dxa"/>
            </w:tcMar>
            <w:vAlign w:val="center"/>
          </w:tcPr>
          <w:p w14:paraId="1A7CA5A1" w14:textId="77777777" w:rsidR="00BA183A" w:rsidRDefault="00000000">
            <w:pPr>
              <w:spacing w:before="20" w:after="20"/>
            </w:pPr>
            <w:r>
              <w:rPr>
                <w:b/>
                <w:bCs/>
                <w:color w:val="1A3A5C"/>
                <w:sz w:val="18"/>
                <w:szCs w:val="18"/>
              </w:rPr>
              <w:t>ASSETS</w:t>
            </w:r>
          </w:p>
        </w:tc>
      </w:tr>
      <w:tr w:rsidR="00BA183A" w14:paraId="382AE40A" w14:textId="77777777">
        <w:tc>
          <w:tcPr>
            <w:tcW w:w="4320" w:type="dxa"/>
            <w:shd w:val="clear" w:color="auto" w:fill="FFFFFF"/>
            <w:tcMar>
              <w:top w:w="40" w:type="dxa"/>
              <w:left w:w="100" w:type="dxa"/>
              <w:bottom w:w="40" w:type="dxa"/>
              <w:right w:w="100" w:type="dxa"/>
            </w:tcMar>
            <w:vAlign w:val="center"/>
          </w:tcPr>
          <w:p w14:paraId="5EBAC50F" w14:textId="77777777" w:rsidR="00BA183A" w:rsidRDefault="00000000">
            <w:pPr>
              <w:spacing w:before="20" w:after="20"/>
            </w:pPr>
            <w:r>
              <w:rPr>
                <w:color w:val="1A1A1A"/>
                <w:sz w:val="18"/>
                <w:szCs w:val="18"/>
              </w:rPr>
              <w:t>Cash and cash equivalents</w:t>
            </w:r>
          </w:p>
        </w:tc>
        <w:tc>
          <w:tcPr>
            <w:tcW w:w="1920" w:type="dxa"/>
            <w:shd w:val="clear" w:color="auto" w:fill="FFFFFF"/>
            <w:tcMar>
              <w:top w:w="40" w:type="dxa"/>
              <w:left w:w="100" w:type="dxa"/>
              <w:bottom w:w="40" w:type="dxa"/>
              <w:right w:w="100" w:type="dxa"/>
            </w:tcMar>
            <w:vAlign w:val="center"/>
          </w:tcPr>
          <w:p w14:paraId="3E26C916" w14:textId="77777777" w:rsidR="00BA183A" w:rsidRDefault="00000000">
            <w:pPr>
              <w:spacing w:before="20" w:after="20"/>
              <w:jc w:val="right"/>
            </w:pPr>
            <w:r>
              <w:rPr>
                <w:color w:val="1A1A1A"/>
                <w:sz w:val="18"/>
                <w:szCs w:val="18"/>
              </w:rPr>
              <w:t>27,829,851</w:t>
            </w:r>
          </w:p>
        </w:tc>
        <w:tc>
          <w:tcPr>
            <w:tcW w:w="1920" w:type="dxa"/>
            <w:shd w:val="clear" w:color="auto" w:fill="FFFFFF"/>
            <w:tcMar>
              <w:top w:w="40" w:type="dxa"/>
              <w:left w:w="100" w:type="dxa"/>
              <w:bottom w:w="40" w:type="dxa"/>
              <w:right w:w="100" w:type="dxa"/>
            </w:tcMar>
            <w:vAlign w:val="center"/>
          </w:tcPr>
          <w:p w14:paraId="70FD1566" w14:textId="77777777" w:rsidR="00BA183A" w:rsidRDefault="00000000">
            <w:pPr>
              <w:spacing w:before="20" w:after="20"/>
              <w:jc w:val="right"/>
            </w:pPr>
            <w:r>
              <w:rPr>
                <w:color w:val="1A1A1A"/>
                <w:sz w:val="18"/>
                <w:szCs w:val="18"/>
              </w:rPr>
              <w:t>18,422,741</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14,377,483</w:t>
            </w:r>
          </w:p>
        </w:tc>
      </w:tr>
      <w:tr w:rsidR="00BA183A" w14:paraId="32B84908" w14:textId="77777777">
        <w:tc>
          <w:tcPr>
            <w:tcW w:w="4320" w:type="dxa"/>
            <w:shd w:val="clear" w:color="auto" w:fill="FFFFFF"/>
            <w:tcMar>
              <w:top w:w="40" w:type="dxa"/>
              <w:left w:w="100" w:type="dxa"/>
              <w:bottom w:w="40" w:type="dxa"/>
              <w:right w:w="100" w:type="dxa"/>
            </w:tcMar>
            <w:vAlign w:val="center"/>
          </w:tcPr>
          <w:p w14:paraId="607B2261" w14:textId="77777777" w:rsidR="00BA183A" w:rsidRDefault="00000000">
            <w:pPr>
              <w:spacing w:before="20" w:after="20"/>
            </w:pPr>
            <w:r>
              <w:rPr>
                <w:color w:val="1A1A1A"/>
                <w:sz w:val="18"/>
                <w:szCs w:val="18"/>
              </w:rPr>
              <w:t>Due from credit institutions</w:t>
            </w:r>
          </w:p>
        </w:tc>
        <w:tc>
          <w:tcPr>
            <w:tcW w:w="1920" w:type="dxa"/>
            <w:shd w:val="clear" w:color="auto" w:fill="FFFFFF"/>
            <w:tcMar>
              <w:top w:w="40" w:type="dxa"/>
              <w:left w:w="100" w:type="dxa"/>
              <w:bottom w:w="40" w:type="dxa"/>
              <w:right w:w="100" w:type="dxa"/>
            </w:tcMar>
            <w:vAlign w:val="center"/>
          </w:tcPr>
          <w:p w14:paraId="6EE2DFC4" w14:textId="77777777" w:rsidR="00BA183A" w:rsidRDefault="00000000">
            <w:pPr>
              <w:spacing w:before="20" w:after="20"/>
              <w:jc w:val="right"/>
            </w:pPr>
            <w:r>
              <w:rPr>
                <w:color w:val="1A1A1A"/>
                <w:sz w:val="18"/>
                <w:szCs w:val="18"/>
              </w:rPr>
              <w:t>3,686,146</w:t>
            </w:r>
          </w:p>
        </w:tc>
        <w:tc>
          <w:tcPr>
            <w:tcW w:w="1920" w:type="dxa"/>
            <w:shd w:val="clear" w:color="auto" w:fill="FFFFFF"/>
            <w:tcMar>
              <w:top w:w="40" w:type="dxa"/>
              <w:left w:w="100" w:type="dxa"/>
              <w:bottom w:w="40" w:type="dxa"/>
              <w:right w:w="100" w:type="dxa"/>
            </w:tcMar>
            <w:vAlign w:val="center"/>
          </w:tcPr>
          <w:p w14:paraId="10AF5E10" w14:textId="77777777" w:rsidR="00BA183A" w:rsidRDefault="00000000">
            <w:pPr>
              <w:spacing w:before="20" w:after="20"/>
              <w:jc w:val="right"/>
            </w:pPr>
            <w:r>
              <w:rPr>
                <w:color w:val="1A1A1A"/>
                <w:sz w:val="18"/>
                <w:szCs w:val="18"/>
              </w:rPr>
              <w:t>3,565,128</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6,943,790</w:t>
            </w:r>
          </w:p>
        </w:tc>
      </w:tr>
      <w:tr w:rsidR="00BA183A" w14:paraId="06241E16" w14:textId="77777777">
        <w:tc>
          <w:tcPr>
            <w:tcW w:w="4320" w:type="dxa"/>
            <w:shd w:val="clear" w:color="auto" w:fill="FFFFFF"/>
            <w:tcMar>
              <w:top w:w="40" w:type="dxa"/>
              <w:left w:w="100" w:type="dxa"/>
              <w:bottom w:w="40" w:type="dxa"/>
              <w:right w:w="100" w:type="dxa"/>
            </w:tcMar>
            <w:vAlign w:val="center"/>
          </w:tcPr>
          <w:p w14:paraId="62D67ABE" w14:textId="77777777" w:rsidR="00BA183A" w:rsidRDefault="00000000">
            <w:pPr>
              <w:spacing w:before="20" w:after="20"/>
            </w:pPr>
            <w:r>
              <w:rPr>
                <w:color w:val="1A1A1A"/>
                <w:sz w:val="18"/>
                <w:szCs w:val="18"/>
              </w:rPr>
              <w:t>Loans to customers</w:t>
            </w:r>
          </w:p>
        </w:tc>
        <w:tc>
          <w:tcPr>
            <w:tcW w:w="1920" w:type="dxa"/>
            <w:shd w:val="clear" w:color="auto" w:fill="FFFFFF"/>
            <w:tcMar>
              <w:top w:w="40" w:type="dxa"/>
              <w:left w:w="100" w:type="dxa"/>
              <w:bottom w:w="40" w:type="dxa"/>
              <w:right w:w="100" w:type="dxa"/>
            </w:tcMar>
            <w:vAlign w:val="center"/>
          </w:tcPr>
          <w:p w14:paraId="592FA5C3" w14:textId="77777777" w:rsidR="00BA183A" w:rsidRDefault="00000000">
            <w:pPr>
              <w:spacing w:before="20" w:after="20"/>
              <w:jc w:val="right"/>
            </w:pPr>
            <w:r>
              <w:rPr>
                <w:color w:val="1A1A1A"/>
                <w:sz w:val="18"/>
                <w:szCs w:val="18"/>
              </w:rPr>
              <w:t>104,338,981</w:t>
            </w:r>
          </w:p>
        </w:tc>
        <w:tc>
          <w:tcPr>
            <w:tcW w:w="1920" w:type="dxa"/>
            <w:shd w:val="clear" w:color="auto" w:fill="FFFFFF"/>
            <w:tcMar>
              <w:top w:w="40" w:type="dxa"/>
              <w:left w:w="100" w:type="dxa"/>
              <w:bottom w:w="40" w:type="dxa"/>
              <w:right w:w="100" w:type="dxa"/>
            </w:tcMar>
            <w:vAlign w:val="center"/>
          </w:tcPr>
          <w:p w14:paraId="13F70268" w14:textId="77777777" w:rsidR="00BA183A" w:rsidRDefault="00000000">
            <w:pPr>
              <w:spacing w:before="20" w:after="20"/>
              <w:jc w:val="right"/>
            </w:pPr>
            <w:r>
              <w:rPr>
                <w:color w:val="1A1A1A"/>
                <w:sz w:val="18"/>
                <w:szCs w:val="18"/>
              </w:rPr>
              <w:t>102,570,837</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94,783,232</w:t>
            </w:r>
          </w:p>
        </w:tc>
      </w:tr>
      <w:tr w:rsidR="00BA183A" w14:paraId="1F37B3AF" w14:textId="77777777">
        <w:tc>
          <w:tcPr>
            <w:tcW w:w="4320" w:type="dxa"/>
            <w:shd w:val="clear" w:color="auto" w:fill="FFFFFF"/>
            <w:tcMar>
              <w:top w:w="40" w:type="dxa"/>
              <w:left w:w="100" w:type="dxa"/>
              <w:bottom w:w="40" w:type="dxa"/>
              <w:right w:w="100" w:type="dxa"/>
            </w:tcMar>
            <w:vAlign w:val="center"/>
          </w:tcPr>
          <w:p w14:paraId="32A2DE5A" w14:textId="77777777" w:rsidR="00BA183A" w:rsidRDefault="00000000">
            <w:pPr>
              <w:spacing w:before="20" w:after="20"/>
            </w:pPr>
            <w:r>
              <w:rPr>
                <w:color w:val="1A1A1A"/>
                <w:sz w:val="18"/>
                <w:szCs w:val="18"/>
              </w:rPr>
              <w:t>Investment securities</w:t>
            </w:r>
          </w:p>
        </w:tc>
        <w:tc>
          <w:tcPr>
            <w:tcW w:w="1920" w:type="dxa"/>
            <w:shd w:val="clear" w:color="auto" w:fill="FFFFFF"/>
            <w:tcMar>
              <w:top w:w="40" w:type="dxa"/>
              <w:left w:w="100" w:type="dxa"/>
              <w:bottom w:w="40" w:type="dxa"/>
              <w:right w:w="100" w:type="dxa"/>
            </w:tcMar>
            <w:vAlign w:val="center"/>
          </w:tcPr>
          <w:p w14:paraId="2D38EA8E" w14:textId="77777777" w:rsidR="00BA183A" w:rsidRDefault="00000000">
            <w:pPr>
              <w:spacing w:before="20" w:after="20"/>
              <w:jc w:val="right"/>
            </w:pPr>
            <w:r>
              <w:rPr>
                <w:color w:val="1A1A1A"/>
                <w:sz w:val="18"/>
                <w:szCs w:val="18"/>
              </w:rPr>
              <w:t>3,855,223</w:t>
            </w:r>
          </w:p>
        </w:tc>
        <w:tc>
          <w:tcPr>
            <w:tcW w:w="1920" w:type="dxa"/>
            <w:shd w:val="clear" w:color="auto" w:fill="FFFFFF"/>
            <w:tcMar>
              <w:top w:w="40" w:type="dxa"/>
              <w:left w:w="100" w:type="dxa"/>
              <w:bottom w:w="40" w:type="dxa"/>
              <w:right w:w="100" w:type="dxa"/>
            </w:tcMar>
            <w:vAlign w:val="center"/>
          </w:tcPr>
          <w:p w14:paraId="7B8B047A" w14:textId="77777777" w:rsidR="00BA183A" w:rsidRDefault="00000000">
            <w:pPr>
              <w:spacing w:before="20" w:after="20"/>
              <w:jc w:val="right"/>
            </w:pPr>
            <w:r>
              <w:rPr>
                <w:color w:val="1A1A1A"/>
                <w:sz w:val="18"/>
                <w:szCs w:val="18"/>
              </w:rPr>
              <w:t>7,441,674</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7,140,848</w:t>
            </w:r>
          </w:p>
        </w:tc>
      </w:tr>
      <w:tr w:rsidR="00BA183A" w14:paraId="62982CD5" w14:textId="77777777">
        <w:tc>
          <w:tcPr>
            <w:tcW w:w="4320" w:type="dxa"/>
            <w:shd w:val="clear" w:color="auto" w:fill="FFFFFF"/>
            <w:tcMar>
              <w:top w:w="40" w:type="dxa"/>
              <w:left w:w="100" w:type="dxa"/>
              <w:bottom w:w="40" w:type="dxa"/>
              <w:right w:w="100" w:type="dxa"/>
            </w:tcMar>
            <w:vAlign w:val="center"/>
          </w:tcPr>
          <w:p w14:paraId="36F501B0" w14:textId="77777777" w:rsidR="00BA183A" w:rsidRDefault="00000000">
            <w:pPr>
              <w:spacing w:before="20" w:after="20"/>
            </w:pPr>
            <w:r>
              <w:rPr>
                <w:color w:val="1A1A1A"/>
                <w:sz w:val="18"/>
                <w:szCs w:val="18"/>
              </w:rPr>
              <w:t>Other assets</w:t>
            </w:r>
          </w:p>
        </w:tc>
        <w:tc>
          <w:tcPr>
            <w:tcW w:w="1920" w:type="dxa"/>
            <w:shd w:val="clear" w:color="auto" w:fill="FFFFFF"/>
            <w:tcMar>
              <w:top w:w="40" w:type="dxa"/>
              <w:left w:w="100" w:type="dxa"/>
              <w:bottom w:w="40" w:type="dxa"/>
              <w:right w:w="100" w:type="dxa"/>
            </w:tcMar>
            <w:vAlign w:val="center"/>
          </w:tcPr>
          <w:p w14:paraId="704E90DB" w14:textId="77777777" w:rsidR="00BA183A" w:rsidRDefault="00000000">
            <w:pPr>
              <w:spacing w:before="20" w:after="20"/>
              <w:jc w:val="right"/>
            </w:pPr>
            <w:r>
              <w:rPr>
                <w:color w:val="1A1A1A"/>
                <w:sz w:val="18"/>
                <w:szCs w:val="18"/>
              </w:rPr>
              <w:t>5,723,580</w:t>
            </w:r>
          </w:p>
        </w:tc>
        <w:tc>
          <w:tcPr>
            <w:tcW w:w="1920" w:type="dxa"/>
            <w:shd w:val="clear" w:color="auto" w:fill="FFFFFF"/>
            <w:tcMar>
              <w:top w:w="40" w:type="dxa"/>
              <w:left w:w="100" w:type="dxa"/>
              <w:bottom w:w="40" w:type="dxa"/>
              <w:right w:w="100" w:type="dxa"/>
            </w:tcMar>
            <w:vAlign w:val="center"/>
          </w:tcPr>
          <w:p w14:paraId="11180C2F" w14:textId="77777777" w:rsidR="00BA183A" w:rsidRDefault="00000000">
            <w:pPr>
              <w:spacing w:before="20" w:after="20"/>
              <w:jc w:val="right"/>
            </w:pPr>
            <w:r>
              <w:rPr>
                <w:color w:val="1A1A1A"/>
                <w:sz w:val="18"/>
                <w:szCs w:val="18"/>
              </w:rPr>
              <w:t>4,803,008</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3,244,053</w:t>
            </w:r>
          </w:p>
        </w:tc>
      </w:tr>
      <w:tr w:rsidR="00BA183A" w14:paraId="729E13D9" w14:textId="77777777">
        <w:tc>
          <w:tcPr>
            <w:tcW w:w="4320" w:type="dxa"/>
            <w:shd w:val="clear" w:color="auto" w:fill="FFFFFF"/>
            <w:tcMar>
              <w:top w:w="40" w:type="dxa"/>
              <w:left w:w="100" w:type="dxa"/>
              <w:bottom w:w="40" w:type="dxa"/>
              <w:right w:w="100" w:type="dxa"/>
            </w:tcMar>
            <w:vAlign w:val="center"/>
          </w:tcPr>
          <w:p w14:paraId="02FCC558" w14:textId="77777777" w:rsidR="00BA183A" w:rsidRDefault="00000000">
            <w:pPr>
              <w:spacing w:before="20" w:after="20"/>
            </w:pPr>
            <w:r>
              <w:rPr>
                <w:b/>
                <w:bCs/>
                <w:color w:val="1A1A1A"/>
                <w:sz w:val="18"/>
                <w:szCs w:val="18"/>
              </w:rPr>
              <w:t>Total assets</w:t>
            </w:r>
          </w:p>
        </w:tc>
        <w:tc>
          <w:tcPr>
            <w:tcW w:w="1920" w:type="dxa"/>
            <w:shd w:val="clear" w:color="auto" w:fill="FFFFFF"/>
            <w:tcMar>
              <w:top w:w="40" w:type="dxa"/>
              <w:left w:w="100" w:type="dxa"/>
              <w:bottom w:w="40" w:type="dxa"/>
              <w:right w:w="100" w:type="dxa"/>
            </w:tcMar>
            <w:vAlign w:val="center"/>
          </w:tcPr>
          <w:p w14:paraId="362B6BE7" w14:textId="77777777" w:rsidR="00BA183A" w:rsidRDefault="00000000">
            <w:pPr>
              <w:spacing w:before="20" w:after="20"/>
              <w:jc w:val="right"/>
            </w:pPr>
            <w:r>
              <w:rPr>
                <w:b/>
                <w:bCs/>
                <w:color w:val="1A1A1A"/>
                <w:sz w:val="18"/>
                <w:szCs w:val="18"/>
              </w:rPr>
              <w:t>145,433,781</w:t>
            </w:r>
          </w:p>
        </w:tc>
        <w:tc>
          <w:tcPr>
            <w:tcW w:w="1920" w:type="dxa"/>
            <w:shd w:val="clear" w:color="auto" w:fill="FFFFFF"/>
            <w:tcMar>
              <w:top w:w="40" w:type="dxa"/>
              <w:left w:w="100" w:type="dxa"/>
              <w:bottom w:w="40" w:type="dxa"/>
              <w:right w:w="100" w:type="dxa"/>
            </w:tcMar>
            <w:vAlign w:val="center"/>
          </w:tcPr>
          <w:p w14:paraId="3AD759D5" w14:textId="77777777" w:rsidR="00BA183A" w:rsidRDefault="00000000">
            <w:pPr>
              <w:spacing w:before="20" w:after="20"/>
              <w:jc w:val="right"/>
            </w:pPr>
            <w:r>
              <w:rPr>
                <w:b/>
                <w:bCs/>
                <w:color w:val="1A1A1A"/>
                <w:sz w:val="18"/>
                <w:szCs w:val="18"/>
              </w:rPr>
              <w:t>136,803,388</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b/>
                <w:bCs/>
                <w:color w:val="1A1A1A"/>
                <w:sz w:val="18"/>
                <w:szCs w:val="18"/>
              </w:rPr>
              <w:t>126,489,406</w:t>
            </w:r>
          </w:p>
        </w:tc>
      </w:tr>
      <w:tr w:rsidR="00BA183A" w14:paraId="17B95237" w14:textId="77777777">
        <w:tc>
          <w:tcPr>
            <w:tcW w:w="10080" w:type="dxa"/>
            <w:gridSpan w:val="4"/>
            <w:shd w:val="clear" w:color="auto" w:fill="EDF2F7"/>
            <w:tcMar>
              <w:top w:w="40" w:type="dxa"/>
              <w:left w:w="100" w:type="dxa"/>
              <w:bottom w:w="40" w:type="dxa"/>
              <w:right w:w="100" w:type="dxa"/>
            </w:tcMar>
            <w:vAlign w:val="center"/>
          </w:tcPr>
          <w:p w14:paraId="356C5302" w14:textId="77777777" w:rsidR="00BA183A" w:rsidRDefault="00000000">
            <w:pPr>
              <w:spacing w:before="20" w:after="20"/>
            </w:pPr>
            <w:r>
              <w:rPr>
                <w:b/>
                <w:bCs/>
                <w:color w:val="1A3A5C"/>
                <w:sz w:val="18"/>
                <w:szCs w:val="18"/>
              </w:rPr>
              <w:t>LIABILITIES</w:t>
            </w:r>
          </w:p>
        </w:tc>
      </w:tr>
      <w:tr w:rsidR="00BA183A" w14:paraId="3A6621F5" w14:textId="77777777">
        <w:tc>
          <w:tcPr>
            <w:tcW w:w="4320" w:type="dxa"/>
            <w:shd w:val="clear" w:color="auto" w:fill="FFFFFF"/>
            <w:tcMar>
              <w:top w:w="40" w:type="dxa"/>
              <w:left w:w="100" w:type="dxa"/>
              <w:bottom w:w="40" w:type="dxa"/>
              <w:right w:w="100" w:type="dxa"/>
            </w:tcMar>
            <w:vAlign w:val="center"/>
          </w:tcPr>
          <w:p w14:paraId="3B93BD54" w14:textId="77777777" w:rsidR="00BA183A" w:rsidRDefault="00000000">
            <w:pPr>
              <w:spacing w:before="20" w:after="20"/>
            </w:pPr>
            <w:r>
              <w:rPr>
                <w:color w:val="1A1A1A"/>
                <w:sz w:val="18"/>
                <w:szCs w:val="18"/>
              </w:rPr>
              <w:t>Due to the Central Bank</w:t>
            </w:r>
          </w:p>
        </w:tc>
        <w:tc>
          <w:tcPr>
            <w:tcW w:w="1920" w:type="dxa"/>
            <w:shd w:val="clear" w:color="auto" w:fill="FFFFFF"/>
            <w:tcMar>
              <w:top w:w="40" w:type="dxa"/>
              <w:left w:w="100" w:type="dxa"/>
              <w:bottom w:w="40" w:type="dxa"/>
              <w:right w:w="100" w:type="dxa"/>
            </w:tcMar>
            <w:vAlign w:val="center"/>
          </w:tcPr>
          <w:p w14:paraId="2DD325F2" w14:textId="77777777" w:rsidR="00BA183A" w:rsidRDefault="00000000">
            <w:pPr>
              <w:spacing w:before="20" w:after="20"/>
              <w:jc w:val="right"/>
            </w:pPr>
            <w:r>
              <w:rPr>
                <w:color w:val="1A1A1A"/>
                <w:sz w:val="18"/>
                <w:szCs w:val="18"/>
              </w:rPr>
              <w:t>579,182</w:t>
            </w:r>
          </w:p>
        </w:tc>
        <w:tc>
          <w:tcPr>
            <w:tcW w:w="1920" w:type="dxa"/>
            <w:shd w:val="clear" w:color="auto" w:fill="FFFFFF"/>
            <w:tcMar>
              <w:top w:w="40" w:type="dxa"/>
              <w:left w:w="100" w:type="dxa"/>
              <w:bottom w:w="40" w:type="dxa"/>
              <w:right w:w="100" w:type="dxa"/>
            </w:tcMar>
            <w:vAlign w:val="center"/>
          </w:tcPr>
          <w:p w14:paraId="18637402" w14:textId="77777777" w:rsidR="00BA183A" w:rsidRDefault="00000000">
            <w:pPr>
              <w:spacing w:before="20" w:after="20"/>
              <w:jc w:val="right"/>
            </w:pPr>
            <w:r>
              <w:rPr>
                <w:color w:val="1A1A1A"/>
                <w:sz w:val="18"/>
                <w:szCs w:val="18"/>
              </w:rPr>
              <w:t>982,953</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1,045,549</w:t>
            </w:r>
          </w:p>
        </w:tc>
      </w:tr>
      <w:tr w:rsidR="00BA183A" w14:paraId="1FF26BF4" w14:textId="77777777">
        <w:tc>
          <w:tcPr>
            <w:tcW w:w="4320" w:type="dxa"/>
            <w:shd w:val="clear" w:color="auto" w:fill="FFFFFF"/>
            <w:tcMar>
              <w:top w:w="40" w:type="dxa"/>
              <w:left w:w="100" w:type="dxa"/>
              <w:bottom w:w="40" w:type="dxa"/>
              <w:right w:w="100" w:type="dxa"/>
            </w:tcMar>
            <w:vAlign w:val="center"/>
          </w:tcPr>
          <w:p w14:paraId="7B317470" w14:textId="77777777" w:rsidR="00BA183A" w:rsidRDefault="00000000">
            <w:pPr>
              <w:spacing w:before="20" w:after="20"/>
            </w:pPr>
            <w:r>
              <w:rPr>
                <w:color w:val="1A1A1A"/>
                <w:sz w:val="18"/>
                <w:szCs w:val="18"/>
              </w:rPr>
              <w:t>Due to credit institutions</w:t>
            </w:r>
          </w:p>
        </w:tc>
        <w:tc>
          <w:tcPr>
            <w:tcW w:w="1920" w:type="dxa"/>
            <w:shd w:val="clear" w:color="auto" w:fill="FFFFFF"/>
            <w:tcMar>
              <w:top w:w="40" w:type="dxa"/>
              <w:left w:w="100" w:type="dxa"/>
              <w:bottom w:w="40" w:type="dxa"/>
              <w:right w:w="100" w:type="dxa"/>
            </w:tcMar>
            <w:vAlign w:val="center"/>
          </w:tcPr>
          <w:p w14:paraId="334CF4FC" w14:textId="77777777" w:rsidR="00BA183A" w:rsidRDefault="00000000">
            <w:pPr>
              <w:spacing w:before="20" w:after="20"/>
              <w:jc w:val="right"/>
            </w:pPr>
            <w:r>
              <w:rPr>
                <w:color w:val="1A1A1A"/>
                <w:sz w:val="18"/>
                <w:szCs w:val="18"/>
              </w:rPr>
              <w:t>11,037,957</w:t>
            </w:r>
          </w:p>
        </w:tc>
        <w:tc>
          <w:tcPr>
            <w:tcW w:w="1920" w:type="dxa"/>
            <w:shd w:val="clear" w:color="auto" w:fill="FFFFFF"/>
            <w:tcMar>
              <w:top w:w="40" w:type="dxa"/>
              <w:left w:w="100" w:type="dxa"/>
              <w:bottom w:w="40" w:type="dxa"/>
              <w:right w:w="100" w:type="dxa"/>
            </w:tcMar>
            <w:vAlign w:val="center"/>
          </w:tcPr>
          <w:p w14:paraId="2A5F2A9C" w14:textId="77777777" w:rsidR="00BA183A" w:rsidRDefault="00000000">
            <w:pPr>
              <w:spacing w:before="20" w:after="20"/>
              <w:jc w:val="right"/>
            </w:pPr>
            <w:r>
              <w:rPr>
                <w:color w:val="1A1A1A"/>
                <w:sz w:val="18"/>
                <w:szCs w:val="18"/>
              </w:rPr>
              <w:t>8,241,262</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11,497,362</w:t>
            </w:r>
          </w:p>
        </w:tc>
      </w:tr>
      <w:tr w:rsidR="00BA183A" w14:paraId="266ABE1A" w14:textId="77777777">
        <w:tc>
          <w:tcPr>
            <w:tcW w:w="4320" w:type="dxa"/>
            <w:shd w:val="clear" w:color="auto" w:fill="FFFFFF"/>
            <w:tcMar>
              <w:top w:w="40" w:type="dxa"/>
              <w:left w:w="100" w:type="dxa"/>
              <w:bottom w:w="40" w:type="dxa"/>
              <w:right w:w="100" w:type="dxa"/>
            </w:tcMar>
            <w:vAlign w:val="center"/>
          </w:tcPr>
          <w:p w14:paraId="32243BD8" w14:textId="77777777" w:rsidR="00BA183A" w:rsidRDefault="00000000">
            <w:pPr>
              <w:spacing w:before="20" w:after="20"/>
            </w:pPr>
            <w:r>
              <w:rPr>
                <w:color w:val="1A1A1A"/>
                <w:sz w:val="18"/>
                <w:szCs w:val="18"/>
              </w:rPr>
              <w:t>Due to customers</w:t>
            </w:r>
          </w:p>
        </w:tc>
        <w:tc>
          <w:tcPr>
            <w:tcW w:w="1920" w:type="dxa"/>
            <w:shd w:val="clear" w:color="auto" w:fill="FFFFFF"/>
            <w:tcMar>
              <w:top w:w="40" w:type="dxa"/>
              <w:left w:w="100" w:type="dxa"/>
              <w:bottom w:w="40" w:type="dxa"/>
              <w:right w:w="100" w:type="dxa"/>
            </w:tcMar>
            <w:vAlign w:val="center"/>
          </w:tcPr>
          <w:p w14:paraId="33189CE5" w14:textId="77777777" w:rsidR="00BA183A" w:rsidRDefault="00000000">
            <w:pPr>
              <w:spacing w:before="20" w:after="20"/>
              <w:jc w:val="right"/>
            </w:pPr>
            <w:r>
              <w:rPr>
                <w:color w:val="1A1A1A"/>
                <w:sz w:val="18"/>
                <w:szCs w:val="18"/>
              </w:rPr>
              <w:t>47,255,264</w:t>
            </w:r>
          </w:p>
        </w:tc>
        <w:tc>
          <w:tcPr>
            <w:tcW w:w="1920" w:type="dxa"/>
            <w:shd w:val="clear" w:color="auto" w:fill="FFFFFF"/>
            <w:tcMar>
              <w:top w:w="40" w:type="dxa"/>
              <w:left w:w="100" w:type="dxa"/>
              <w:bottom w:w="40" w:type="dxa"/>
              <w:right w:w="100" w:type="dxa"/>
            </w:tcMar>
            <w:vAlign w:val="center"/>
          </w:tcPr>
          <w:p w14:paraId="5247C559" w14:textId="77777777" w:rsidR="00BA183A" w:rsidRDefault="00000000">
            <w:pPr>
              <w:spacing w:before="20" w:after="20"/>
              <w:jc w:val="right"/>
            </w:pPr>
            <w:r>
              <w:rPr>
                <w:color w:val="1A1A1A"/>
                <w:sz w:val="18"/>
                <w:szCs w:val="18"/>
              </w:rPr>
              <w:t>38,582,800</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33,968,762</w:t>
            </w:r>
          </w:p>
        </w:tc>
      </w:tr>
      <w:tr w:rsidR="00BA183A" w14:paraId="3CF2397E" w14:textId="77777777">
        <w:tc>
          <w:tcPr>
            <w:tcW w:w="4320" w:type="dxa"/>
            <w:shd w:val="clear" w:color="auto" w:fill="FFFFFF"/>
            <w:tcMar>
              <w:top w:w="40" w:type="dxa"/>
              <w:left w:w="100" w:type="dxa"/>
              <w:bottom w:w="40" w:type="dxa"/>
              <w:right w:w="100" w:type="dxa"/>
            </w:tcMar>
            <w:vAlign w:val="center"/>
          </w:tcPr>
          <w:p w14:paraId="680BABF5" w14:textId="77777777" w:rsidR="00BA183A" w:rsidRDefault="00000000">
            <w:pPr>
              <w:spacing w:before="20" w:after="20"/>
            </w:pPr>
            <w:r>
              <w:rPr>
                <w:color w:val="1A1A1A"/>
                <w:sz w:val="18"/>
                <w:szCs w:val="18"/>
              </w:rPr>
              <w:t>Other borrowed funds</w:t>
            </w:r>
          </w:p>
        </w:tc>
        <w:tc>
          <w:tcPr>
            <w:tcW w:w="1920" w:type="dxa"/>
            <w:shd w:val="clear" w:color="auto" w:fill="FFFFFF"/>
            <w:tcMar>
              <w:top w:w="40" w:type="dxa"/>
              <w:left w:w="100" w:type="dxa"/>
              <w:bottom w:w="40" w:type="dxa"/>
              <w:right w:w="100" w:type="dxa"/>
            </w:tcMar>
            <w:vAlign w:val="center"/>
          </w:tcPr>
          <w:p w14:paraId="22D0BEE8" w14:textId="77777777" w:rsidR="00BA183A" w:rsidRDefault="00000000">
            <w:pPr>
              <w:spacing w:before="20" w:after="20"/>
              <w:jc w:val="right"/>
            </w:pPr>
            <w:r>
              <w:rPr>
                <w:color w:val="1A1A1A"/>
                <w:sz w:val="18"/>
                <w:szCs w:val="18"/>
              </w:rPr>
              <w:t>54,072,274</w:t>
            </w:r>
          </w:p>
        </w:tc>
        <w:tc>
          <w:tcPr>
            <w:tcW w:w="1920" w:type="dxa"/>
            <w:shd w:val="clear" w:color="auto" w:fill="FFFFFF"/>
            <w:tcMar>
              <w:top w:w="40" w:type="dxa"/>
              <w:left w:w="100" w:type="dxa"/>
              <w:bottom w:w="40" w:type="dxa"/>
              <w:right w:w="100" w:type="dxa"/>
            </w:tcMar>
            <w:vAlign w:val="center"/>
          </w:tcPr>
          <w:p w14:paraId="3D388926" w14:textId="77777777" w:rsidR="00BA183A" w:rsidRDefault="00000000">
            <w:pPr>
              <w:spacing w:before="20" w:after="20"/>
              <w:jc w:val="right"/>
            </w:pPr>
            <w:r>
              <w:rPr>
                <w:color w:val="1A1A1A"/>
                <w:sz w:val="18"/>
                <w:szCs w:val="18"/>
              </w:rPr>
              <w:t>57,250,426</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55,467,518</w:t>
            </w:r>
          </w:p>
        </w:tc>
      </w:tr>
      <w:tr w:rsidR="00BA183A" w14:paraId="3F969363" w14:textId="77777777">
        <w:tc>
          <w:tcPr>
            <w:tcW w:w="4320" w:type="dxa"/>
            <w:shd w:val="clear" w:color="auto" w:fill="FFFFFF"/>
            <w:tcMar>
              <w:top w:w="40" w:type="dxa"/>
              <w:left w:w="100" w:type="dxa"/>
              <w:bottom w:w="40" w:type="dxa"/>
              <w:right w:w="100" w:type="dxa"/>
            </w:tcMar>
            <w:vAlign w:val="center"/>
          </w:tcPr>
          <w:p w14:paraId="33946393" w14:textId="77777777" w:rsidR="00BA183A" w:rsidRDefault="00000000">
            <w:pPr>
              <w:spacing w:before="20" w:after="20"/>
            </w:pPr>
            <w:r>
              <w:rPr>
                <w:color w:val="1A1A1A"/>
                <w:sz w:val="18"/>
                <w:szCs w:val="18"/>
              </w:rPr>
              <w:t>Debt securities issued</w:t>
            </w:r>
          </w:p>
        </w:tc>
        <w:tc>
          <w:tcPr>
            <w:tcW w:w="1920" w:type="dxa"/>
            <w:shd w:val="clear" w:color="auto" w:fill="FFFFFF"/>
            <w:tcMar>
              <w:top w:w="40" w:type="dxa"/>
              <w:left w:w="100" w:type="dxa"/>
              <w:bottom w:w="40" w:type="dxa"/>
              <w:right w:w="100" w:type="dxa"/>
            </w:tcMar>
            <w:vAlign w:val="center"/>
          </w:tcPr>
          <w:p w14:paraId="5EBCDF35" w14:textId="77777777" w:rsidR="00BA183A" w:rsidRDefault="00000000">
            <w:pPr>
              <w:spacing w:before="20" w:after="20"/>
              <w:jc w:val="right"/>
            </w:pPr>
            <w:r>
              <w:rPr>
                <w:color w:val="1A1A1A"/>
                <w:sz w:val="18"/>
                <w:szCs w:val="18"/>
              </w:rPr>
              <w:t>8,832,937</w:t>
            </w:r>
          </w:p>
        </w:tc>
        <w:tc>
          <w:tcPr>
            <w:tcW w:w="1920" w:type="dxa"/>
            <w:shd w:val="clear" w:color="auto" w:fill="FFFFFF"/>
            <w:tcMar>
              <w:top w:w="40" w:type="dxa"/>
              <w:left w:w="100" w:type="dxa"/>
              <w:bottom w:w="40" w:type="dxa"/>
              <w:right w:w="100" w:type="dxa"/>
            </w:tcMar>
            <w:vAlign w:val="center"/>
          </w:tcPr>
          <w:p w14:paraId="0ECBE82C" w14:textId="77777777" w:rsidR="00BA183A" w:rsidRDefault="00000000">
            <w:pPr>
              <w:spacing w:before="20" w:after="20"/>
              <w:jc w:val="right"/>
            </w:pPr>
            <w:r>
              <w:rPr>
                <w:color w:val="1A1A1A"/>
                <w:sz w:val="18"/>
                <w:szCs w:val="18"/>
              </w:rPr>
              <w:t>9,353,170</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3,655,270</w:t>
            </w:r>
          </w:p>
        </w:tc>
      </w:tr>
      <w:tr w:rsidR="00BA183A" w14:paraId="52B654AA" w14:textId="77777777">
        <w:tc>
          <w:tcPr>
            <w:tcW w:w="4320" w:type="dxa"/>
            <w:shd w:val="clear" w:color="auto" w:fill="FFFFFF"/>
            <w:tcMar>
              <w:top w:w="40" w:type="dxa"/>
              <w:left w:w="100" w:type="dxa"/>
              <w:bottom w:w="40" w:type="dxa"/>
              <w:right w:w="100" w:type="dxa"/>
            </w:tcMar>
            <w:vAlign w:val="center"/>
          </w:tcPr>
          <w:p w14:paraId="0EA107AC" w14:textId="77777777" w:rsidR="00BA183A" w:rsidRDefault="00000000">
            <w:pPr>
              <w:spacing w:before="20" w:after="20"/>
            </w:pPr>
            <w:r>
              <w:rPr>
                <w:color w:val="1A1A1A"/>
                <w:sz w:val="18"/>
                <w:szCs w:val="18"/>
              </w:rPr>
              <w:t>Subordinated loans</w:t>
            </w:r>
          </w:p>
        </w:tc>
        <w:tc>
          <w:tcPr>
            <w:tcW w:w="1920" w:type="dxa"/>
            <w:shd w:val="clear" w:color="auto" w:fill="FFFFFF"/>
            <w:tcMar>
              <w:top w:w="40" w:type="dxa"/>
              <w:left w:w="100" w:type="dxa"/>
              <w:bottom w:w="40" w:type="dxa"/>
              <w:right w:w="100" w:type="dxa"/>
            </w:tcMar>
            <w:vAlign w:val="center"/>
          </w:tcPr>
          <w:p w14:paraId="52B008A1" w14:textId="77777777" w:rsidR="00BA183A" w:rsidRDefault="00000000">
            <w:pPr>
              <w:spacing w:before="20" w:after="20"/>
              <w:jc w:val="right"/>
            </w:pPr>
            <w:r>
              <w:rPr>
                <w:color w:val="1A1A1A"/>
                <w:sz w:val="18"/>
                <w:szCs w:val="18"/>
              </w:rPr>
              <w:t>1,743,745</w:t>
            </w:r>
          </w:p>
        </w:tc>
        <w:tc>
          <w:tcPr>
            <w:tcW w:w="1920" w:type="dxa"/>
            <w:shd w:val="clear" w:color="auto" w:fill="FFFFFF"/>
            <w:tcMar>
              <w:top w:w="40" w:type="dxa"/>
              <w:left w:w="100" w:type="dxa"/>
              <w:bottom w:w="40" w:type="dxa"/>
              <w:right w:w="100" w:type="dxa"/>
            </w:tcMar>
            <w:vAlign w:val="center"/>
          </w:tcPr>
          <w:p w14:paraId="4647FCB4" w14:textId="77777777" w:rsidR="00BA183A" w:rsidRDefault="00000000">
            <w:pPr>
              <w:spacing w:before="20" w:after="20"/>
              <w:jc w:val="right"/>
            </w:pPr>
            <w:r>
              <w:rPr>
                <w:color w:val="1A1A1A"/>
                <w:sz w:val="18"/>
                <w:szCs w:val="18"/>
              </w:rPr>
              <w:t>1,805,129</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1,783,232</w:t>
            </w:r>
          </w:p>
        </w:tc>
      </w:tr>
      <w:tr w:rsidR="00BA183A" w14:paraId="6DD22BD6" w14:textId="77777777">
        <w:tc>
          <w:tcPr>
            <w:tcW w:w="4320" w:type="dxa"/>
            <w:shd w:val="clear" w:color="auto" w:fill="FFFFFF"/>
            <w:tcMar>
              <w:top w:w="40" w:type="dxa"/>
              <w:left w:w="100" w:type="dxa"/>
              <w:bottom w:w="40" w:type="dxa"/>
              <w:right w:w="100" w:type="dxa"/>
            </w:tcMar>
            <w:vAlign w:val="center"/>
          </w:tcPr>
          <w:p w14:paraId="37DADE57" w14:textId="77777777" w:rsidR="00BA183A" w:rsidRDefault="00000000">
            <w:pPr>
              <w:spacing w:before="20" w:after="20"/>
            </w:pPr>
            <w:r>
              <w:rPr>
                <w:color w:val="1A1A1A"/>
                <w:sz w:val="18"/>
                <w:szCs w:val="18"/>
              </w:rPr>
              <w:t>Other liabilities</w:t>
            </w:r>
          </w:p>
        </w:tc>
        <w:tc>
          <w:tcPr>
            <w:tcW w:w="1920" w:type="dxa"/>
            <w:shd w:val="clear" w:color="auto" w:fill="FFFFFF"/>
            <w:tcMar>
              <w:top w:w="40" w:type="dxa"/>
              <w:left w:w="100" w:type="dxa"/>
              <w:bottom w:w="40" w:type="dxa"/>
              <w:right w:w="100" w:type="dxa"/>
            </w:tcMar>
            <w:vAlign w:val="center"/>
          </w:tcPr>
          <w:p w14:paraId="62908E9D" w14:textId="77777777" w:rsidR="00BA183A" w:rsidRDefault="00000000">
            <w:pPr>
              <w:spacing w:before="20" w:after="20"/>
              <w:jc w:val="right"/>
            </w:pPr>
            <w:r>
              <w:rPr>
                <w:color w:val="1A1A1A"/>
                <w:sz w:val="18"/>
                <w:szCs w:val="18"/>
              </w:rPr>
              <w:t>814,937</w:t>
            </w:r>
          </w:p>
        </w:tc>
        <w:tc>
          <w:tcPr>
            <w:tcW w:w="1920" w:type="dxa"/>
            <w:shd w:val="clear" w:color="auto" w:fill="FFFFFF"/>
            <w:tcMar>
              <w:top w:w="40" w:type="dxa"/>
              <w:left w:w="100" w:type="dxa"/>
              <w:bottom w:w="40" w:type="dxa"/>
              <w:right w:w="100" w:type="dxa"/>
            </w:tcMar>
            <w:vAlign w:val="center"/>
          </w:tcPr>
          <w:p w14:paraId="5EBC0329" w14:textId="77777777" w:rsidR="00BA183A" w:rsidRDefault="00000000">
            <w:pPr>
              <w:spacing w:before="20" w:after="20"/>
              <w:jc w:val="right"/>
            </w:pPr>
            <w:r>
              <w:rPr>
                <w:color w:val="1A1A1A"/>
                <w:sz w:val="18"/>
                <w:szCs w:val="18"/>
              </w:rPr>
              <w:t>541,428</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585,306</w:t>
            </w:r>
          </w:p>
        </w:tc>
      </w:tr>
      <w:tr w:rsidR="00BA183A" w14:paraId="16B548EE" w14:textId="77777777">
        <w:tc>
          <w:tcPr>
            <w:tcW w:w="4320" w:type="dxa"/>
            <w:shd w:val="clear" w:color="auto" w:fill="FFFFFF"/>
            <w:tcMar>
              <w:top w:w="40" w:type="dxa"/>
              <w:left w:w="100" w:type="dxa"/>
              <w:bottom w:w="40" w:type="dxa"/>
              <w:right w:w="100" w:type="dxa"/>
            </w:tcMar>
            <w:vAlign w:val="center"/>
          </w:tcPr>
          <w:p w14:paraId="32E898D2" w14:textId="77777777" w:rsidR="00BA183A" w:rsidRDefault="00000000">
            <w:pPr>
              <w:spacing w:before="20" w:after="20"/>
            </w:pPr>
            <w:r>
              <w:rPr>
                <w:b/>
                <w:bCs/>
                <w:color w:val="1A1A1A"/>
                <w:sz w:val="18"/>
                <w:szCs w:val="18"/>
              </w:rPr>
              <w:t>Total liabilities</w:t>
            </w:r>
          </w:p>
        </w:tc>
        <w:tc>
          <w:tcPr>
            <w:tcW w:w="1920" w:type="dxa"/>
            <w:shd w:val="clear" w:color="auto" w:fill="FFFFFF"/>
            <w:tcMar>
              <w:top w:w="40" w:type="dxa"/>
              <w:left w:w="100" w:type="dxa"/>
              <w:bottom w:w="40" w:type="dxa"/>
              <w:right w:w="100" w:type="dxa"/>
            </w:tcMar>
            <w:vAlign w:val="center"/>
          </w:tcPr>
          <w:p w14:paraId="203B6F4E" w14:textId="77777777" w:rsidR="00BA183A" w:rsidRDefault="00000000">
            <w:pPr>
              <w:spacing w:before="20" w:after="20"/>
              <w:jc w:val="right"/>
            </w:pPr>
            <w:r>
              <w:rPr>
                <w:b/>
                <w:bCs/>
                <w:color w:val="1A1A1A"/>
                <w:sz w:val="18"/>
                <w:szCs w:val="18"/>
              </w:rPr>
              <w:t>124,336,296</w:t>
            </w:r>
          </w:p>
        </w:tc>
        <w:tc>
          <w:tcPr>
            <w:tcW w:w="1920" w:type="dxa"/>
            <w:shd w:val="clear" w:color="auto" w:fill="FFFFFF"/>
            <w:tcMar>
              <w:top w:w="40" w:type="dxa"/>
              <w:left w:w="100" w:type="dxa"/>
              <w:bottom w:w="40" w:type="dxa"/>
              <w:right w:w="100" w:type="dxa"/>
            </w:tcMar>
            <w:vAlign w:val="center"/>
          </w:tcPr>
          <w:p w14:paraId="2329D3F6" w14:textId="77777777" w:rsidR="00BA183A" w:rsidRDefault="00000000">
            <w:pPr>
              <w:spacing w:before="20" w:after="20"/>
              <w:jc w:val="right"/>
            </w:pPr>
            <w:r>
              <w:rPr>
                <w:b/>
                <w:bCs/>
                <w:color w:val="1A1A1A"/>
                <w:sz w:val="18"/>
                <w:szCs w:val="18"/>
              </w:rPr>
              <w:t>116,757,168</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b/>
                <w:bCs/>
                <w:color w:val="1A1A1A"/>
                <w:sz w:val="18"/>
                <w:szCs w:val="18"/>
              </w:rPr>
              <w:t>108,002,999</w:t>
            </w:r>
          </w:p>
        </w:tc>
      </w:tr>
      <w:tr w:rsidR="00BA183A" w14:paraId="0D362C8B" w14:textId="77777777">
        <w:tc>
          <w:tcPr>
            <w:tcW w:w="10080" w:type="dxa"/>
            <w:gridSpan w:val="4"/>
            <w:shd w:val="clear" w:color="auto" w:fill="EDF2F7"/>
            <w:tcMar>
              <w:top w:w="40" w:type="dxa"/>
              <w:left w:w="100" w:type="dxa"/>
              <w:bottom w:w="40" w:type="dxa"/>
              <w:right w:w="100" w:type="dxa"/>
            </w:tcMar>
            <w:vAlign w:val="center"/>
          </w:tcPr>
          <w:p w14:paraId="43BB8DA8" w14:textId="77777777" w:rsidR="00BA183A" w:rsidRDefault="00000000">
            <w:pPr>
              <w:spacing w:before="20" w:after="20"/>
            </w:pPr>
            <w:r>
              <w:rPr>
                <w:b/>
                <w:bCs/>
                <w:color w:val="1A3A5C"/>
                <w:sz w:val="18"/>
                <w:szCs w:val="18"/>
              </w:rPr>
              <w:t>EQUITY</w:t>
            </w:r>
          </w:p>
        </w:tc>
      </w:tr>
      <w:tr w:rsidR="00BA183A" w14:paraId="629AFF6D" w14:textId="77777777">
        <w:tc>
          <w:tcPr>
            <w:tcW w:w="4320" w:type="dxa"/>
            <w:shd w:val="clear" w:color="auto" w:fill="FFFFFF"/>
            <w:tcMar>
              <w:top w:w="40" w:type="dxa"/>
              <w:left w:w="100" w:type="dxa"/>
              <w:bottom w:w="40" w:type="dxa"/>
              <w:right w:w="100" w:type="dxa"/>
            </w:tcMar>
            <w:vAlign w:val="center"/>
          </w:tcPr>
          <w:p w14:paraId="7257810C" w14:textId="77777777" w:rsidR="00BA183A" w:rsidRDefault="00000000">
            <w:pPr>
              <w:spacing w:before="20" w:after="20"/>
            </w:pPr>
            <w:r>
              <w:rPr>
                <w:color w:val="1A1A1A"/>
                <w:sz w:val="18"/>
                <w:szCs w:val="18"/>
              </w:rPr>
              <w:t>Share capital</w:t>
            </w:r>
          </w:p>
        </w:tc>
        <w:tc>
          <w:tcPr>
            <w:tcW w:w="1920" w:type="dxa"/>
            <w:shd w:val="clear" w:color="auto" w:fill="FFFFFF"/>
            <w:tcMar>
              <w:top w:w="40" w:type="dxa"/>
              <w:left w:w="100" w:type="dxa"/>
              <w:bottom w:w="40" w:type="dxa"/>
              <w:right w:w="100" w:type="dxa"/>
            </w:tcMar>
            <w:vAlign w:val="center"/>
          </w:tcPr>
          <w:p w14:paraId="21FE9E2D" w14:textId="77777777" w:rsidR="00BA183A" w:rsidRDefault="00000000">
            <w:pPr>
              <w:spacing w:before="20" w:after="20"/>
              <w:jc w:val="right"/>
            </w:pPr>
            <w:r>
              <w:rPr>
                <w:color w:val="1A1A1A"/>
                <w:sz w:val="18"/>
                <w:szCs w:val="18"/>
              </w:rPr>
              <w:t>16,697,180</w:t>
            </w:r>
          </w:p>
        </w:tc>
        <w:tc>
          <w:tcPr>
            <w:tcW w:w="1920" w:type="dxa"/>
            <w:shd w:val="clear" w:color="auto" w:fill="FFFFFF"/>
            <w:tcMar>
              <w:top w:w="40" w:type="dxa"/>
              <w:left w:w="100" w:type="dxa"/>
              <w:bottom w:w="40" w:type="dxa"/>
              <w:right w:w="100" w:type="dxa"/>
            </w:tcMar>
            <w:vAlign w:val="center"/>
          </w:tcPr>
          <w:p w14:paraId="4006DEB8" w14:textId="77777777" w:rsidR="00BA183A" w:rsidRDefault="00000000">
            <w:pPr>
              <w:spacing w:before="20" w:after="20"/>
              <w:jc w:val="right"/>
            </w:pPr>
            <w:r>
              <w:rPr>
                <w:color w:val="1A1A1A"/>
                <w:sz w:val="18"/>
                <w:szCs w:val="18"/>
              </w:rPr>
              <w:t>15,994,554</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15,476,078</w:t>
            </w:r>
          </w:p>
        </w:tc>
      </w:tr>
      <w:tr w:rsidR="00BA183A" w14:paraId="735AC2BC" w14:textId="77777777">
        <w:tc>
          <w:tcPr>
            <w:tcW w:w="4320" w:type="dxa"/>
            <w:shd w:val="clear" w:color="auto" w:fill="FFFFFF"/>
            <w:tcMar>
              <w:top w:w="40" w:type="dxa"/>
              <w:left w:w="100" w:type="dxa"/>
              <w:bottom w:w="40" w:type="dxa"/>
              <w:right w:w="100" w:type="dxa"/>
            </w:tcMar>
            <w:vAlign w:val="center"/>
          </w:tcPr>
          <w:p w14:paraId="6F45D67B" w14:textId="77777777" w:rsidR="00BA183A" w:rsidRDefault="00000000">
            <w:pPr>
              <w:spacing w:before="20" w:after="20"/>
            </w:pPr>
            <w:r>
              <w:rPr>
                <w:color w:val="1A1A1A"/>
                <w:sz w:val="18"/>
                <w:szCs w:val="18"/>
              </w:rPr>
              <w:lastRenderedPageBreak/>
              <w:t>Other reserves and retained earnings</w:t>
            </w:r>
          </w:p>
        </w:tc>
        <w:tc>
          <w:tcPr>
            <w:tcW w:w="1920" w:type="dxa"/>
            <w:shd w:val="clear" w:color="auto" w:fill="FFFFFF"/>
            <w:tcMar>
              <w:top w:w="40" w:type="dxa"/>
              <w:left w:w="100" w:type="dxa"/>
              <w:bottom w:w="40" w:type="dxa"/>
              <w:right w:w="100" w:type="dxa"/>
            </w:tcMar>
            <w:vAlign w:val="center"/>
          </w:tcPr>
          <w:p w14:paraId="65421D60" w14:textId="77777777" w:rsidR="00BA183A" w:rsidRDefault="00000000">
            <w:pPr>
              <w:spacing w:before="20" w:after="20"/>
              <w:jc w:val="right"/>
            </w:pPr>
            <w:r>
              <w:rPr>
                <w:color w:val="1A1A1A"/>
                <w:sz w:val="18"/>
                <w:szCs w:val="18"/>
              </w:rPr>
              <w:t>4,296,910</w:t>
            </w:r>
          </w:p>
        </w:tc>
        <w:tc>
          <w:tcPr>
            <w:tcW w:w="1920" w:type="dxa"/>
            <w:shd w:val="clear" w:color="auto" w:fill="FFFFFF"/>
            <w:tcMar>
              <w:top w:w="40" w:type="dxa"/>
              <w:left w:w="100" w:type="dxa"/>
              <w:bottom w:w="40" w:type="dxa"/>
              <w:right w:w="100" w:type="dxa"/>
            </w:tcMar>
            <w:vAlign w:val="center"/>
          </w:tcPr>
          <w:p w14:paraId="346DCCE8" w14:textId="77777777" w:rsidR="00BA183A" w:rsidRDefault="00000000">
            <w:pPr>
              <w:spacing w:before="20" w:after="20"/>
              <w:jc w:val="right"/>
            </w:pPr>
            <w:r>
              <w:rPr>
                <w:color w:val="1A1A1A"/>
                <w:sz w:val="18"/>
                <w:szCs w:val="18"/>
              </w:rPr>
              <w:t>3,977,294</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2,966,932</w:t>
            </w:r>
          </w:p>
        </w:tc>
      </w:tr>
      <w:tr w:rsidR="00BA183A" w14:paraId="7232C433" w14:textId="77777777">
        <w:tc>
          <w:tcPr>
            <w:tcW w:w="4320" w:type="dxa"/>
            <w:shd w:val="clear" w:color="auto" w:fill="FFFFFF"/>
            <w:tcMar>
              <w:top w:w="40" w:type="dxa"/>
              <w:left w:w="100" w:type="dxa"/>
              <w:bottom w:w="40" w:type="dxa"/>
              <w:right w:w="100" w:type="dxa"/>
            </w:tcMar>
            <w:vAlign w:val="center"/>
          </w:tcPr>
          <w:p w14:paraId="7BED9A0F" w14:textId="77777777" w:rsidR="00BA183A" w:rsidRDefault="00000000">
            <w:pPr>
              <w:spacing w:before="20" w:after="20"/>
            </w:pPr>
            <w:r>
              <w:rPr>
                <w:b/>
                <w:bCs/>
                <w:color w:val="1A1A1A"/>
                <w:sz w:val="18"/>
                <w:szCs w:val="18"/>
              </w:rPr>
              <w:t>Equity attributable to shareholders of the Bank</w:t>
            </w:r>
          </w:p>
        </w:tc>
        <w:tc>
          <w:tcPr>
            <w:tcW w:w="1920" w:type="dxa"/>
            <w:shd w:val="clear" w:color="auto" w:fill="FFFFFF"/>
            <w:tcMar>
              <w:top w:w="40" w:type="dxa"/>
              <w:left w:w="100" w:type="dxa"/>
              <w:bottom w:w="40" w:type="dxa"/>
              <w:right w:w="100" w:type="dxa"/>
            </w:tcMar>
            <w:vAlign w:val="center"/>
          </w:tcPr>
          <w:p w14:paraId="653C23B7" w14:textId="77777777" w:rsidR="00BA183A" w:rsidRDefault="00000000">
            <w:pPr>
              <w:spacing w:before="20" w:after="20"/>
              <w:jc w:val="right"/>
            </w:pPr>
            <w:r>
              <w:rPr>
                <w:b/>
                <w:bCs/>
                <w:color w:val="1A1A1A"/>
                <w:sz w:val="18"/>
                <w:szCs w:val="18"/>
              </w:rPr>
              <w:t>20,994,090</w:t>
            </w:r>
          </w:p>
        </w:tc>
        <w:tc>
          <w:tcPr>
            <w:tcW w:w="1920" w:type="dxa"/>
            <w:shd w:val="clear" w:color="auto" w:fill="FFFFFF"/>
            <w:tcMar>
              <w:top w:w="40" w:type="dxa"/>
              <w:left w:w="100" w:type="dxa"/>
              <w:bottom w:w="40" w:type="dxa"/>
              <w:right w:w="100" w:type="dxa"/>
            </w:tcMar>
            <w:vAlign w:val="center"/>
          </w:tcPr>
          <w:p w14:paraId="4F32FD78" w14:textId="77777777" w:rsidR="00BA183A" w:rsidRDefault="00000000">
            <w:pPr>
              <w:spacing w:before="20" w:after="20"/>
              <w:jc w:val="right"/>
            </w:pPr>
            <w:r>
              <w:rPr>
                <w:b/>
                <w:bCs/>
                <w:color w:val="1A1A1A"/>
                <w:sz w:val="18"/>
                <w:szCs w:val="18"/>
              </w:rPr>
              <w:t>19,971,848</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b/>
                <w:bCs/>
                <w:color w:val="1A1A1A"/>
                <w:sz w:val="18"/>
                <w:szCs w:val="18"/>
              </w:rPr>
              <w:t>18,443,010</w:t>
            </w:r>
          </w:p>
        </w:tc>
      </w:tr>
      <w:tr w:rsidR="00BA183A" w14:paraId="2067A1A0" w14:textId="77777777">
        <w:tc>
          <w:tcPr>
            <w:tcW w:w="4320" w:type="dxa"/>
            <w:shd w:val="clear" w:color="auto" w:fill="FFFFFF"/>
            <w:tcMar>
              <w:top w:w="40" w:type="dxa"/>
              <w:left w:w="100" w:type="dxa"/>
              <w:bottom w:w="40" w:type="dxa"/>
              <w:right w:w="100" w:type="dxa"/>
            </w:tcMar>
            <w:vAlign w:val="center"/>
          </w:tcPr>
          <w:p w14:paraId="209DD00A" w14:textId="77777777" w:rsidR="00BA183A" w:rsidRDefault="00000000">
            <w:pPr>
              <w:spacing w:before="20" w:after="20"/>
            </w:pPr>
            <w:r>
              <w:rPr>
                <w:color w:val="1A1A1A"/>
                <w:sz w:val="18"/>
                <w:szCs w:val="18"/>
              </w:rPr>
              <w:t>Non-controlling interests</w:t>
            </w:r>
          </w:p>
        </w:tc>
        <w:tc>
          <w:tcPr>
            <w:tcW w:w="1920" w:type="dxa"/>
            <w:shd w:val="clear" w:color="auto" w:fill="FFFFFF"/>
            <w:tcMar>
              <w:top w:w="40" w:type="dxa"/>
              <w:left w:w="100" w:type="dxa"/>
              <w:bottom w:w="40" w:type="dxa"/>
              <w:right w:w="100" w:type="dxa"/>
            </w:tcMar>
            <w:vAlign w:val="center"/>
          </w:tcPr>
          <w:p w14:paraId="6142DEAE" w14:textId="77777777" w:rsidR="00BA183A" w:rsidRDefault="00000000">
            <w:pPr>
              <w:spacing w:before="20" w:after="20"/>
              <w:jc w:val="right"/>
            </w:pPr>
            <w:r>
              <w:rPr>
                <w:color w:val="1A1A1A"/>
                <w:sz w:val="18"/>
                <w:szCs w:val="18"/>
              </w:rPr>
              <w:t>103,395</w:t>
            </w:r>
          </w:p>
        </w:tc>
        <w:tc>
          <w:tcPr>
            <w:tcW w:w="1920" w:type="dxa"/>
            <w:shd w:val="clear" w:color="auto" w:fill="FFFFFF"/>
            <w:tcMar>
              <w:top w:w="40" w:type="dxa"/>
              <w:left w:w="100" w:type="dxa"/>
              <w:bottom w:w="40" w:type="dxa"/>
              <w:right w:w="100" w:type="dxa"/>
            </w:tcMar>
            <w:vAlign w:val="center"/>
          </w:tcPr>
          <w:p w14:paraId="5D65AB40" w14:textId="77777777" w:rsidR="00BA183A" w:rsidRDefault="00000000">
            <w:pPr>
              <w:spacing w:before="20" w:after="20"/>
              <w:jc w:val="right"/>
            </w:pPr>
            <w:r>
              <w:rPr>
                <w:color w:val="1A1A1A"/>
                <w:sz w:val="18"/>
                <w:szCs w:val="18"/>
              </w:rPr>
              <w:t>74,372</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43,397</w:t>
            </w:r>
          </w:p>
        </w:tc>
      </w:tr>
      <w:tr w:rsidR="00BA183A" w14:paraId="053F0EF9" w14:textId="77777777">
        <w:tc>
          <w:tcPr>
            <w:tcW w:w="4320" w:type="dxa"/>
            <w:shd w:val="clear" w:color="auto" w:fill="FFFFFF"/>
            <w:tcMar>
              <w:top w:w="40" w:type="dxa"/>
              <w:left w:w="100" w:type="dxa"/>
              <w:bottom w:w="40" w:type="dxa"/>
              <w:right w:w="100" w:type="dxa"/>
            </w:tcMar>
            <w:vAlign w:val="center"/>
          </w:tcPr>
          <w:p w14:paraId="42B035C4" w14:textId="77777777" w:rsidR="00BA183A" w:rsidRDefault="00000000">
            <w:pPr>
              <w:spacing w:before="20" w:after="20"/>
            </w:pPr>
            <w:r>
              <w:rPr>
                <w:b/>
                <w:bCs/>
                <w:color w:val="1A1A1A"/>
                <w:sz w:val="18"/>
                <w:szCs w:val="18"/>
              </w:rPr>
              <w:t>Total equity</w:t>
            </w:r>
          </w:p>
        </w:tc>
        <w:tc>
          <w:tcPr>
            <w:tcW w:w="1920" w:type="dxa"/>
            <w:shd w:val="clear" w:color="auto" w:fill="FFFFFF"/>
            <w:tcMar>
              <w:top w:w="40" w:type="dxa"/>
              <w:left w:w="100" w:type="dxa"/>
              <w:bottom w:w="40" w:type="dxa"/>
              <w:right w:w="100" w:type="dxa"/>
            </w:tcMar>
            <w:vAlign w:val="center"/>
          </w:tcPr>
          <w:p w14:paraId="7D0B7458" w14:textId="77777777" w:rsidR="00BA183A" w:rsidRDefault="00000000">
            <w:pPr>
              <w:spacing w:before="20" w:after="20"/>
              <w:jc w:val="right"/>
            </w:pPr>
            <w:r>
              <w:rPr>
                <w:b/>
                <w:bCs/>
                <w:color w:val="1A1A1A"/>
                <w:sz w:val="18"/>
                <w:szCs w:val="18"/>
              </w:rPr>
              <w:t>21,097,485</w:t>
            </w:r>
          </w:p>
        </w:tc>
        <w:tc>
          <w:tcPr>
            <w:tcW w:w="1920" w:type="dxa"/>
            <w:shd w:val="clear" w:color="auto" w:fill="FFFFFF"/>
            <w:tcMar>
              <w:top w:w="40" w:type="dxa"/>
              <w:left w:w="100" w:type="dxa"/>
              <w:bottom w:w="40" w:type="dxa"/>
              <w:right w:w="100" w:type="dxa"/>
            </w:tcMar>
            <w:vAlign w:val="center"/>
          </w:tcPr>
          <w:p w14:paraId="3B7B537F" w14:textId="77777777" w:rsidR="00BA183A" w:rsidRDefault="00000000">
            <w:pPr>
              <w:spacing w:before="20" w:after="20"/>
              <w:jc w:val="right"/>
            </w:pPr>
            <w:r>
              <w:rPr>
                <w:b/>
                <w:bCs/>
                <w:color w:val="1A1A1A"/>
                <w:sz w:val="18"/>
                <w:szCs w:val="18"/>
              </w:rPr>
              <w:t>20,046,220</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b/>
                <w:bCs/>
                <w:color w:val="1A1A1A"/>
                <w:sz w:val="18"/>
                <w:szCs w:val="18"/>
              </w:rPr>
              <w:t>18,486,407</w:t>
            </w:r>
          </w:p>
        </w:tc>
      </w:tr>
    </w:tbl>
    <w:p w14:paraId="5F2E2625" w14:textId="77777777" w:rsidR="00BA183A" w:rsidRDefault="00000000">
      <w:pPr>
        <w:spacing w:before="180" w:after="60"/>
      </w:pPr>
      <w:r>
        <w:rPr>
          <w:b/>
          <w:bCs/>
          <w:color w:val="2E6DA4"/>
        </w:rPr>
        <w:t>Interim Condensed Consolidated Statement of Profit or Loss (6 months to 30 June 2025)</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4320"/>
        <w:gridCol w:w="1920"/>
        <w:gridCol w:w="1920"/>
        <w:gridCol w:w="1920"/>
      </w:tblGrid>
      <w:tr w:rsidR="00BA183A" w14:paraId="372FC4F7" w14:textId="77777777">
        <w:tc>
          <w:tcPr>
            <w:tcW w:w="4320" w:type="dxa"/>
            <w:shd w:val="clear" w:color="auto" w:fill="2E4057"/>
            <w:tcMar>
              <w:top w:w="40" w:type="dxa"/>
              <w:left w:w="100" w:type="dxa"/>
              <w:bottom w:w="40" w:type="dxa"/>
              <w:right w:w="100" w:type="dxa"/>
            </w:tcMar>
            <w:vAlign w:val="center"/>
          </w:tcPr>
          <w:p w14:paraId="087A426B" w14:textId="77777777" w:rsidR="00BA183A" w:rsidRDefault="00000000">
            <w:pPr>
              <w:spacing w:before="20" w:after="20"/>
            </w:pPr>
            <w:r>
              <w:rPr>
                <w:b/>
                <w:bCs/>
                <w:color w:val="FFFFFF"/>
                <w:sz w:val="18"/>
                <w:szCs w:val="18"/>
              </w:rPr>
              <w:t>UZS millions</w:t>
            </w:r>
          </w:p>
        </w:tc>
        <w:tc>
          <w:tcPr>
            <w:tcW w:w="1920" w:type="dxa"/>
            <w:shd w:val="clear" w:color="auto" w:fill="2E4057"/>
            <w:tcMar>
              <w:top w:w="40" w:type="dxa"/>
              <w:left w:w="100" w:type="dxa"/>
              <w:bottom w:w="40" w:type="dxa"/>
              <w:right w:w="100" w:type="dxa"/>
            </w:tcMar>
            <w:vAlign w:val="center"/>
          </w:tcPr>
          <w:p w14:paraId="5552C8B4" w14:textId="77777777" w:rsidR="00BA183A" w:rsidRDefault="00000000">
            <w:pPr>
              <w:spacing w:before="20" w:after="20"/>
              <w:jc w:val="right"/>
            </w:pPr>
            <w:r>
              <w:rPr>
                <w:b/>
                <w:bCs/>
                <w:color w:val="FFFFFF"/>
                <w:sz w:val="18"/>
                <w:szCs w:val="18"/>
              </w:rPr>
              <w:t>6m to 30 Jun 2025</w:t>
            </w:r>
          </w:p>
        </w:tc>
        <w:tc>
          <w:tcPr>
            <w:tcW w:w="1920" w:type="dxa"/>
            <w:shd w:val="clear" w:color="auto" w:fill="2E4057"/>
            <w:tcMar>
              <w:top w:w="40" w:type="dxa"/>
              <w:left w:w="100" w:type="dxa"/>
              <w:bottom w:w="40" w:type="dxa"/>
              <w:right w:w="100" w:type="dxa"/>
            </w:tcMar>
            <w:vAlign w:val="center"/>
          </w:tcPr>
          <w:p w14:paraId="63EA8651" w14:textId="77777777" w:rsidR="00BA183A" w:rsidRDefault="00000000">
            <w:pPr>
              <w:spacing w:before="20" w:after="20"/>
              <w:jc w:val="right"/>
            </w:pPr>
            <w:r>
              <w:rPr>
                <w:b/>
                <w:bCs/>
                <w:color w:val="FFFFFF"/>
                <w:sz w:val="18"/>
                <w:szCs w:val="18"/>
              </w:rPr>
              <w:t>6m to 30 Jun 2024</w:t>
            </w:r>
          </w:p>
        </w:tc>
        <w:tc>
          <w:tcPr>
            <w:tcW w:w="1920" w:type="dxa"/>
            <w:shd w:val="clear" w:color="auto" w:fill="2E4057"/>
            <w:tcMar>
              <w:top w:w="40" w:type="dxa"/>
              <w:left w:w="100" w:type="dxa"/>
              <w:bottom w:w="40" w:type="dxa"/>
              <w:right w:w="100" w:type="dxa"/>
            </w:tcMar>
            <w:vAlign w:val="center"/>
          </w:tcPr>
          <w:p w:rsidR="00BA183A" w:rsidRDefault="00000000">
            <w:pPr>
              <w:spacing w:before="20" w:after="20"/>
              <w:jc w:val="right"/>
            </w:pPr>
            <w:r>
              <w:rPr>
                <w:b/>
                <w:bCs/>
                <w:color w:val="FFFFFF"/>
                <w:sz w:val="18"/>
                <w:szCs w:val="18"/>
              </w:rPr>
              <w:t>FY2023*</w:t>
            </w:r>
          </w:p>
        </w:tc>
      </w:tr>
      <w:tr w:rsidR="00BA183A" w14:paraId="28280CC8" w14:textId="77777777">
        <w:tc>
          <w:tcPr>
            <w:tcW w:w="4320" w:type="dxa"/>
            <w:shd w:val="clear" w:color="auto" w:fill="FFFFFF"/>
            <w:tcMar>
              <w:top w:w="40" w:type="dxa"/>
              <w:left w:w="100" w:type="dxa"/>
              <w:bottom w:w="40" w:type="dxa"/>
              <w:right w:w="100" w:type="dxa"/>
            </w:tcMar>
            <w:vAlign w:val="center"/>
          </w:tcPr>
          <w:p w14:paraId="3EA41504" w14:textId="77777777" w:rsidR="00BA183A" w:rsidRDefault="00000000">
            <w:pPr>
              <w:spacing w:before="20" w:after="20"/>
            </w:pPr>
            <w:r>
              <w:rPr>
                <w:color w:val="1A1A1A"/>
                <w:sz w:val="18"/>
                <w:szCs w:val="18"/>
              </w:rPr>
              <w:t>Interest income</w:t>
            </w:r>
          </w:p>
        </w:tc>
        <w:tc>
          <w:tcPr>
            <w:tcW w:w="1920" w:type="dxa"/>
            <w:shd w:val="clear" w:color="auto" w:fill="FFFFFF"/>
            <w:tcMar>
              <w:top w:w="40" w:type="dxa"/>
              <w:left w:w="100" w:type="dxa"/>
              <w:bottom w:w="40" w:type="dxa"/>
              <w:right w:w="100" w:type="dxa"/>
            </w:tcMar>
            <w:vAlign w:val="center"/>
          </w:tcPr>
          <w:p w14:paraId="37C719C3" w14:textId="77777777" w:rsidR="00BA183A" w:rsidRDefault="00000000">
            <w:pPr>
              <w:spacing w:before="20" w:after="20"/>
              <w:jc w:val="right"/>
            </w:pPr>
            <w:r>
              <w:rPr>
                <w:color w:val="1A1A1A"/>
                <w:sz w:val="18"/>
                <w:szCs w:val="18"/>
              </w:rPr>
              <w:t>6,717,985</w:t>
            </w:r>
          </w:p>
        </w:tc>
        <w:tc>
          <w:tcPr>
            <w:tcW w:w="1920" w:type="dxa"/>
            <w:shd w:val="clear" w:color="auto" w:fill="FFFFFF"/>
            <w:tcMar>
              <w:top w:w="40" w:type="dxa"/>
              <w:left w:w="100" w:type="dxa"/>
              <w:bottom w:w="40" w:type="dxa"/>
              <w:right w:w="100" w:type="dxa"/>
            </w:tcMar>
            <w:vAlign w:val="center"/>
          </w:tcPr>
          <w:p w14:paraId="6C34297A" w14:textId="77777777" w:rsidR="00BA183A" w:rsidRDefault="00000000">
            <w:pPr>
              <w:spacing w:before="20" w:after="20"/>
              <w:jc w:val="right"/>
            </w:pPr>
            <w:r>
              <w:rPr>
                <w:color w:val="1A1A1A"/>
                <w:sz w:val="18"/>
                <w:szCs w:val="18"/>
              </w:rPr>
              <w:t>5,950,284</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10,606,305</w:t>
            </w:r>
          </w:p>
        </w:tc>
      </w:tr>
      <w:tr w:rsidR="00BA183A" w14:paraId="4D3B5F40" w14:textId="77777777">
        <w:tc>
          <w:tcPr>
            <w:tcW w:w="4320" w:type="dxa"/>
            <w:shd w:val="clear" w:color="auto" w:fill="FFFFFF"/>
            <w:tcMar>
              <w:top w:w="40" w:type="dxa"/>
              <w:left w:w="100" w:type="dxa"/>
              <w:bottom w:w="40" w:type="dxa"/>
              <w:right w:w="100" w:type="dxa"/>
            </w:tcMar>
            <w:vAlign w:val="center"/>
          </w:tcPr>
          <w:p w14:paraId="237F1805" w14:textId="77777777" w:rsidR="00BA183A" w:rsidRDefault="00000000">
            <w:pPr>
              <w:spacing w:before="20" w:after="20"/>
            </w:pPr>
            <w:r>
              <w:rPr>
                <w:color w:val="1A1A1A"/>
                <w:sz w:val="18"/>
                <w:szCs w:val="18"/>
              </w:rPr>
              <w:t>Interest expense</w:t>
            </w:r>
          </w:p>
        </w:tc>
        <w:tc>
          <w:tcPr>
            <w:tcW w:w="1920" w:type="dxa"/>
            <w:shd w:val="clear" w:color="auto" w:fill="FFFFFF"/>
            <w:tcMar>
              <w:top w:w="40" w:type="dxa"/>
              <w:left w:w="100" w:type="dxa"/>
              <w:bottom w:w="40" w:type="dxa"/>
              <w:right w:w="100" w:type="dxa"/>
            </w:tcMar>
            <w:vAlign w:val="center"/>
          </w:tcPr>
          <w:p w14:paraId="5DC9369B" w14:textId="77777777" w:rsidR="00BA183A" w:rsidRDefault="00000000">
            <w:pPr>
              <w:spacing w:before="20" w:after="20"/>
              <w:jc w:val="right"/>
            </w:pPr>
            <w:r>
              <w:rPr>
                <w:color w:val="1A1A1A"/>
                <w:sz w:val="18"/>
                <w:szCs w:val="18"/>
              </w:rPr>
              <w:t>(3,459,154)</w:t>
            </w:r>
          </w:p>
        </w:tc>
        <w:tc>
          <w:tcPr>
            <w:tcW w:w="1920" w:type="dxa"/>
            <w:shd w:val="clear" w:color="auto" w:fill="FFFFFF"/>
            <w:tcMar>
              <w:top w:w="40" w:type="dxa"/>
              <w:left w:w="100" w:type="dxa"/>
              <w:bottom w:w="40" w:type="dxa"/>
              <w:right w:w="100" w:type="dxa"/>
            </w:tcMar>
            <w:vAlign w:val="center"/>
          </w:tcPr>
          <w:p w14:paraId="0B40BA65" w14:textId="77777777" w:rsidR="00BA183A" w:rsidRDefault="00000000">
            <w:pPr>
              <w:spacing w:before="20" w:after="20"/>
              <w:jc w:val="right"/>
            </w:pPr>
            <w:r>
              <w:rPr>
                <w:color w:val="1A1A1A"/>
                <w:sz w:val="18"/>
                <w:szCs w:val="18"/>
              </w:rPr>
              <w:t>(2,943,035)</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(5,069,070)</w:t>
            </w:r>
          </w:p>
        </w:tc>
      </w:tr>
      <w:tr w:rsidR="00BA183A" w14:paraId="22DF49A3" w14:textId="77777777">
        <w:tc>
          <w:tcPr>
            <w:tcW w:w="4320" w:type="dxa"/>
            <w:shd w:val="clear" w:color="auto" w:fill="FFFFFF"/>
            <w:tcMar>
              <w:top w:w="40" w:type="dxa"/>
              <w:left w:w="100" w:type="dxa"/>
              <w:bottom w:w="40" w:type="dxa"/>
              <w:right w:w="100" w:type="dxa"/>
            </w:tcMar>
            <w:vAlign w:val="center"/>
          </w:tcPr>
          <w:p w14:paraId="79C1FAAE" w14:textId="77777777" w:rsidR="00BA183A" w:rsidRDefault="00000000">
            <w:pPr>
              <w:spacing w:before="20" w:after="20"/>
            </w:pPr>
            <w:r>
              <w:rPr>
                <w:b/>
                <w:bCs/>
                <w:color w:val="1A1A1A"/>
                <w:sz w:val="18"/>
                <w:szCs w:val="18"/>
              </w:rPr>
              <w:t>Net interest income</w:t>
            </w:r>
          </w:p>
        </w:tc>
        <w:tc>
          <w:tcPr>
            <w:tcW w:w="1920" w:type="dxa"/>
            <w:shd w:val="clear" w:color="auto" w:fill="FFFFFF"/>
            <w:tcMar>
              <w:top w:w="40" w:type="dxa"/>
              <w:left w:w="100" w:type="dxa"/>
              <w:bottom w:w="40" w:type="dxa"/>
              <w:right w:w="100" w:type="dxa"/>
            </w:tcMar>
            <w:vAlign w:val="center"/>
          </w:tcPr>
          <w:p w14:paraId="21BADCA6" w14:textId="77777777" w:rsidR="00BA183A" w:rsidRDefault="00000000">
            <w:pPr>
              <w:spacing w:before="20" w:after="20"/>
              <w:jc w:val="right"/>
            </w:pPr>
            <w:r>
              <w:rPr>
                <w:b/>
                <w:bCs/>
                <w:color w:val="1A1A1A"/>
                <w:sz w:val="18"/>
                <w:szCs w:val="18"/>
              </w:rPr>
              <w:t>3,258,831</w:t>
            </w:r>
          </w:p>
        </w:tc>
        <w:tc>
          <w:tcPr>
            <w:tcW w:w="1920" w:type="dxa"/>
            <w:shd w:val="clear" w:color="auto" w:fill="FFFFFF"/>
            <w:tcMar>
              <w:top w:w="40" w:type="dxa"/>
              <w:left w:w="100" w:type="dxa"/>
              <w:bottom w:w="40" w:type="dxa"/>
              <w:right w:w="100" w:type="dxa"/>
            </w:tcMar>
            <w:vAlign w:val="center"/>
          </w:tcPr>
          <w:p w14:paraId="18AF9477" w14:textId="77777777" w:rsidR="00BA183A" w:rsidRDefault="00000000">
            <w:pPr>
              <w:spacing w:before="20" w:after="20"/>
              <w:jc w:val="right"/>
            </w:pPr>
            <w:r>
              <w:rPr>
                <w:b/>
                <w:bCs/>
                <w:color w:val="1A1A1A"/>
                <w:sz w:val="18"/>
                <w:szCs w:val="18"/>
              </w:rPr>
              <w:t>3,007,249</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b/>
                <w:bCs/>
                <w:color w:val="1A1A1A"/>
                <w:sz w:val="18"/>
                <w:szCs w:val="18"/>
              </w:rPr>
              <w:t>5,537,235</w:t>
            </w:r>
          </w:p>
        </w:tc>
      </w:tr>
      <w:tr w:rsidR="00BA183A" w14:paraId="49DC4357" w14:textId="77777777">
        <w:tc>
          <w:tcPr>
            <w:tcW w:w="4320" w:type="dxa"/>
            <w:shd w:val="clear" w:color="auto" w:fill="FFFFFF"/>
            <w:tcMar>
              <w:top w:w="40" w:type="dxa"/>
              <w:left w:w="100" w:type="dxa"/>
              <w:bottom w:w="40" w:type="dxa"/>
              <w:right w:w="100" w:type="dxa"/>
            </w:tcMar>
            <w:vAlign w:val="center"/>
          </w:tcPr>
          <w:p w14:paraId="6B18B2BA" w14:textId="77777777" w:rsidR="00BA183A" w:rsidRDefault="00000000">
            <w:pPr>
              <w:spacing w:before="20" w:after="20"/>
            </w:pPr>
            <w:r>
              <w:rPr>
                <w:color w:val="1A1A1A"/>
                <w:sz w:val="18"/>
                <w:szCs w:val="18"/>
              </w:rPr>
              <w:t>Credit loss expense on financial assets</w:t>
            </w:r>
          </w:p>
        </w:tc>
        <w:tc>
          <w:tcPr>
            <w:tcW w:w="1920" w:type="dxa"/>
            <w:shd w:val="clear" w:color="auto" w:fill="FFFFFF"/>
            <w:tcMar>
              <w:top w:w="40" w:type="dxa"/>
              <w:left w:w="100" w:type="dxa"/>
              <w:bottom w:w="40" w:type="dxa"/>
              <w:right w:w="100" w:type="dxa"/>
            </w:tcMar>
            <w:vAlign w:val="center"/>
          </w:tcPr>
          <w:p w14:paraId="2D8D7279" w14:textId="77777777" w:rsidR="00BA183A" w:rsidRDefault="00000000">
            <w:pPr>
              <w:spacing w:before="20" w:after="20"/>
              <w:jc w:val="right"/>
            </w:pPr>
            <w:r>
              <w:rPr>
                <w:color w:val="1A1A1A"/>
                <w:sz w:val="18"/>
                <w:szCs w:val="18"/>
              </w:rPr>
              <w:t>(667,995)</w:t>
            </w:r>
          </w:p>
        </w:tc>
        <w:tc>
          <w:tcPr>
            <w:tcW w:w="1920" w:type="dxa"/>
            <w:shd w:val="clear" w:color="auto" w:fill="FFFFFF"/>
            <w:tcMar>
              <w:top w:w="40" w:type="dxa"/>
              <w:left w:w="100" w:type="dxa"/>
              <w:bottom w:w="40" w:type="dxa"/>
              <w:right w:w="100" w:type="dxa"/>
            </w:tcMar>
            <w:vAlign w:val="center"/>
          </w:tcPr>
          <w:p w14:paraId="266D4AD3" w14:textId="77777777" w:rsidR="00BA183A" w:rsidRDefault="00000000">
            <w:pPr>
              <w:spacing w:before="20" w:after="20"/>
              <w:jc w:val="right"/>
            </w:pPr>
            <w:r>
              <w:rPr>
                <w:color w:val="1A1A1A"/>
                <w:sz w:val="18"/>
                <w:szCs w:val="18"/>
              </w:rPr>
              <w:t>(599,946)</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(1,754,147)</w:t>
            </w:r>
          </w:p>
        </w:tc>
      </w:tr>
      <w:tr w:rsidR="00BA183A" w14:paraId="743EEC8B" w14:textId="77777777">
        <w:tc>
          <w:tcPr>
            <w:tcW w:w="4320" w:type="dxa"/>
            <w:shd w:val="clear" w:color="auto" w:fill="FFFFFF"/>
            <w:tcMar>
              <w:top w:w="40" w:type="dxa"/>
              <w:left w:w="100" w:type="dxa"/>
              <w:bottom w:w="40" w:type="dxa"/>
              <w:right w:w="100" w:type="dxa"/>
            </w:tcMar>
            <w:vAlign w:val="center"/>
          </w:tcPr>
          <w:p w14:paraId="22102D69" w14:textId="77777777" w:rsidR="00BA183A" w:rsidRDefault="00000000">
            <w:pPr>
              <w:spacing w:before="20" w:after="20"/>
            </w:pPr>
            <w:r>
              <w:rPr>
                <w:color w:val="1A1A1A"/>
                <w:sz w:val="18"/>
                <w:szCs w:val="18"/>
              </w:rPr>
              <w:t>Fee and commission income</w:t>
            </w:r>
          </w:p>
        </w:tc>
        <w:tc>
          <w:tcPr>
            <w:tcW w:w="1920" w:type="dxa"/>
            <w:shd w:val="clear" w:color="auto" w:fill="FFFFFF"/>
            <w:tcMar>
              <w:top w:w="40" w:type="dxa"/>
              <w:left w:w="100" w:type="dxa"/>
              <w:bottom w:w="40" w:type="dxa"/>
              <w:right w:w="100" w:type="dxa"/>
            </w:tcMar>
            <w:vAlign w:val="center"/>
          </w:tcPr>
          <w:p w14:paraId="61AACF96" w14:textId="77777777" w:rsidR="00BA183A" w:rsidRDefault="00000000">
            <w:pPr>
              <w:spacing w:before="20" w:after="20"/>
              <w:jc w:val="right"/>
            </w:pPr>
            <w:r>
              <w:rPr>
                <w:color w:val="1A1A1A"/>
                <w:sz w:val="18"/>
                <w:szCs w:val="18"/>
              </w:rPr>
              <w:t>559,307</w:t>
            </w:r>
          </w:p>
        </w:tc>
        <w:tc>
          <w:tcPr>
            <w:tcW w:w="1920" w:type="dxa"/>
            <w:shd w:val="clear" w:color="auto" w:fill="FFFFFF"/>
            <w:tcMar>
              <w:top w:w="40" w:type="dxa"/>
              <w:left w:w="100" w:type="dxa"/>
              <w:bottom w:w="40" w:type="dxa"/>
              <w:right w:w="100" w:type="dxa"/>
            </w:tcMar>
            <w:vAlign w:val="center"/>
          </w:tcPr>
          <w:p w14:paraId="70EAA167" w14:textId="77777777" w:rsidR="00BA183A" w:rsidRDefault="00000000">
            <w:pPr>
              <w:spacing w:before="20" w:after="20"/>
              <w:jc w:val="right"/>
            </w:pPr>
            <w:r>
              <w:rPr>
                <w:color w:val="1A1A1A"/>
                <w:sz w:val="18"/>
                <w:szCs w:val="18"/>
              </w:rPr>
              <w:t>448,432</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813,879</w:t>
            </w:r>
          </w:p>
        </w:tc>
      </w:tr>
      <w:tr w:rsidR="00BA183A" w14:paraId="1285A870" w14:textId="77777777">
        <w:tc>
          <w:tcPr>
            <w:tcW w:w="4320" w:type="dxa"/>
            <w:shd w:val="clear" w:color="auto" w:fill="FFFFFF"/>
            <w:tcMar>
              <w:top w:w="40" w:type="dxa"/>
              <w:left w:w="100" w:type="dxa"/>
              <w:bottom w:w="40" w:type="dxa"/>
              <w:right w:w="100" w:type="dxa"/>
            </w:tcMar>
            <w:vAlign w:val="center"/>
          </w:tcPr>
          <w:p w14:paraId="2D0581B7" w14:textId="77777777" w:rsidR="00BA183A" w:rsidRDefault="00000000">
            <w:pPr>
              <w:spacing w:before="20" w:after="20"/>
            </w:pPr>
            <w:r>
              <w:rPr>
                <w:color w:val="1A1A1A"/>
                <w:sz w:val="18"/>
                <w:szCs w:val="18"/>
              </w:rPr>
              <w:t>Net gains from foreign exchange</w:t>
            </w:r>
          </w:p>
        </w:tc>
        <w:tc>
          <w:tcPr>
            <w:tcW w:w="1920" w:type="dxa"/>
            <w:shd w:val="clear" w:color="auto" w:fill="FFFFFF"/>
            <w:tcMar>
              <w:top w:w="40" w:type="dxa"/>
              <w:left w:w="100" w:type="dxa"/>
              <w:bottom w:w="40" w:type="dxa"/>
              <w:right w:w="100" w:type="dxa"/>
            </w:tcMar>
            <w:vAlign w:val="center"/>
          </w:tcPr>
          <w:p w14:paraId="474E0EA4" w14:textId="77777777" w:rsidR="00BA183A" w:rsidRDefault="00000000">
            <w:pPr>
              <w:spacing w:before="20" w:after="20"/>
              <w:jc w:val="right"/>
            </w:pPr>
            <w:r>
              <w:rPr>
                <w:color w:val="1A1A1A"/>
                <w:sz w:val="18"/>
                <w:szCs w:val="18"/>
              </w:rPr>
              <w:t>888,348</w:t>
            </w:r>
          </w:p>
        </w:tc>
        <w:tc>
          <w:tcPr>
            <w:tcW w:w="1920" w:type="dxa"/>
            <w:shd w:val="clear" w:color="auto" w:fill="FFFFFF"/>
            <w:tcMar>
              <w:top w:w="40" w:type="dxa"/>
              <w:left w:w="100" w:type="dxa"/>
              <w:bottom w:w="40" w:type="dxa"/>
              <w:right w:w="100" w:type="dxa"/>
            </w:tcMar>
            <w:vAlign w:val="center"/>
          </w:tcPr>
          <w:p w14:paraId="18947628" w14:textId="77777777" w:rsidR="00BA183A" w:rsidRDefault="00000000">
            <w:pPr>
              <w:spacing w:before="20" w:after="20"/>
              <w:jc w:val="right"/>
            </w:pPr>
            <w:r>
              <w:rPr>
                <w:color w:val="1A1A1A"/>
                <w:sz w:val="18"/>
                <w:szCs w:val="18"/>
              </w:rPr>
              <w:t>607,247</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1,027,812</w:t>
            </w:r>
          </w:p>
        </w:tc>
      </w:tr>
      <w:tr w:rsidR="00BA183A" w14:paraId="1E61F0A0" w14:textId="77777777">
        <w:tc>
          <w:tcPr>
            <w:tcW w:w="4320" w:type="dxa"/>
            <w:shd w:val="clear" w:color="auto" w:fill="FFFFFF"/>
            <w:tcMar>
              <w:top w:w="40" w:type="dxa"/>
              <w:left w:w="100" w:type="dxa"/>
              <w:bottom w:w="40" w:type="dxa"/>
              <w:right w:w="100" w:type="dxa"/>
            </w:tcMar>
            <w:vAlign w:val="center"/>
          </w:tcPr>
          <w:p w14:paraId="2C9B843D" w14:textId="77777777" w:rsidR="00BA183A" w:rsidRDefault="00000000">
            <w:pPr>
              <w:spacing w:before="20" w:after="20"/>
            </w:pPr>
            <w:r>
              <w:rPr>
                <w:color w:val="1A1A1A"/>
                <w:sz w:val="18"/>
                <w:szCs w:val="18"/>
              </w:rPr>
              <w:t>Personnel and other operating expenses</w:t>
            </w:r>
          </w:p>
        </w:tc>
        <w:tc>
          <w:tcPr>
            <w:tcW w:w="1920" w:type="dxa"/>
            <w:shd w:val="clear" w:color="auto" w:fill="FFFFFF"/>
            <w:tcMar>
              <w:top w:w="40" w:type="dxa"/>
              <w:left w:w="100" w:type="dxa"/>
              <w:bottom w:w="40" w:type="dxa"/>
              <w:right w:w="100" w:type="dxa"/>
            </w:tcMar>
            <w:vAlign w:val="center"/>
          </w:tcPr>
          <w:p w14:paraId="652CF0CC" w14:textId="77777777" w:rsidR="00BA183A" w:rsidRDefault="00000000">
            <w:pPr>
              <w:spacing w:before="20" w:after="20"/>
              <w:jc w:val="right"/>
            </w:pPr>
            <w:r>
              <w:rPr>
                <w:color w:val="1A1A1A"/>
                <w:sz w:val="18"/>
                <w:szCs w:val="18"/>
              </w:rPr>
              <w:t>(1,362,845)</w:t>
            </w:r>
          </w:p>
        </w:tc>
        <w:tc>
          <w:tcPr>
            <w:tcW w:w="1920" w:type="dxa"/>
            <w:shd w:val="clear" w:color="auto" w:fill="FFFFFF"/>
            <w:tcMar>
              <w:top w:w="40" w:type="dxa"/>
              <w:left w:w="100" w:type="dxa"/>
              <w:bottom w:w="40" w:type="dxa"/>
              <w:right w:w="100" w:type="dxa"/>
            </w:tcMar>
            <w:vAlign w:val="center"/>
          </w:tcPr>
          <w:p w14:paraId="081EBDBF" w14:textId="77777777" w:rsidR="00BA183A" w:rsidRDefault="00000000">
            <w:pPr>
              <w:spacing w:before="20" w:after="20"/>
              <w:jc w:val="right"/>
            </w:pPr>
            <w:r>
              <w:rPr>
                <w:color w:val="1A1A1A"/>
                <w:sz w:val="18"/>
                <w:szCs w:val="18"/>
              </w:rPr>
              <w:t>(1,177,646)</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(2,059,537)</w:t>
            </w:r>
          </w:p>
        </w:tc>
      </w:tr>
      <w:tr w:rsidR="00BA183A" w14:paraId="1A8AA7C7" w14:textId="77777777">
        <w:tc>
          <w:tcPr>
            <w:tcW w:w="4320" w:type="dxa"/>
            <w:shd w:val="clear" w:color="auto" w:fill="FFFFFF"/>
            <w:tcMar>
              <w:top w:w="40" w:type="dxa"/>
              <w:left w:w="100" w:type="dxa"/>
              <w:bottom w:w="40" w:type="dxa"/>
              <w:right w:w="100" w:type="dxa"/>
            </w:tcMar>
            <w:vAlign w:val="center"/>
          </w:tcPr>
          <w:p w14:paraId="2E58F25B" w14:textId="77777777" w:rsidR="00BA183A" w:rsidRDefault="00000000">
            <w:pPr>
              <w:spacing w:before="20" w:after="20"/>
            </w:pPr>
            <w:r>
              <w:rPr>
                <w:color w:val="1A1A1A"/>
                <w:sz w:val="18"/>
                <w:szCs w:val="18"/>
              </w:rPr>
              <w:t>Other operating expenses, net</w:t>
            </w:r>
          </w:p>
        </w:tc>
        <w:tc>
          <w:tcPr>
            <w:tcW w:w="1920" w:type="dxa"/>
            <w:shd w:val="clear" w:color="auto" w:fill="FFFFFF"/>
            <w:tcMar>
              <w:top w:w="40" w:type="dxa"/>
              <w:left w:w="100" w:type="dxa"/>
              <w:bottom w:w="40" w:type="dxa"/>
              <w:right w:w="100" w:type="dxa"/>
            </w:tcMar>
            <w:vAlign w:val="center"/>
          </w:tcPr>
          <w:p w14:paraId="25566ACC" w14:textId="77777777" w:rsidR="00BA183A" w:rsidRDefault="00000000">
            <w:pPr>
              <w:spacing w:before="20" w:after="20"/>
              <w:jc w:val="right"/>
            </w:pPr>
            <w:r>
              <w:rPr>
                <w:color w:val="1A1A1A"/>
                <w:sz w:val="18"/>
                <w:szCs w:val="18"/>
              </w:rPr>
              <w:t>(511,941)</w:t>
            </w:r>
          </w:p>
        </w:tc>
        <w:tc>
          <w:tcPr>
            <w:tcW w:w="1920" w:type="dxa"/>
            <w:shd w:val="clear" w:color="auto" w:fill="FFFFFF"/>
            <w:tcMar>
              <w:top w:w="40" w:type="dxa"/>
              <w:left w:w="100" w:type="dxa"/>
              <w:bottom w:w="40" w:type="dxa"/>
              <w:right w:w="100" w:type="dxa"/>
            </w:tcMar>
            <w:vAlign w:val="center"/>
          </w:tcPr>
          <w:p w14:paraId="7F4BD07F" w14:textId="77777777" w:rsidR="00BA183A" w:rsidRDefault="00000000">
            <w:pPr>
              <w:spacing w:before="20" w:after="20"/>
              <w:jc w:val="right"/>
            </w:pPr>
            <w:r>
              <w:rPr>
                <w:color w:val="1A1A1A"/>
                <w:sz w:val="18"/>
                <w:szCs w:val="18"/>
              </w:rPr>
              <w:t>(352,508)</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(513,157)</w:t>
            </w:r>
          </w:p>
        </w:tc>
      </w:tr>
      <w:tr w:rsidR="00BA183A" w14:paraId="45DF4CF1" w14:textId="77777777">
        <w:tc>
          <w:tcPr>
            <w:tcW w:w="4320" w:type="dxa"/>
            <w:shd w:val="clear" w:color="auto" w:fill="FFFFFF"/>
            <w:tcMar>
              <w:top w:w="40" w:type="dxa"/>
              <w:left w:w="100" w:type="dxa"/>
              <w:bottom w:w="40" w:type="dxa"/>
              <w:right w:w="100" w:type="dxa"/>
            </w:tcMar>
            <w:vAlign w:val="center"/>
          </w:tcPr>
          <w:p w14:paraId="545338B6" w14:textId="77777777" w:rsidR="00BA183A" w:rsidRDefault="00000000">
            <w:pPr>
              <w:spacing w:before="20" w:after="20"/>
            </w:pPr>
            <w:r>
              <w:rPr>
                <w:b/>
                <w:bCs/>
                <w:color w:val="1A1A1A"/>
                <w:sz w:val="18"/>
                <w:szCs w:val="18"/>
              </w:rPr>
              <w:t>Profit before tax</w:t>
            </w:r>
          </w:p>
        </w:tc>
        <w:tc>
          <w:tcPr>
            <w:tcW w:w="1920" w:type="dxa"/>
            <w:shd w:val="clear" w:color="auto" w:fill="FFFFFF"/>
            <w:tcMar>
              <w:top w:w="40" w:type="dxa"/>
              <w:left w:w="100" w:type="dxa"/>
              <w:bottom w:w="40" w:type="dxa"/>
              <w:right w:w="100" w:type="dxa"/>
            </w:tcMar>
            <w:vAlign w:val="center"/>
          </w:tcPr>
          <w:p w14:paraId="17B37988" w14:textId="77777777" w:rsidR="00BA183A" w:rsidRDefault="00000000">
            <w:pPr>
              <w:spacing w:before="20" w:after="20"/>
              <w:jc w:val="right"/>
            </w:pPr>
            <w:r>
              <w:rPr>
                <w:b/>
                <w:bCs/>
                <w:color w:val="1A1A1A"/>
                <w:sz w:val="18"/>
                <w:szCs w:val="18"/>
              </w:rPr>
              <w:t>2,163,705</w:t>
            </w:r>
          </w:p>
        </w:tc>
        <w:tc>
          <w:tcPr>
            <w:tcW w:w="1920" w:type="dxa"/>
            <w:shd w:val="clear" w:color="auto" w:fill="FFFFFF"/>
            <w:tcMar>
              <w:top w:w="40" w:type="dxa"/>
              <w:left w:w="100" w:type="dxa"/>
              <w:bottom w:w="40" w:type="dxa"/>
              <w:right w:w="100" w:type="dxa"/>
            </w:tcMar>
            <w:vAlign w:val="center"/>
          </w:tcPr>
          <w:p w14:paraId="5B4A20F5" w14:textId="77777777" w:rsidR="00BA183A" w:rsidRDefault="00000000">
            <w:pPr>
              <w:spacing w:before="20" w:after="20"/>
              <w:jc w:val="right"/>
            </w:pPr>
            <w:r>
              <w:rPr>
                <w:b/>
                <w:bCs/>
                <w:color w:val="1A1A1A"/>
                <w:sz w:val="18"/>
                <w:szCs w:val="18"/>
              </w:rPr>
              <w:t>1,932,828</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b/>
                <w:bCs/>
                <w:color w:val="1A1A1A"/>
                <w:sz w:val="18"/>
                <w:szCs w:val="18"/>
              </w:rPr>
              <w:t>3,052,085</w:t>
            </w:r>
          </w:p>
        </w:tc>
      </w:tr>
      <w:tr w:rsidR="00BA183A" w14:paraId="74CD9269" w14:textId="77777777">
        <w:tc>
          <w:tcPr>
            <w:tcW w:w="4320" w:type="dxa"/>
            <w:shd w:val="clear" w:color="auto" w:fill="FFFFFF"/>
            <w:tcMar>
              <w:top w:w="40" w:type="dxa"/>
              <w:left w:w="100" w:type="dxa"/>
              <w:bottom w:w="40" w:type="dxa"/>
              <w:right w:w="100" w:type="dxa"/>
            </w:tcMar>
            <w:vAlign w:val="center"/>
          </w:tcPr>
          <w:p w14:paraId="22978FA5" w14:textId="77777777" w:rsidR="00BA183A" w:rsidRDefault="00000000">
            <w:pPr>
              <w:spacing w:before="20" w:after="20"/>
            </w:pPr>
            <w:r>
              <w:rPr>
                <w:color w:val="1A1A1A"/>
                <w:sz w:val="18"/>
                <w:szCs w:val="18"/>
              </w:rPr>
              <w:t>Income tax expense</w:t>
            </w:r>
          </w:p>
        </w:tc>
        <w:tc>
          <w:tcPr>
            <w:tcW w:w="1920" w:type="dxa"/>
            <w:shd w:val="clear" w:color="auto" w:fill="FFFFFF"/>
            <w:tcMar>
              <w:top w:w="40" w:type="dxa"/>
              <w:left w:w="100" w:type="dxa"/>
              <w:bottom w:w="40" w:type="dxa"/>
              <w:right w:w="100" w:type="dxa"/>
            </w:tcMar>
            <w:vAlign w:val="center"/>
          </w:tcPr>
          <w:p w14:paraId="2B6E7B78" w14:textId="77777777" w:rsidR="00BA183A" w:rsidRDefault="00000000">
            <w:pPr>
              <w:spacing w:before="20" w:after="20"/>
              <w:jc w:val="right"/>
            </w:pPr>
            <w:r>
              <w:rPr>
                <w:color w:val="1A1A1A"/>
                <w:sz w:val="18"/>
                <w:szCs w:val="18"/>
              </w:rPr>
              <w:t>(510,584)</w:t>
            </w:r>
          </w:p>
        </w:tc>
        <w:tc>
          <w:tcPr>
            <w:tcW w:w="1920" w:type="dxa"/>
            <w:shd w:val="clear" w:color="auto" w:fill="FFFFFF"/>
            <w:tcMar>
              <w:top w:w="40" w:type="dxa"/>
              <w:left w:w="100" w:type="dxa"/>
              <w:bottom w:w="40" w:type="dxa"/>
              <w:right w:w="100" w:type="dxa"/>
            </w:tcMar>
            <w:vAlign w:val="center"/>
          </w:tcPr>
          <w:p w14:paraId="48836BDB" w14:textId="77777777" w:rsidR="00BA183A" w:rsidRDefault="00000000">
            <w:pPr>
              <w:spacing w:before="20" w:after="20"/>
              <w:jc w:val="right"/>
            </w:pPr>
            <w:r>
              <w:rPr>
                <w:color w:val="1A1A1A"/>
                <w:sz w:val="18"/>
                <w:szCs w:val="18"/>
              </w:rPr>
              <w:t>(418,169)</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(736,642)</w:t>
            </w:r>
          </w:p>
        </w:tc>
      </w:tr>
      <w:tr w:rsidR="00BA183A" w14:paraId="7211C457" w14:textId="77777777">
        <w:tc>
          <w:tcPr>
            <w:tcW w:w="4320" w:type="dxa"/>
            <w:shd w:val="clear" w:color="auto" w:fill="FFFFFF"/>
            <w:tcMar>
              <w:top w:w="40" w:type="dxa"/>
              <w:left w:w="100" w:type="dxa"/>
              <w:bottom w:w="40" w:type="dxa"/>
              <w:right w:w="100" w:type="dxa"/>
            </w:tcMar>
            <w:vAlign w:val="center"/>
          </w:tcPr>
          <w:p w14:paraId="0D76CEE4" w14:textId="77777777" w:rsidR="00BA183A" w:rsidRDefault="00000000">
            <w:pPr>
              <w:spacing w:before="20" w:after="20"/>
            </w:pPr>
            <w:r>
              <w:rPr>
                <w:b/>
                <w:bCs/>
                <w:color w:val="1A1A1A"/>
                <w:sz w:val="18"/>
                <w:szCs w:val="18"/>
              </w:rPr>
              <w:t>Profit for the period</w:t>
            </w:r>
          </w:p>
        </w:tc>
        <w:tc>
          <w:tcPr>
            <w:tcW w:w="1920" w:type="dxa"/>
            <w:shd w:val="clear" w:color="auto" w:fill="FFFFFF"/>
            <w:tcMar>
              <w:top w:w="40" w:type="dxa"/>
              <w:left w:w="100" w:type="dxa"/>
              <w:bottom w:w="40" w:type="dxa"/>
              <w:right w:w="100" w:type="dxa"/>
            </w:tcMar>
            <w:vAlign w:val="center"/>
          </w:tcPr>
          <w:p w14:paraId="21EBC756" w14:textId="77777777" w:rsidR="00BA183A" w:rsidRDefault="00000000">
            <w:pPr>
              <w:spacing w:before="20" w:after="20"/>
              <w:jc w:val="right"/>
            </w:pPr>
            <w:r>
              <w:rPr>
                <w:b/>
                <w:bCs/>
                <w:color w:val="1A1A1A"/>
                <w:sz w:val="18"/>
                <w:szCs w:val="18"/>
              </w:rPr>
              <w:t>1,653,121</w:t>
            </w:r>
          </w:p>
        </w:tc>
        <w:tc>
          <w:tcPr>
            <w:tcW w:w="1920" w:type="dxa"/>
            <w:shd w:val="clear" w:color="auto" w:fill="FFFFFF"/>
            <w:tcMar>
              <w:top w:w="40" w:type="dxa"/>
              <w:left w:w="100" w:type="dxa"/>
              <w:bottom w:w="40" w:type="dxa"/>
              <w:right w:w="100" w:type="dxa"/>
            </w:tcMar>
            <w:vAlign w:val="center"/>
          </w:tcPr>
          <w:p w14:paraId="6D4B0528" w14:textId="77777777" w:rsidR="00BA183A" w:rsidRDefault="00000000">
            <w:pPr>
              <w:spacing w:before="20" w:after="20"/>
              <w:jc w:val="right"/>
            </w:pPr>
            <w:r>
              <w:rPr>
                <w:b/>
                <w:bCs/>
                <w:color w:val="1A1A1A"/>
                <w:sz w:val="18"/>
                <w:szCs w:val="18"/>
              </w:rPr>
              <w:t>1,514,659</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b/>
                <w:bCs/>
                <w:color w:val="1A1A1A"/>
                <w:sz w:val="18"/>
                <w:szCs w:val="18"/>
              </w:rPr>
              <w:t>2,315,443</w:t>
            </w:r>
          </w:p>
        </w:tc>
      </w:tr>
      <w:tr w:rsidR="00BA183A" w14:paraId="63066530" w14:textId="77777777">
        <w:tc>
          <w:tcPr>
            <w:tcW w:w="4320" w:type="dxa"/>
            <w:shd w:val="clear" w:color="auto" w:fill="FFFFFF"/>
            <w:tcMar>
              <w:top w:w="40" w:type="dxa"/>
              <w:left w:w="100" w:type="dxa"/>
              <w:bottom w:w="40" w:type="dxa"/>
              <w:right w:w="100" w:type="dxa"/>
            </w:tcMar>
            <w:vAlign w:val="center"/>
          </w:tcPr>
          <w:p w14:paraId="2EA644B4" w14:textId="77777777" w:rsidR="00BA183A" w:rsidRDefault="00000000">
            <w:pPr>
              <w:spacing w:before="20" w:after="20"/>
            </w:pPr>
            <w:r>
              <w:rPr>
                <w:color w:val="1A1A1A"/>
                <w:sz w:val="18"/>
                <w:szCs w:val="18"/>
              </w:rPr>
              <w:t>Attributable to shareholders of the Bank</w:t>
            </w:r>
          </w:p>
        </w:tc>
        <w:tc>
          <w:tcPr>
            <w:tcW w:w="1920" w:type="dxa"/>
            <w:shd w:val="clear" w:color="auto" w:fill="FFFFFF"/>
            <w:tcMar>
              <w:top w:w="40" w:type="dxa"/>
              <w:left w:w="100" w:type="dxa"/>
              <w:bottom w:w="40" w:type="dxa"/>
              <w:right w:w="100" w:type="dxa"/>
            </w:tcMar>
            <w:vAlign w:val="center"/>
          </w:tcPr>
          <w:p w14:paraId="3BA6740C" w14:textId="77777777" w:rsidR="00BA183A" w:rsidRDefault="00000000">
            <w:pPr>
              <w:spacing w:before="20" w:after="20"/>
              <w:jc w:val="right"/>
            </w:pPr>
            <w:r>
              <w:rPr>
                <w:color w:val="1A1A1A"/>
                <w:sz w:val="18"/>
                <w:szCs w:val="18"/>
              </w:rPr>
              <w:t>1,628,772</w:t>
            </w:r>
          </w:p>
        </w:tc>
        <w:tc>
          <w:tcPr>
            <w:tcW w:w="1920" w:type="dxa"/>
            <w:shd w:val="clear" w:color="auto" w:fill="FFFFFF"/>
            <w:tcMar>
              <w:top w:w="40" w:type="dxa"/>
              <w:left w:w="100" w:type="dxa"/>
              <w:bottom w:w="40" w:type="dxa"/>
              <w:right w:w="100" w:type="dxa"/>
            </w:tcMar>
            <w:vAlign w:val="center"/>
          </w:tcPr>
          <w:p w14:paraId="7BBED536" w14:textId="77777777" w:rsidR="00BA183A" w:rsidRDefault="00000000">
            <w:pPr>
              <w:spacing w:before="20" w:after="20"/>
              <w:jc w:val="right"/>
            </w:pPr>
            <w:r>
              <w:rPr>
                <w:color w:val="1A1A1A"/>
                <w:sz w:val="18"/>
                <w:szCs w:val="18"/>
              </w:rPr>
              <w:t>1,500,143</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2,296,771</w:t>
            </w:r>
          </w:p>
        </w:tc>
      </w:tr>
      <w:tr w:rsidR="00BA183A" w14:paraId="012955AC" w14:textId="77777777">
        <w:tc>
          <w:tcPr>
            <w:tcW w:w="4320" w:type="dxa"/>
            <w:shd w:val="clear" w:color="auto" w:fill="FFFFFF"/>
            <w:tcMar>
              <w:top w:w="40" w:type="dxa"/>
              <w:left w:w="100" w:type="dxa"/>
              <w:bottom w:w="40" w:type="dxa"/>
              <w:right w:w="100" w:type="dxa"/>
            </w:tcMar>
            <w:vAlign w:val="center"/>
          </w:tcPr>
          <w:p w14:paraId="0764C3EC" w14:textId="77777777" w:rsidR="00BA183A" w:rsidRDefault="00000000">
            <w:pPr>
              <w:spacing w:before="20" w:after="20"/>
            </w:pPr>
            <w:r>
              <w:rPr>
                <w:color w:val="1A1A1A"/>
                <w:sz w:val="18"/>
                <w:szCs w:val="18"/>
              </w:rPr>
              <w:t>Non-controlling interests</w:t>
            </w:r>
          </w:p>
        </w:tc>
        <w:tc>
          <w:tcPr>
            <w:tcW w:w="1920" w:type="dxa"/>
            <w:shd w:val="clear" w:color="auto" w:fill="FFFFFF"/>
            <w:tcMar>
              <w:top w:w="40" w:type="dxa"/>
              <w:left w:w="100" w:type="dxa"/>
              <w:bottom w:w="40" w:type="dxa"/>
              <w:right w:w="100" w:type="dxa"/>
            </w:tcMar>
            <w:vAlign w:val="center"/>
          </w:tcPr>
          <w:p w14:paraId="3FBCF446" w14:textId="77777777" w:rsidR="00BA183A" w:rsidRDefault="00000000">
            <w:pPr>
              <w:spacing w:before="20" w:after="20"/>
              <w:jc w:val="right"/>
            </w:pPr>
            <w:r>
              <w:rPr>
                <w:color w:val="1A1A1A"/>
                <w:sz w:val="18"/>
                <w:szCs w:val="18"/>
              </w:rPr>
              <w:t>24,349</w:t>
            </w:r>
          </w:p>
        </w:tc>
        <w:tc>
          <w:tcPr>
            <w:tcW w:w="1920" w:type="dxa"/>
            <w:shd w:val="clear" w:color="auto" w:fill="FFFFFF"/>
            <w:tcMar>
              <w:top w:w="40" w:type="dxa"/>
              <w:left w:w="100" w:type="dxa"/>
              <w:bottom w:w="40" w:type="dxa"/>
              <w:right w:w="100" w:type="dxa"/>
            </w:tcMar>
            <w:vAlign w:val="center"/>
          </w:tcPr>
          <w:p w14:paraId="4EF3FC78" w14:textId="77777777" w:rsidR="00BA183A" w:rsidRDefault="00000000">
            <w:pPr>
              <w:spacing w:before="20" w:after="20"/>
              <w:jc w:val="right"/>
            </w:pPr>
            <w:r>
              <w:rPr>
                <w:color w:val="1A1A1A"/>
                <w:sz w:val="18"/>
                <w:szCs w:val="18"/>
              </w:rPr>
              <w:t>14,516</w:t>
            </w:r>
          </w:p>
        </w:tc>
        <w:tc>
          <w:tcPr>
            <w:tcW w:w="1920" w:type="dxa"/>
            <w:shd w:val="clear" w:color="auto" w:fill="FFFFFF"/>
            <w:tcMar>
              <w:top w:w="40" w:type="dxa"/>
              <w:left w:w="100" w:type="dxa"/>
              <w:bottom w:w="40" w:type="dxa"/>
              <w:right w:w="100" w:type="dxa"/>
            </w:tcMar>
            <w:vAlign w:val="center"/>
          </w:tcPr>
          <w:p w:rsidR="00BA183A" w:rsidRDefault="00000000">
            <w:pPr>
              <w:spacing w:before="20" w:after="20"/>
              <w:jc w:val="right"/>
            </w:pPr>
            <w:r>
              <w:rPr>
                <w:color w:val="1A1A1A"/>
                <w:sz w:val="18"/>
                <w:szCs w:val="18"/>
              </w:rPr>
              <w:t>18,672</w:t>
            </w:r>
          </w:p>
        </w:tc>
      </w:tr>
    </w:tbl>
    <w:p w14:paraId="29C8654D" w14:textId="77777777" w:rsidR="00BA183A" w:rsidRDefault="00000000">
      <w:pPr>
        <w:spacing w:before="80" w:after="80"/>
      </w:pPr>
      <w:r>
        <w:rPr>
          <w:color w:val="1A1A1A"/>
        </w:rPr>
        <w:t>Source: NBU interim condensed consolidated financial statements for the six months ended 30 June 2025 (reviewed by Deloitte &amp; Touche), and the audited IFRS consolidated financial statements for the year ended 31 December 2023. Certain captions have been grouped for presentation; the attached full statements and notes prevail. *The FY2023 column reflects audited full-year IFRS results and is shown for reference only; it covers a twelve-month period and is therefore not directly comparable with the six-month interim columns. The FY2023 “Net gains from foreign exchange” line aggregates dealing and translation results, and “Other operating expenses, net” aggregates the remaining non-interest income and expense captions, consistent with the interim presentation.</w:t>
      </w:r>
    </w:p>
    <w:p w14:paraId="07E30F32" w14:textId="77777777" w:rsidR="0059742E" w:rsidRDefault="00C764C0">
      <w:pPr>
        <w:pBdr>
          <w:bottom w:val="single" w:sz="4" w:space="2" w:color="2E6DA4"/>
        </w:pBdr>
        <w:spacing w:before="200" w:after="80"/>
      </w:pPr>
      <w:r>
        <w:rPr>
          <w:b/>
          <w:bCs/>
          <w:color w:val="2E6DA4"/>
          <w:sz w:val="22"/>
          <w:szCs w:val="22"/>
        </w:rPr>
        <w:t>2.2 Financial Performance in 2025</w:t>
      </w:r>
    </w:p>
    <w:p w:rsidR="0059742E" w:rsidRDefault="00C764C0">
      <w:pPr>
        <w:spacing w:before="60" w:after="80"/>
      </w:pPr>
      <w:r>
        <w:rPr>
          <w:color w:val="1A1A1A"/>
        </w:rPr>
        <w:t>The discussion below analyses NBU’s FY2025 financial performance and position, organised into three parts — Asset Analysis, Liability Analysis and Income Analysis. Year-on-year movements are stated on a statutory full-year basis unless otherwise indicated.</w:t>
      </w:r>
    </w:p>
    <w:p w:rsidR="0059742E" w:rsidRDefault="00C764C0">
      <w:pPr>
        <w:spacing w:before="160" w:after="60"/>
      </w:pPr>
      <w:r>
        <w:rPr>
          <w:b/>
          <w:bCs/>
          <w:color w:val="2E6DA4"/>
        </w:rPr>
        <w:t>Asset Analysis</w:t>
      </w:r>
    </w:p>
    <w:p w:rsidR="0059742E" w:rsidRDefault="00C764C0">
      <w:pPr>
        <w:pStyle w:val="ListParagraph"/>
        <w:numPr>
          <w:ilvl w:val="0"/>
          <w:numId w:val="2"/>
        </w:numPr>
        <w:spacing w:before="40" w:after="40"/>
      </w:pPr>
      <w:r>
        <w:rPr>
          <w:color w:val="1A1A1A"/>
        </w:rPr>
        <w:t>Total assets grew 7.1% year-on-year to UZS 144.7 trillion (~USD 11.9 billion), consolidating NBU's position as Uzbekistan's largest bank with approximately 16% system market share.</w:t>
      </w:r>
    </w:p>
    <w:p w:rsidR="0059742E" w:rsidRDefault="00C764C0">
      <w:pPr>
        <w:pStyle w:val="ListParagraph"/>
        <w:numPr>
          <w:ilvl w:val="0"/>
          <w:numId w:val="2"/>
        </w:numPr>
        <w:spacing w:before="40" w:after="40"/>
      </w:pPr>
      <w:r>
        <w:rPr>
          <w:color w:val="1A1A1A"/>
        </w:rPr>
        <w:t>Loans and leasing, net, remained broadly stable at UZS 99,444.3 billion (-1.1% YoY), compared to UZS 100,534.0 billion in 2024, reflecting a more cautious approach to credit extension amid elevated provisioning levels. The gross loan book stood at UZS 105,382.2 billion with a provision coverage ratio (total loan-loss provisions to gross loans) of approximately 5.6%. This provision coverage ratio is distinct from, and should not be read as, the non-performing loan (NPL) ratio: NBU’s regulatory NPL ratio reported to the Central Bank of Uzbekistan (CBU) was approximately 2.8% as of 1 January 2026 (see Section 2.4).</w:t>
      </w:r>
    </w:p>
    <w:p w:rsidR="0059742E" w:rsidRDefault="00C764C0">
      <w:pPr>
        <w:pStyle w:val="ListParagraph"/>
        <w:numPr>
          <w:ilvl w:val="0"/>
          <w:numId w:val="2"/>
        </w:numPr>
        <w:spacing w:before="40" w:after="40"/>
      </w:pPr>
      <w:r>
        <w:rPr>
          <w:color w:val="1A1A1A"/>
        </w:rPr>
        <w:t>Interbank placements grew significantly to UZS 20,455.4 billion (+75.9% YoY), reflecting deployment of liquidity into higher-yielding interbank assets, consistent with the bank's active treasury management.</w:t>
      </w:r>
    </w:p>
    <w:p w:rsidR="0059742E" w:rsidRDefault="00C764C0">
      <w:pPr>
        <w:pStyle w:val="ListParagraph"/>
        <w:numPr>
          <w:ilvl w:val="0"/>
          <w:numId w:val="2"/>
        </w:numPr>
        <w:spacing w:before="40" w:after="40"/>
      </w:pPr>
      <w:r>
        <w:rPr>
          <w:color w:val="1A1A1A"/>
        </w:rPr>
        <w:t>Securities portfolio expanded 18.8% to UZS 8,633.7 billion, supported by continued investment in domestic government bonds and notes.</w:t>
      </w:r>
    </w:p>
    <w:p w:rsidR="0059742E" w:rsidRDefault="00C764C0">
      <w:pPr>
        <w:spacing w:before="60" w:after="80"/>
      </w:pPr>
      <w:r>
        <w:rPr>
          <w:color w:val="1A1A1A"/>
        </w:rPr>
        <w:t>On asset quality, NBU’s regulatory NPL ratio of approximately 2.8% (CBU, NBU-specific, as of 1 January 2026) sits below the banking-sector average of 4.1% (December 2025), consistent with the Bank’s position as the state-owned flagship institution. The figure of approximately 5.6% cited elsewhere is the loan-loss provision coverage ratio (total provisions to gross loans) on a statutory basis and is not an NPL ratio. On an IFRS basis, Stage 3 (credit-impaired) loans were approximately 4.2% of gross loans at 30 June 2025; the IMF has noted that IFRS Stage 3 ratios in Uzbekistan typically run at roughly twice the regulatory NPL ratio, which is broadly consistent with the 2.8% regulatory figure. NBU’s capitalisation is solid: total equity was UZS 21,097.5 billion on an IFRS basis at 30 June 2025 (UZS 19,968.5 billion statutory at FY2025), equivalent to a capital-to-assets ratio of approximately 14.5%, and Fitch has estimated the Bank’s Fitch Core Capital ratio above 20% for 2024-2025. NBU’s exact bank-level regulatory CAR, Tier 1 ratio and liquidity coverage ratio as of 1 January 2026 should be confirmed from the CBU bank-level prudential returns and are marked accordingly in Section 2.4.</w:t>
      </w:r>
    </w:p>
    <w:p w:rsidR="0059742E" w:rsidRDefault="00C764C0">
      <w:pPr>
        <w:spacing w:before="160" w:after="60"/>
      </w:pPr>
      <w:r>
        <w:rPr>
          <w:b/>
          <w:bCs/>
          <w:color w:val="2E6DA4"/>
        </w:rPr>
        <w:t>Liability Analysis</w:t>
      </w:r>
    </w:p>
    <w:p w:rsidR="0059742E" w:rsidRDefault="00C764C0">
      <w:pPr>
        <w:pStyle w:val="ListParagraph"/>
        <w:numPr>
          <w:ilvl w:val="0"/>
          <w:numId w:val="2"/>
        </w:numPr>
        <w:spacing w:before="40" w:after="40"/>
      </w:pPr>
      <w:r>
        <w:rPr>
          <w:color w:val="1A1A1A"/>
        </w:rPr>
        <w:t>Total customer deposits increased 36.9% to UZS 50,447 billion (demand + time deposits), demonstrating robust franchise strength and continued deepening of retail and corporate funding base. Customer deposits rose from UZS 36,839 billion in 2024, a strategic deepening of the deposit franchise as a lower-cost funding alternative to foreign borrowings.</w:t>
      </w:r>
    </w:p>
    <w:p w:rsidR="0059742E" w:rsidRDefault="00C764C0">
      <w:pPr>
        <w:pStyle w:val="ListParagraph"/>
        <w:numPr>
          <w:ilvl w:val="0"/>
          <w:numId w:val="2"/>
        </w:numPr>
        <w:spacing w:before="40" w:after="40"/>
      </w:pPr>
      <w:r>
        <w:rPr>
          <w:color w:val="1A1A1A"/>
        </w:rPr>
        <w:t>Borrowings from foreign lenders (payable loans) declined 15.3% to UZS 48,137.5 billion, as the bank actively diversified toward capital market instruments, with debt securities issued growing 10.6% to UZS 10,085.0 billion — bolstered by the 2025 dual-tranche Eurobond.</w:t>
      </w:r>
    </w:p>
    <w:p w:rsidR="0059742E" w:rsidRDefault="00C764C0">
      <w:pPr>
        <w:pStyle w:val="ListParagraph"/>
        <w:numPr>
          <w:ilvl w:val="0"/>
          <w:numId w:val="2"/>
        </w:numPr>
        <w:spacing w:before="40" w:after="40"/>
      </w:pPr>
      <w:r>
        <w:rPr>
          <w:color w:val="1A1A1A"/>
        </w:rPr>
        <w:t>The bank maintained a strong capital base with total equity of UZS 19,968.5 billion, and authorized capital increased to UZS 17,767.1 billion reflecting government capital injections.</w:t>
      </w:r>
    </w:p>
    <w:p w:rsidR="0059742E" w:rsidRDefault="00C764C0">
      <w:pPr>
        <w:spacing w:before="160" w:after="60"/>
      </w:pPr>
      <w:r>
        <w:rPr>
          <w:b/>
          <w:bCs/>
          <w:color w:val="2E6DA4"/>
        </w:rPr>
        <w:t>Income Analysis</w:t>
      </w:r>
    </w:p>
    <w:p w:rsidR="0059742E" w:rsidRDefault="00C764C0">
      <w:pPr>
        <w:pStyle w:val="ListParagraph"/>
        <w:numPr>
          <w:ilvl w:val="0"/>
          <w:numId w:val="2"/>
        </w:numPr>
        <w:spacing w:before="40" w:after="40"/>
      </w:pPr>
      <w:r>
        <w:rPr>
          <w:color w:val="1A1A1A"/>
        </w:rPr>
        <w:t>Net profit rose 11.4% to UZS 1,919.0 billion (~USD 158 million), driven by strong growth in non-interest income (up 53.9% YoY) and higher net interest income, partially offset by increased operating and provisioning costs.</w:t>
      </w:r>
    </w:p>
    <w:p w:rsidR="0059742E" w:rsidRDefault="00C764C0">
      <w:pPr>
        <w:pStyle w:val="ListParagraph"/>
        <w:numPr>
          <w:ilvl w:val="0"/>
          <w:numId w:val="2"/>
        </w:numPr>
        <w:spacing w:before="40" w:after="40"/>
      </w:pPr>
      <w:r>
        <w:rPr>
          <w:color w:val="1A1A1A"/>
        </w:rPr>
        <w:t>Net interest income (before provisions) increased 7.6% to UZS 5,782.1 billion, supported by loan book repricing and higher interbank and securities income.</w:t>
      </w:r>
    </w:p>
    <w:p w:rsidR="0059742E" w:rsidRDefault="00C764C0">
      <w:pPr>
        <w:pStyle w:val="ListParagraph"/>
        <w:numPr>
          <w:ilvl w:val="0"/>
          <w:numId w:val="2"/>
        </w:numPr>
        <w:spacing w:before="40" w:after="40"/>
      </w:pPr>
      <w:r>
        <w:rPr>
          <w:color w:val="1A1A1A"/>
        </w:rPr>
        <w:t>Non-interest income surged 53.9% to UZS 11,425.2 billion, reflecting a substantial recovery in loan loss reserve reversals (UZS 6,932.8 billion), FX income growth (+36.8%), fee and commission income growth (+31.9%), and strong investment dividend and income flows.</w:t>
      </w:r>
    </w:p>
    <w:p w:rsidR="0059742E" w:rsidRDefault="00C764C0">
      <w:pPr>
        <w:pStyle w:val="ListParagraph"/>
        <w:numPr>
          <w:ilvl w:val="0"/>
          <w:numId w:val="2"/>
        </w:numPr>
        <w:spacing w:before="40" w:after="40"/>
      </w:pPr>
      <w:r>
        <w:rPr>
          <w:color w:val="1A1A1A"/>
        </w:rPr>
        <w:t>Operating expenses rose 22.1% to UZS 2,756.4 billion, driven by higher staff costs (+18.8%), IT and infrastructure investment, rent and premises costs.</w:t>
      </w:r>
    </w:p>
    <w:p w:rsidR="0059742E" w:rsidRDefault="00C764C0">
      <w:pPr>
        <w:pStyle w:val="ListParagraph"/>
        <w:numPr>
          <w:ilvl w:val="0"/>
          <w:numId w:val="2"/>
        </w:numPr>
        <w:spacing w:before="40" w:after="40"/>
      </w:pPr>
      <w:r>
        <w:rPr>
          <w:color w:val="1A1A1A"/>
        </w:rPr>
        <w:t>Profitability is steady, with a statutory return on assets of approximately 1.3% and return on equity of approximately 9.6% for FY2025; the lower ROA relative to the 2.2% sector average reflects NBU’s large, lower-margin state-directed project-lending book.</w:t>
      </w:r>
    </w:p>
    <w:p w14:paraId="6CED97E5" w14:textId="77777777" w:rsidR="0059742E" w:rsidRDefault="00C764C0">
      <w:pPr>
        <w:pBdr>
          <w:bottom w:val="single" w:sz="4" w:space="2" w:color="2E6DA4"/>
        </w:pBdr>
        <w:spacing w:before="200" w:after="80"/>
      </w:pPr>
      <w:r>
        <w:rPr>
          <w:b/>
          <w:bCs/>
          <w:color w:val="2E6DA4"/>
          <w:sz w:val="22"/>
          <w:szCs w:val="22"/>
        </w:rPr>
        <w:t>2.3 Financial Performance in 2024</w:t>
      </w:r>
    </w:p>
    <w:p w14:paraId="71E930BD" w14:textId="77777777" w:rsidR="0059742E" w:rsidRDefault="00C764C0">
      <w:pPr>
        <w:spacing w:before="60" w:after="80"/>
      </w:pPr>
      <w:r>
        <w:rPr>
          <w:color w:val="1A1A1A"/>
        </w:rPr>
        <w:t>In FY2024, NBU delivered a net profit of UZS 1,722.2 billion, a marginal 0.3% increase from UZS 1,716.5 billion in FY2023. Total assets grew 6.0% to UZS 135,090 billion, driven primarily by modest growth in the loan portfolio (+8.8% gross), expansion in securities holdings and higher interbank placements. Net interest income before provisions remained broadly stable at UZS 5,375.4 billion. Non-interest income grew modestly (+2.0%) to UZS 7,420.7 billion. Operating expenses rose 21.1%, reflecting staff, IT and infrastructure investment. Total customer deposits grew from UZS 32,920 billion to UZS 36,839 billion (+11.9%), improving the funding mix.</w:t>
      </w:r>
    </w:p>
    <w:p w14:paraId="19FFA8F1" w14:textId="77777777" w:rsidR="003B07C8" w:rsidRDefault="00000000">
      <w:pPr>
        <w:pBdr>
          <w:bottom w:val="single" w:sz="4" w:space="2" w:color="2E6DA4"/>
        </w:pBdr>
        <w:spacing w:before="200" w:after="80"/>
      </w:pPr>
      <w:r>
        <w:rPr>
          <w:b/>
          <w:bCs/>
          <w:color w:val="2E6DA4"/>
          <w:sz w:val="22"/>
          <w:szCs w:val="22"/>
        </w:rPr>
        <w:t>2.4 KPIs Summary, Asset Quality and Regulatory Capital</w:t>
      </w:r>
    </w:p>
    <w:p w14:paraId="0000D6C8" w14:textId="77777777" w:rsidR="003B07C8" w:rsidRDefault="00000000">
      <w:pPr>
        <w:spacing w:before="60" w:after="80"/>
      </w:pPr>
      <w:r>
        <w:rPr>
          <w:color w:val="1A1A1A"/>
        </w:rPr>
        <w:t>The table below summarises NBU’s key performance indicators for 2023, 2024 and 2025 1H. The summary has been extended to incorporate the asset-quality and regulatory-capital metrics (NPL, capital adequacy and Tier 1) that were previously presented separately, so that profitability, scale, capital and asset quality can be read together. Balance-sheet items are in UZS trillion unless stated; 2023 and 2024 are full-year statutory figures, while 2025 1H reflects the six-month interim IFRS results as at 30 June 2025 (interim profit and income figures are six-month and are not annualised).</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4080"/>
        <w:gridCol w:w="2000"/>
        <w:gridCol w:w="2000"/>
        <w:gridCol w:w="2000"/>
      </w:tblGrid>
      <w:tr w:rsidR="003B07C8" w14:paraId="0DE8492D" w14:textId="77777777">
        <w:tc>
          <w:tcPr>
            <w:tcW w:w="4080" w:type="dxa"/>
            <w:shd w:val="clear" w:color="auto" w:fill="2E4057"/>
            <w:tcMar>
              <w:top w:w="40" w:type="dxa"/>
              <w:left w:w="100" w:type="dxa"/>
              <w:bottom w:w="40" w:type="dxa"/>
              <w:right w:w="100" w:type="dxa"/>
            </w:tcMar>
            <w:vAlign w:val="center"/>
          </w:tcPr>
          <w:p w14:paraId="3B3C7718" w14:textId="77777777" w:rsidR="003B07C8" w:rsidRDefault="00000000">
            <w:pPr>
              <w:spacing w:before="20" w:after="20"/>
            </w:pPr>
            <w:r>
              <w:rPr>
                <w:b/>
                <w:bCs/>
                <w:color w:val="FFFFFF"/>
                <w:sz w:val="18"/>
                <w:szCs w:val="18"/>
              </w:rPr>
              <w:t>Item</w:t>
            </w:r>
          </w:p>
        </w:tc>
        <w:tc>
          <w:tcPr>
            <w:tcW w:w="2000" w:type="dxa"/>
            <w:shd w:val="clear" w:color="auto" w:fill="2E4057"/>
            <w:tcMar>
              <w:top w:w="40" w:type="dxa"/>
              <w:left w:w="100" w:type="dxa"/>
              <w:bottom w:w="40" w:type="dxa"/>
              <w:right w:w="100" w:type="dxa"/>
            </w:tcMar>
            <w:vAlign w:val="center"/>
          </w:tcPr>
          <w:p w14:paraId="19B1B5A7" w14:textId="77777777" w:rsidR="003B07C8" w:rsidRDefault="00000000">
            <w:pPr>
              <w:spacing w:before="20" w:after="20"/>
              <w:jc w:val="right"/>
            </w:pPr>
            <w:r>
              <w:rPr>
                <w:b/>
                <w:bCs/>
                <w:color w:val="FFFFFF"/>
                <w:sz w:val="18"/>
                <w:szCs w:val="18"/>
              </w:rPr>
              <w:t>2023</w:t>
            </w:r>
          </w:p>
        </w:tc>
        <w:tc>
          <w:tcPr>
            <w:tcW w:w="2000" w:type="dxa"/>
            <w:shd w:val="clear" w:color="auto" w:fill="2E4057"/>
            <w:tcMar>
              <w:top w:w="40" w:type="dxa"/>
              <w:left w:w="100" w:type="dxa"/>
              <w:bottom w:w="40" w:type="dxa"/>
              <w:right w:w="100" w:type="dxa"/>
            </w:tcMar>
            <w:vAlign w:val="center"/>
          </w:tcPr>
          <w:p w14:paraId="51929871" w14:textId="77777777" w:rsidR="003B07C8" w:rsidRDefault="00000000">
            <w:pPr>
              <w:spacing w:before="20" w:after="20"/>
              <w:jc w:val="right"/>
            </w:pPr>
            <w:r>
              <w:rPr>
                <w:b/>
                <w:bCs/>
                <w:color w:val="FFFFFF"/>
                <w:sz w:val="18"/>
                <w:szCs w:val="18"/>
              </w:rPr>
              <w:t>2024</w:t>
            </w:r>
          </w:p>
        </w:tc>
        <w:tc>
          <w:tcPr>
            <w:tcW w:w="2000" w:type="dxa"/>
            <w:shd w:val="clear" w:color="auto" w:fill="2E4057"/>
            <w:tcMar>
              <w:top w:w="40" w:type="dxa"/>
              <w:left w:w="100" w:type="dxa"/>
              <w:bottom w:w="40" w:type="dxa"/>
              <w:right w:w="100" w:type="dxa"/>
            </w:tcMar>
            <w:vAlign w:val="center"/>
          </w:tcPr>
          <w:p w14:paraId="7FEEF98B" w14:textId="77777777" w:rsidR="003B07C8" w:rsidRDefault="00000000">
            <w:pPr>
              <w:spacing w:before="20" w:after="20"/>
              <w:jc w:val="right"/>
            </w:pPr>
            <w:r>
              <w:rPr>
                <w:b/>
                <w:bCs/>
                <w:color w:val="FFFFFF"/>
                <w:sz w:val="18"/>
                <w:szCs w:val="18"/>
              </w:rPr>
              <w:t>2025 1H</w:t>
            </w:r>
          </w:p>
        </w:tc>
      </w:tr>
      <w:tr w:rsidR="003B07C8" w14:paraId="373FAC2F" w14:textId="77777777">
        <w:tc>
          <w:tcPr>
            <w:tcW w:w="10080" w:type="dxa"/>
            <w:gridSpan w:val="4"/>
            <w:shd w:val="clear" w:color="auto" w:fill="EDF2F7"/>
            <w:tcMar>
              <w:top w:w="40" w:type="dxa"/>
              <w:left w:w="100" w:type="dxa"/>
              <w:bottom w:w="40" w:type="dxa"/>
              <w:right w:w="100" w:type="dxa"/>
            </w:tcMar>
            <w:vAlign w:val="center"/>
          </w:tcPr>
          <w:p w14:paraId="234C0A9B" w14:textId="77777777" w:rsidR="003B07C8" w:rsidRDefault="00000000">
            <w:pPr>
              <w:spacing w:before="20" w:after="20"/>
            </w:pPr>
            <w:r>
              <w:rPr>
                <w:b/>
                <w:bCs/>
                <w:color w:val="1A3A5C"/>
                <w:sz w:val="18"/>
                <w:szCs w:val="18"/>
              </w:rPr>
              <w:t>Profitability</w:t>
            </w:r>
          </w:p>
        </w:tc>
      </w:tr>
      <w:tr w:rsidR="003B07C8" w14:paraId="23CEBBA1" w14:textId="77777777">
        <w:tc>
          <w:tcPr>
            <w:tcW w:w="4080" w:type="dxa"/>
            <w:shd w:val="clear" w:color="auto" w:fill="FFFFFF"/>
            <w:tcMar>
              <w:top w:w="40" w:type="dxa"/>
              <w:left w:w="100" w:type="dxa"/>
              <w:bottom w:w="40" w:type="dxa"/>
              <w:right w:w="100" w:type="dxa"/>
            </w:tcMar>
            <w:vAlign w:val="center"/>
          </w:tcPr>
          <w:p w14:paraId="20BD52AE" w14:textId="77777777" w:rsidR="003B07C8" w:rsidRDefault="00000000">
            <w:pPr>
              <w:spacing w:before="20" w:after="20"/>
            </w:pPr>
            <w:r>
              <w:rPr>
                <w:color w:val="1A1A1A"/>
                <w:sz w:val="18"/>
                <w:szCs w:val="18"/>
              </w:rPr>
              <w:t>Net Profit (UZS Billion)</w:t>
            </w:r>
          </w:p>
        </w:tc>
        <w:tc>
          <w:tcPr>
            <w:tcW w:w="2000" w:type="dxa"/>
            <w:shd w:val="clear" w:color="auto" w:fill="FFFFFF"/>
            <w:tcMar>
              <w:top w:w="40" w:type="dxa"/>
              <w:left w:w="100" w:type="dxa"/>
              <w:bottom w:w="40" w:type="dxa"/>
              <w:right w:w="100" w:type="dxa"/>
            </w:tcMar>
            <w:vAlign w:val="center"/>
          </w:tcPr>
          <w:p w14:paraId="1A199B41" w14:textId="77777777" w:rsidR="003B07C8" w:rsidRDefault="00000000">
            <w:pPr>
              <w:spacing w:before="20" w:after="20"/>
              <w:jc w:val="right"/>
            </w:pPr>
            <w:r>
              <w:rPr>
                <w:color w:val="1A1A1A"/>
                <w:sz w:val="18"/>
                <w:szCs w:val="18"/>
              </w:rPr>
              <w:t>1,716.5</w:t>
            </w:r>
          </w:p>
        </w:tc>
        <w:tc>
          <w:tcPr>
            <w:tcW w:w="2000" w:type="dxa"/>
            <w:shd w:val="clear" w:color="auto" w:fill="FFFFFF"/>
            <w:tcMar>
              <w:top w:w="40" w:type="dxa"/>
              <w:left w:w="100" w:type="dxa"/>
              <w:bottom w:w="40" w:type="dxa"/>
              <w:right w:w="100" w:type="dxa"/>
            </w:tcMar>
            <w:vAlign w:val="center"/>
          </w:tcPr>
          <w:p w14:paraId="6365CF5F" w14:textId="77777777" w:rsidR="003B07C8" w:rsidRDefault="00000000">
            <w:pPr>
              <w:spacing w:before="20" w:after="20"/>
              <w:jc w:val="right"/>
            </w:pPr>
            <w:r>
              <w:rPr>
                <w:color w:val="1A1A1A"/>
                <w:sz w:val="18"/>
                <w:szCs w:val="18"/>
              </w:rPr>
              <w:t>1,722.2</w:t>
            </w:r>
          </w:p>
        </w:tc>
        <w:tc>
          <w:tcPr>
            <w:tcW w:w="2000" w:type="dxa"/>
            <w:shd w:val="clear" w:color="auto" w:fill="FFFFFF"/>
            <w:tcMar>
              <w:top w:w="40" w:type="dxa"/>
              <w:left w:w="100" w:type="dxa"/>
              <w:bottom w:w="40" w:type="dxa"/>
              <w:right w:w="100" w:type="dxa"/>
            </w:tcMar>
            <w:vAlign w:val="center"/>
          </w:tcPr>
          <w:p w14:paraId="53D169A5" w14:textId="77777777" w:rsidR="003B07C8" w:rsidRDefault="00000000">
            <w:pPr>
              <w:spacing w:before="20" w:after="20"/>
              <w:jc w:val="right"/>
            </w:pPr>
            <w:r>
              <w:rPr>
                <w:b/>
                <w:bCs/>
                <w:color w:val="1A1A1A"/>
                <w:sz w:val="18"/>
                <w:szCs w:val="18"/>
              </w:rPr>
              <w:t>1,653.1</w:t>
            </w:r>
          </w:p>
        </w:tc>
      </w:tr>
      <w:tr w:rsidR="003B07C8" w14:paraId="728DD49A" w14:textId="77777777">
        <w:tc>
          <w:tcPr>
            <w:tcW w:w="4080" w:type="dxa"/>
            <w:shd w:val="clear" w:color="auto" w:fill="FFFFFF"/>
            <w:tcMar>
              <w:top w:w="40" w:type="dxa"/>
              <w:left w:w="100" w:type="dxa"/>
              <w:bottom w:w="40" w:type="dxa"/>
              <w:right w:w="100" w:type="dxa"/>
            </w:tcMar>
            <w:vAlign w:val="center"/>
          </w:tcPr>
          <w:p w14:paraId="4D00DD6A" w14:textId="77777777" w:rsidR="003B07C8" w:rsidRDefault="00000000">
            <w:pPr>
              <w:spacing w:before="20" w:after="20"/>
            </w:pPr>
            <w:r>
              <w:rPr>
                <w:color w:val="1A1A1A"/>
                <w:sz w:val="18"/>
                <w:szCs w:val="18"/>
              </w:rPr>
              <w:t>Net Profit (USD Million, approx.)</w:t>
            </w:r>
          </w:p>
        </w:tc>
        <w:tc>
          <w:tcPr>
            <w:tcW w:w="2000" w:type="dxa"/>
            <w:shd w:val="clear" w:color="auto" w:fill="FFFFFF"/>
            <w:tcMar>
              <w:top w:w="40" w:type="dxa"/>
              <w:left w:w="100" w:type="dxa"/>
              <w:bottom w:w="40" w:type="dxa"/>
              <w:right w:w="100" w:type="dxa"/>
            </w:tcMar>
            <w:vAlign w:val="center"/>
          </w:tcPr>
          <w:p w14:paraId="353B01C0" w14:textId="77777777" w:rsidR="003B07C8" w:rsidRDefault="00000000">
            <w:pPr>
              <w:spacing w:before="20" w:after="20"/>
              <w:jc w:val="right"/>
            </w:pPr>
            <w:r>
              <w:rPr>
                <w:color w:val="1A1A1A"/>
                <w:sz w:val="18"/>
                <w:szCs w:val="18"/>
              </w:rPr>
              <w:t>~151</w:t>
            </w:r>
          </w:p>
        </w:tc>
        <w:tc>
          <w:tcPr>
            <w:tcW w:w="2000" w:type="dxa"/>
            <w:shd w:val="clear" w:color="auto" w:fill="FFFFFF"/>
            <w:tcMar>
              <w:top w:w="40" w:type="dxa"/>
              <w:left w:w="100" w:type="dxa"/>
              <w:bottom w:w="40" w:type="dxa"/>
              <w:right w:w="100" w:type="dxa"/>
            </w:tcMar>
            <w:vAlign w:val="center"/>
          </w:tcPr>
          <w:p w14:paraId="33BEFF36" w14:textId="77777777" w:rsidR="003B07C8" w:rsidRDefault="00000000">
            <w:pPr>
              <w:spacing w:before="20" w:after="20"/>
              <w:jc w:val="right"/>
            </w:pPr>
            <w:r>
              <w:rPr>
                <w:color w:val="1A1A1A"/>
                <w:sz w:val="18"/>
                <w:szCs w:val="18"/>
              </w:rPr>
              <w:t>~143</w:t>
            </w:r>
          </w:p>
        </w:tc>
        <w:tc>
          <w:tcPr>
            <w:tcW w:w="2000" w:type="dxa"/>
            <w:shd w:val="clear" w:color="auto" w:fill="FFFFFF"/>
            <w:tcMar>
              <w:top w:w="40" w:type="dxa"/>
              <w:left w:w="100" w:type="dxa"/>
              <w:bottom w:w="40" w:type="dxa"/>
              <w:right w:w="100" w:type="dxa"/>
            </w:tcMar>
            <w:vAlign w:val="center"/>
          </w:tcPr>
          <w:p w14:paraId="41519A00" w14:textId="77777777" w:rsidR="003B07C8" w:rsidRDefault="00000000">
            <w:pPr>
              <w:spacing w:before="20" w:after="20"/>
              <w:jc w:val="right"/>
            </w:pPr>
            <w:r>
              <w:rPr>
                <w:b/>
                <w:bCs/>
                <w:color w:val="1A1A1A"/>
                <w:sz w:val="18"/>
                <w:szCs w:val="18"/>
              </w:rPr>
              <w:t>~136</w:t>
            </w:r>
          </w:p>
        </w:tc>
      </w:tr>
      <w:tr w:rsidR="003B07C8" w14:paraId="497E7361" w14:textId="77777777">
        <w:tc>
          <w:tcPr>
            <w:tcW w:w="4080" w:type="dxa"/>
            <w:shd w:val="clear" w:color="auto" w:fill="FFFFFF"/>
            <w:tcMar>
              <w:top w:w="40" w:type="dxa"/>
              <w:left w:w="100" w:type="dxa"/>
              <w:bottom w:w="40" w:type="dxa"/>
              <w:right w:w="100" w:type="dxa"/>
            </w:tcMar>
            <w:vAlign w:val="center"/>
          </w:tcPr>
          <w:p w14:paraId="462219A5" w14:textId="77777777" w:rsidR="003B07C8" w:rsidRDefault="00000000">
            <w:pPr>
              <w:spacing w:before="20" w:after="20"/>
            </w:pPr>
            <w:r>
              <w:rPr>
                <w:color w:val="1A1A1A"/>
                <w:sz w:val="18"/>
                <w:szCs w:val="18"/>
              </w:rPr>
              <w:t>Net Interest Income (UZS Billion)</w:t>
            </w:r>
          </w:p>
        </w:tc>
        <w:tc>
          <w:tcPr>
            <w:tcW w:w="2000" w:type="dxa"/>
            <w:shd w:val="clear" w:color="auto" w:fill="FFFFFF"/>
            <w:tcMar>
              <w:top w:w="40" w:type="dxa"/>
              <w:left w:w="100" w:type="dxa"/>
              <w:bottom w:w="40" w:type="dxa"/>
              <w:right w:w="100" w:type="dxa"/>
            </w:tcMar>
            <w:vAlign w:val="center"/>
          </w:tcPr>
          <w:p w14:paraId="253EB8F8" w14:textId="77777777" w:rsidR="003B07C8" w:rsidRDefault="00000000">
            <w:pPr>
              <w:spacing w:before="20" w:after="20"/>
              <w:jc w:val="right"/>
            </w:pPr>
            <w:r>
              <w:rPr>
                <w:color w:val="1A1A1A"/>
                <w:sz w:val="18"/>
                <w:szCs w:val="18"/>
              </w:rPr>
              <w:t>5,354.7</w:t>
            </w:r>
          </w:p>
        </w:tc>
        <w:tc>
          <w:tcPr>
            <w:tcW w:w="2000" w:type="dxa"/>
            <w:shd w:val="clear" w:color="auto" w:fill="FFFFFF"/>
            <w:tcMar>
              <w:top w:w="40" w:type="dxa"/>
              <w:left w:w="100" w:type="dxa"/>
              <w:bottom w:w="40" w:type="dxa"/>
              <w:right w:w="100" w:type="dxa"/>
            </w:tcMar>
            <w:vAlign w:val="center"/>
          </w:tcPr>
          <w:p w14:paraId="724AB664" w14:textId="77777777" w:rsidR="003B07C8" w:rsidRDefault="00000000">
            <w:pPr>
              <w:spacing w:before="20" w:after="20"/>
              <w:jc w:val="right"/>
            </w:pPr>
            <w:r>
              <w:rPr>
                <w:color w:val="1A1A1A"/>
                <w:sz w:val="18"/>
                <w:szCs w:val="18"/>
              </w:rPr>
              <w:t>5,375.4</w:t>
            </w:r>
          </w:p>
        </w:tc>
        <w:tc>
          <w:tcPr>
            <w:tcW w:w="2000" w:type="dxa"/>
            <w:shd w:val="clear" w:color="auto" w:fill="FFFFFF"/>
            <w:tcMar>
              <w:top w:w="40" w:type="dxa"/>
              <w:left w:w="100" w:type="dxa"/>
              <w:bottom w:w="40" w:type="dxa"/>
              <w:right w:w="100" w:type="dxa"/>
            </w:tcMar>
            <w:vAlign w:val="center"/>
          </w:tcPr>
          <w:p w14:paraId="3744124A" w14:textId="77777777" w:rsidR="003B07C8" w:rsidRDefault="00000000">
            <w:pPr>
              <w:spacing w:before="20" w:after="20"/>
              <w:jc w:val="right"/>
            </w:pPr>
            <w:r>
              <w:rPr>
                <w:b/>
                <w:bCs/>
                <w:color w:val="1A1A1A"/>
                <w:sz w:val="18"/>
                <w:szCs w:val="18"/>
              </w:rPr>
              <w:t>3,258.8</w:t>
            </w:r>
          </w:p>
        </w:tc>
      </w:tr>
      <w:tr w:rsidR="003B07C8" w14:paraId="752BD171" w14:textId="77777777">
        <w:tc>
          <w:tcPr>
            <w:tcW w:w="4080" w:type="dxa"/>
            <w:shd w:val="clear" w:color="auto" w:fill="FFFFFF"/>
            <w:tcMar>
              <w:top w:w="40" w:type="dxa"/>
              <w:left w:w="100" w:type="dxa"/>
              <w:bottom w:w="40" w:type="dxa"/>
              <w:right w:w="100" w:type="dxa"/>
            </w:tcMar>
            <w:vAlign w:val="center"/>
          </w:tcPr>
          <w:p w14:paraId="131D298E" w14:textId="77777777" w:rsidR="003B07C8" w:rsidRDefault="00000000">
            <w:pPr>
              <w:spacing w:before="20" w:after="20"/>
            </w:pPr>
            <w:r>
              <w:rPr>
                <w:color w:val="1A1A1A"/>
                <w:sz w:val="18"/>
                <w:szCs w:val="18"/>
              </w:rPr>
              <w:t>Cost-to-Income Ratio</w:t>
            </w:r>
          </w:p>
        </w:tc>
        <w:tc>
          <w:tcPr>
            <w:tcW w:w="2000" w:type="dxa"/>
            <w:shd w:val="clear" w:color="auto" w:fill="FFFFFF"/>
            <w:tcMar>
              <w:top w:w="40" w:type="dxa"/>
              <w:left w:w="100" w:type="dxa"/>
              <w:bottom w:w="40" w:type="dxa"/>
              <w:right w:w="100" w:type="dxa"/>
            </w:tcMar>
            <w:vAlign w:val="center"/>
          </w:tcPr>
          <w:p w14:paraId="60CFF3D7" w14:textId="77777777" w:rsidR="003B07C8" w:rsidRDefault="00000000">
            <w:pPr>
              <w:spacing w:before="20" w:after="20"/>
              <w:jc w:val="right"/>
            </w:pPr>
            <w:r>
              <w:rPr>
                <w:color w:val="1A1A1A"/>
                <w:sz w:val="18"/>
                <w:szCs w:val="18"/>
              </w:rPr>
              <w:t>~31%</w:t>
            </w:r>
          </w:p>
        </w:tc>
        <w:tc>
          <w:tcPr>
            <w:tcW w:w="2000" w:type="dxa"/>
            <w:shd w:val="clear" w:color="auto" w:fill="FFFFFF"/>
            <w:tcMar>
              <w:top w:w="40" w:type="dxa"/>
              <w:left w:w="100" w:type="dxa"/>
              <w:bottom w:w="40" w:type="dxa"/>
              <w:right w:w="100" w:type="dxa"/>
            </w:tcMar>
            <w:vAlign w:val="center"/>
          </w:tcPr>
          <w:p w14:paraId="24CA7558" w14:textId="77777777" w:rsidR="003B07C8" w:rsidRDefault="00000000">
            <w:pPr>
              <w:spacing w:before="20" w:after="20"/>
              <w:jc w:val="right"/>
            </w:pPr>
            <w:r>
              <w:rPr>
                <w:color w:val="1A1A1A"/>
                <w:sz w:val="18"/>
                <w:szCs w:val="18"/>
              </w:rPr>
              <w:t>~35%</w:t>
            </w:r>
          </w:p>
        </w:tc>
        <w:tc>
          <w:tcPr>
            <w:tcW w:w="2000" w:type="dxa"/>
            <w:shd w:val="clear" w:color="auto" w:fill="FFFFFF"/>
            <w:tcMar>
              <w:top w:w="40" w:type="dxa"/>
              <w:left w:w="100" w:type="dxa"/>
              <w:bottom w:w="40" w:type="dxa"/>
              <w:right w:w="100" w:type="dxa"/>
            </w:tcMar>
            <w:vAlign w:val="center"/>
          </w:tcPr>
          <w:p w14:paraId="06047C93" w14:textId="77777777" w:rsidR="003B07C8" w:rsidRDefault="00000000">
            <w:pPr>
              <w:spacing w:before="20" w:after="20"/>
              <w:jc w:val="right"/>
            </w:pPr>
            <w:r>
              <w:rPr>
                <w:b/>
                <w:bCs/>
                <w:color w:val="1A1A1A"/>
                <w:sz w:val="18"/>
                <w:szCs w:val="18"/>
              </w:rPr>
              <w:t>~29%</w:t>
            </w:r>
          </w:p>
        </w:tc>
      </w:tr>
      <w:tr w:rsidR="003B07C8" w14:paraId="2E7D7951" w14:textId="77777777">
        <w:tc>
          <w:tcPr>
            <w:tcW w:w="4080" w:type="dxa"/>
            <w:shd w:val="clear" w:color="auto" w:fill="FFFFFF"/>
            <w:tcMar>
              <w:top w:w="40" w:type="dxa"/>
              <w:left w:w="100" w:type="dxa"/>
              <w:bottom w:w="40" w:type="dxa"/>
              <w:right w:w="100" w:type="dxa"/>
            </w:tcMar>
            <w:vAlign w:val="center"/>
          </w:tcPr>
          <w:p w14:paraId="2D0EC52D" w14:textId="77777777" w:rsidR="003B07C8" w:rsidRDefault="00000000">
            <w:pPr>
              <w:spacing w:before="20" w:after="20"/>
            </w:pPr>
            <w:r>
              <w:rPr>
                <w:color w:val="1A1A1A"/>
                <w:sz w:val="18"/>
                <w:szCs w:val="18"/>
              </w:rPr>
              <w:t>Return on Assets (ROA, approx.)</w:t>
            </w:r>
          </w:p>
        </w:tc>
        <w:tc>
          <w:tcPr>
            <w:tcW w:w="2000" w:type="dxa"/>
            <w:shd w:val="clear" w:color="auto" w:fill="FFFFFF"/>
            <w:tcMar>
              <w:top w:w="40" w:type="dxa"/>
              <w:left w:w="100" w:type="dxa"/>
              <w:bottom w:w="40" w:type="dxa"/>
              <w:right w:w="100" w:type="dxa"/>
            </w:tcMar>
            <w:vAlign w:val="center"/>
          </w:tcPr>
          <w:p w14:paraId="2AAF2332" w14:textId="77777777" w:rsidR="003B07C8" w:rsidRDefault="00000000">
            <w:pPr>
              <w:spacing w:before="20" w:after="20"/>
              <w:jc w:val="right"/>
            </w:pPr>
            <w:r>
              <w:rPr>
                <w:color w:val="1A1A1A"/>
                <w:sz w:val="18"/>
                <w:szCs w:val="18"/>
              </w:rPr>
              <w:t>~1.4%</w:t>
            </w:r>
          </w:p>
        </w:tc>
        <w:tc>
          <w:tcPr>
            <w:tcW w:w="2000" w:type="dxa"/>
            <w:shd w:val="clear" w:color="auto" w:fill="FFFFFF"/>
            <w:tcMar>
              <w:top w:w="40" w:type="dxa"/>
              <w:left w:w="100" w:type="dxa"/>
              <w:bottom w:w="40" w:type="dxa"/>
              <w:right w:w="100" w:type="dxa"/>
            </w:tcMar>
            <w:vAlign w:val="center"/>
          </w:tcPr>
          <w:p w14:paraId="1BE5F275" w14:textId="77777777" w:rsidR="003B07C8" w:rsidRDefault="00000000">
            <w:pPr>
              <w:spacing w:before="20" w:after="20"/>
              <w:jc w:val="right"/>
            </w:pPr>
            <w:r>
              <w:rPr>
                <w:color w:val="1A1A1A"/>
                <w:sz w:val="18"/>
                <w:szCs w:val="18"/>
              </w:rPr>
              <w:t>~1.3%</w:t>
            </w:r>
          </w:p>
        </w:tc>
        <w:tc>
          <w:tcPr>
            <w:tcW w:w="2000" w:type="dxa"/>
            <w:shd w:val="clear" w:color="auto" w:fill="FFFFFF"/>
            <w:tcMar>
              <w:top w:w="40" w:type="dxa"/>
              <w:left w:w="100" w:type="dxa"/>
              <w:bottom w:w="40" w:type="dxa"/>
              <w:right w:w="100" w:type="dxa"/>
            </w:tcMar>
            <w:vAlign w:val="center"/>
          </w:tcPr>
          <w:p w14:paraId="5F933C4F" w14:textId="77777777" w:rsidR="003B07C8" w:rsidRDefault="00000000">
            <w:pPr>
              <w:spacing w:before="20" w:after="20"/>
              <w:jc w:val="right"/>
            </w:pPr>
            <w:r>
              <w:rPr>
                <w:b/>
                <w:bCs/>
                <w:color w:val="1A1A1A"/>
                <w:sz w:val="18"/>
                <w:szCs w:val="18"/>
              </w:rPr>
              <w:t>~1.1%</w:t>
            </w:r>
          </w:p>
        </w:tc>
      </w:tr>
      <w:tr w:rsidR="003B07C8" w14:paraId="159C5BCA" w14:textId="77777777">
        <w:tc>
          <w:tcPr>
            <w:tcW w:w="4080" w:type="dxa"/>
            <w:shd w:val="clear" w:color="auto" w:fill="FFFFFF"/>
            <w:tcMar>
              <w:top w:w="40" w:type="dxa"/>
              <w:left w:w="100" w:type="dxa"/>
              <w:bottom w:w="40" w:type="dxa"/>
              <w:right w:w="100" w:type="dxa"/>
            </w:tcMar>
            <w:vAlign w:val="center"/>
          </w:tcPr>
          <w:p w14:paraId="1EA3F15E" w14:textId="77777777" w:rsidR="003B07C8" w:rsidRDefault="00000000">
            <w:pPr>
              <w:spacing w:before="20" w:after="20"/>
            </w:pPr>
            <w:r>
              <w:rPr>
                <w:color w:val="1A1A1A"/>
                <w:sz w:val="18"/>
                <w:szCs w:val="18"/>
              </w:rPr>
              <w:t>Return on Equity (ROE, approx.)</w:t>
            </w:r>
          </w:p>
        </w:tc>
        <w:tc>
          <w:tcPr>
            <w:tcW w:w="2000" w:type="dxa"/>
            <w:shd w:val="clear" w:color="auto" w:fill="FFFFFF"/>
            <w:tcMar>
              <w:top w:w="40" w:type="dxa"/>
              <w:left w:w="100" w:type="dxa"/>
              <w:bottom w:w="40" w:type="dxa"/>
              <w:right w:w="100" w:type="dxa"/>
            </w:tcMar>
            <w:vAlign w:val="center"/>
          </w:tcPr>
          <w:p w14:paraId="126F6DEE" w14:textId="77777777" w:rsidR="003B07C8" w:rsidRDefault="00000000">
            <w:pPr>
              <w:spacing w:before="20" w:after="20"/>
              <w:jc w:val="right"/>
            </w:pPr>
            <w:r>
              <w:rPr>
                <w:color w:val="1A1A1A"/>
                <w:sz w:val="18"/>
                <w:szCs w:val="18"/>
              </w:rPr>
              <w:t>~9.6%</w:t>
            </w:r>
          </w:p>
        </w:tc>
        <w:tc>
          <w:tcPr>
            <w:tcW w:w="2000" w:type="dxa"/>
            <w:shd w:val="clear" w:color="auto" w:fill="FFFFFF"/>
            <w:tcMar>
              <w:top w:w="40" w:type="dxa"/>
              <w:left w:w="100" w:type="dxa"/>
              <w:bottom w:w="40" w:type="dxa"/>
              <w:right w:w="100" w:type="dxa"/>
            </w:tcMar>
            <w:vAlign w:val="center"/>
          </w:tcPr>
          <w:p w14:paraId="57D90193" w14:textId="77777777" w:rsidR="003B07C8" w:rsidRDefault="00000000">
            <w:pPr>
              <w:spacing w:before="20" w:after="20"/>
              <w:jc w:val="right"/>
            </w:pPr>
            <w:r>
              <w:rPr>
                <w:color w:val="1A1A1A"/>
                <w:sz w:val="18"/>
                <w:szCs w:val="18"/>
              </w:rPr>
              <w:t>~9.1%</w:t>
            </w:r>
          </w:p>
        </w:tc>
        <w:tc>
          <w:tcPr>
            <w:tcW w:w="2000" w:type="dxa"/>
            <w:shd w:val="clear" w:color="auto" w:fill="FFFFFF"/>
            <w:tcMar>
              <w:top w:w="40" w:type="dxa"/>
              <w:left w:w="100" w:type="dxa"/>
              <w:bottom w:w="40" w:type="dxa"/>
              <w:right w:w="100" w:type="dxa"/>
            </w:tcMar>
            <w:vAlign w:val="center"/>
          </w:tcPr>
          <w:p w14:paraId="3B1E547F" w14:textId="77777777" w:rsidR="003B07C8" w:rsidRDefault="00000000">
            <w:pPr>
              <w:spacing w:before="20" w:after="20"/>
              <w:jc w:val="right"/>
            </w:pPr>
            <w:r>
              <w:rPr>
                <w:b/>
                <w:bCs/>
                <w:color w:val="1A1A1A"/>
                <w:sz w:val="18"/>
                <w:szCs w:val="18"/>
              </w:rPr>
              <w:t>~9.6%†</w:t>
            </w:r>
          </w:p>
        </w:tc>
      </w:tr>
      <w:tr w:rsidR="003B07C8" w14:paraId="2707EF09" w14:textId="77777777">
        <w:tc>
          <w:tcPr>
            <w:tcW w:w="10080" w:type="dxa"/>
            <w:gridSpan w:val="4"/>
            <w:shd w:val="clear" w:color="auto" w:fill="EDF2F7"/>
            <w:tcMar>
              <w:top w:w="40" w:type="dxa"/>
              <w:left w:w="100" w:type="dxa"/>
              <w:bottom w:w="40" w:type="dxa"/>
              <w:right w:w="100" w:type="dxa"/>
            </w:tcMar>
            <w:vAlign w:val="center"/>
          </w:tcPr>
          <w:p w14:paraId="2A7A0B15" w14:textId="77777777" w:rsidR="003B07C8" w:rsidRDefault="00000000">
            <w:pPr>
              <w:spacing w:before="20" w:after="20"/>
            </w:pPr>
            <w:r>
              <w:rPr>
                <w:b/>
                <w:bCs/>
                <w:color w:val="1A3A5C"/>
                <w:sz w:val="18"/>
                <w:szCs w:val="18"/>
              </w:rPr>
              <w:t>Scale</w:t>
            </w:r>
          </w:p>
        </w:tc>
      </w:tr>
      <w:tr w:rsidR="003B07C8" w14:paraId="782F3D42" w14:textId="77777777">
        <w:tc>
          <w:tcPr>
            <w:tcW w:w="4080" w:type="dxa"/>
            <w:shd w:val="clear" w:color="auto" w:fill="FFFFFF"/>
            <w:tcMar>
              <w:top w:w="40" w:type="dxa"/>
              <w:left w:w="100" w:type="dxa"/>
              <w:bottom w:w="40" w:type="dxa"/>
              <w:right w:w="100" w:type="dxa"/>
            </w:tcMar>
            <w:vAlign w:val="center"/>
          </w:tcPr>
          <w:p w14:paraId="7669EDE7" w14:textId="77777777" w:rsidR="003B07C8" w:rsidRDefault="00000000">
            <w:pPr>
              <w:spacing w:before="20" w:after="20"/>
            </w:pPr>
            <w:r>
              <w:rPr>
                <w:color w:val="1A1A1A"/>
                <w:sz w:val="18"/>
                <w:szCs w:val="18"/>
              </w:rPr>
              <w:t>Total Assets (UZS Trillion)</w:t>
            </w:r>
          </w:p>
        </w:tc>
        <w:tc>
          <w:tcPr>
            <w:tcW w:w="2000" w:type="dxa"/>
            <w:shd w:val="clear" w:color="auto" w:fill="FFFFFF"/>
            <w:tcMar>
              <w:top w:w="40" w:type="dxa"/>
              <w:left w:w="100" w:type="dxa"/>
              <w:bottom w:w="40" w:type="dxa"/>
              <w:right w:w="100" w:type="dxa"/>
            </w:tcMar>
            <w:vAlign w:val="center"/>
          </w:tcPr>
          <w:p w14:paraId="58D8BB9D" w14:textId="77777777" w:rsidR="003B07C8" w:rsidRDefault="00000000">
            <w:pPr>
              <w:spacing w:before="20" w:after="20"/>
              <w:jc w:val="right"/>
            </w:pPr>
            <w:r>
              <w:rPr>
                <w:color w:val="1A1A1A"/>
                <w:sz w:val="18"/>
                <w:szCs w:val="18"/>
              </w:rPr>
              <w:t>127.5</w:t>
            </w:r>
          </w:p>
        </w:tc>
        <w:tc>
          <w:tcPr>
            <w:tcW w:w="2000" w:type="dxa"/>
            <w:shd w:val="clear" w:color="auto" w:fill="FFFFFF"/>
            <w:tcMar>
              <w:top w:w="40" w:type="dxa"/>
              <w:left w:w="100" w:type="dxa"/>
              <w:bottom w:w="40" w:type="dxa"/>
              <w:right w:w="100" w:type="dxa"/>
            </w:tcMar>
            <w:vAlign w:val="center"/>
          </w:tcPr>
          <w:p w14:paraId="0DA26A41" w14:textId="77777777" w:rsidR="003B07C8" w:rsidRDefault="00000000">
            <w:pPr>
              <w:spacing w:before="20" w:after="20"/>
              <w:jc w:val="right"/>
            </w:pPr>
            <w:r>
              <w:rPr>
                <w:color w:val="1A1A1A"/>
                <w:sz w:val="18"/>
                <w:szCs w:val="18"/>
              </w:rPr>
              <w:t>135.1</w:t>
            </w:r>
          </w:p>
        </w:tc>
        <w:tc>
          <w:tcPr>
            <w:tcW w:w="2000" w:type="dxa"/>
            <w:shd w:val="clear" w:color="auto" w:fill="FFFFFF"/>
            <w:tcMar>
              <w:top w:w="40" w:type="dxa"/>
              <w:left w:w="100" w:type="dxa"/>
              <w:bottom w:w="40" w:type="dxa"/>
              <w:right w:w="100" w:type="dxa"/>
            </w:tcMar>
            <w:vAlign w:val="center"/>
          </w:tcPr>
          <w:p w14:paraId="2AD2E887" w14:textId="77777777" w:rsidR="003B07C8" w:rsidRDefault="00000000">
            <w:pPr>
              <w:spacing w:before="20" w:after="20"/>
              <w:jc w:val="right"/>
            </w:pPr>
            <w:r>
              <w:rPr>
                <w:b/>
                <w:bCs/>
                <w:color w:val="1A1A1A"/>
                <w:sz w:val="18"/>
                <w:szCs w:val="18"/>
              </w:rPr>
              <w:t>145.4</w:t>
            </w:r>
          </w:p>
        </w:tc>
      </w:tr>
      <w:tr w:rsidR="003B07C8" w14:paraId="14749FB7" w14:textId="77777777">
        <w:tc>
          <w:tcPr>
            <w:tcW w:w="4080" w:type="dxa"/>
            <w:shd w:val="clear" w:color="auto" w:fill="FFFFFF"/>
            <w:tcMar>
              <w:top w:w="40" w:type="dxa"/>
              <w:left w:w="100" w:type="dxa"/>
              <w:bottom w:w="40" w:type="dxa"/>
              <w:right w:w="100" w:type="dxa"/>
            </w:tcMar>
            <w:vAlign w:val="center"/>
          </w:tcPr>
          <w:p w14:paraId="474E1259" w14:textId="77777777" w:rsidR="003B07C8" w:rsidRDefault="00000000">
            <w:pPr>
              <w:spacing w:before="20" w:after="20"/>
            </w:pPr>
            <w:r>
              <w:rPr>
                <w:color w:val="1A1A1A"/>
                <w:sz w:val="18"/>
                <w:szCs w:val="18"/>
              </w:rPr>
              <w:t>Total Loans Net (UZS Trillion)</w:t>
            </w:r>
          </w:p>
        </w:tc>
        <w:tc>
          <w:tcPr>
            <w:tcW w:w="2000" w:type="dxa"/>
            <w:shd w:val="clear" w:color="auto" w:fill="FFFFFF"/>
            <w:tcMar>
              <w:top w:w="40" w:type="dxa"/>
              <w:left w:w="100" w:type="dxa"/>
              <w:bottom w:w="40" w:type="dxa"/>
              <w:right w:w="100" w:type="dxa"/>
            </w:tcMar>
            <w:vAlign w:val="center"/>
          </w:tcPr>
          <w:p w14:paraId="1922C676" w14:textId="77777777" w:rsidR="003B07C8" w:rsidRDefault="00000000">
            <w:pPr>
              <w:spacing w:before="20" w:after="20"/>
              <w:jc w:val="right"/>
            </w:pPr>
            <w:r>
              <w:rPr>
                <w:color w:val="1A1A1A"/>
                <w:sz w:val="18"/>
                <w:szCs w:val="18"/>
              </w:rPr>
              <w:t>92.4</w:t>
            </w:r>
          </w:p>
        </w:tc>
        <w:tc>
          <w:tcPr>
            <w:tcW w:w="2000" w:type="dxa"/>
            <w:shd w:val="clear" w:color="auto" w:fill="FFFFFF"/>
            <w:tcMar>
              <w:top w:w="40" w:type="dxa"/>
              <w:left w:w="100" w:type="dxa"/>
              <w:bottom w:w="40" w:type="dxa"/>
              <w:right w:w="100" w:type="dxa"/>
            </w:tcMar>
            <w:vAlign w:val="center"/>
          </w:tcPr>
          <w:p w14:paraId="66246672" w14:textId="77777777" w:rsidR="003B07C8" w:rsidRDefault="00000000">
            <w:pPr>
              <w:spacing w:before="20" w:after="20"/>
              <w:jc w:val="right"/>
            </w:pPr>
            <w:r>
              <w:rPr>
                <w:color w:val="1A1A1A"/>
                <w:sz w:val="18"/>
                <w:szCs w:val="18"/>
              </w:rPr>
              <w:t>100.5</w:t>
            </w:r>
          </w:p>
        </w:tc>
        <w:tc>
          <w:tcPr>
            <w:tcW w:w="2000" w:type="dxa"/>
            <w:shd w:val="clear" w:color="auto" w:fill="FFFFFF"/>
            <w:tcMar>
              <w:top w:w="40" w:type="dxa"/>
              <w:left w:w="100" w:type="dxa"/>
              <w:bottom w:w="40" w:type="dxa"/>
              <w:right w:w="100" w:type="dxa"/>
            </w:tcMar>
            <w:vAlign w:val="center"/>
          </w:tcPr>
          <w:p w14:paraId="1D7B0B7E" w14:textId="77777777" w:rsidR="003B07C8" w:rsidRDefault="00000000">
            <w:pPr>
              <w:spacing w:before="20" w:after="20"/>
              <w:jc w:val="right"/>
            </w:pPr>
            <w:r>
              <w:rPr>
                <w:b/>
                <w:bCs/>
                <w:color w:val="1A1A1A"/>
                <w:sz w:val="18"/>
                <w:szCs w:val="18"/>
              </w:rPr>
              <w:t>104.3</w:t>
            </w:r>
          </w:p>
        </w:tc>
      </w:tr>
      <w:tr w:rsidR="003B07C8" w14:paraId="32C630F1" w14:textId="77777777">
        <w:tc>
          <w:tcPr>
            <w:tcW w:w="4080" w:type="dxa"/>
            <w:shd w:val="clear" w:color="auto" w:fill="FFFFFF"/>
            <w:tcMar>
              <w:top w:w="40" w:type="dxa"/>
              <w:left w:w="100" w:type="dxa"/>
              <w:bottom w:w="40" w:type="dxa"/>
              <w:right w:w="100" w:type="dxa"/>
            </w:tcMar>
            <w:vAlign w:val="center"/>
          </w:tcPr>
          <w:p w14:paraId="591FF922" w14:textId="77777777" w:rsidR="003B07C8" w:rsidRDefault="00000000">
            <w:pPr>
              <w:spacing w:before="20" w:after="20"/>
            </w:pPr>
            <w:r>
              <w:rPr>
                <w:color w:val="1A1A1A"/>
                <w:sz w:val="18"/>
                <w:szCs w:val="18"/>
              </w:rPr>
              <w:t>Total Deposits (UZS Trillion)</w:t>
            </w:r>
          </w:p>
        </w:tc>
        <w:tc>
          <w:tcPr>
            <w:tcW w:w="2000" w:type="dxa"/>
            <w:shd w:val="clear" w:color="auto" w:fill="FFFFFF"/>
            <w:tcMar>
              <w:top w:w="40" w:type="dxa"/>
              <w:left w:w="100" w:type="dxa"/>
              <w:bottom w:w="40" w:type="dxa"/>
              <w:right w:w="100" w:type="dxa"/>
            </w:tcMar>
            <w:vAlign w:val="center"/>
          </w:tcPr>
          <w:p w14:paraId="3AA57C65" w14:textId="77777777" w:rsidR="003B07C8" w:rsidRDefault="00000000">
            <w:pPr>
              <w:spacing w:before="20" w:after="20"/>
              <w:jc w:val="right"/>
            </w:pPr>
            <w:r>
              <w:rPr>
                <w:color w:val="1A1A1A"/>
                <w:sz w:val="18"/>
                <w:szCs w:val="18"/>
              </w:rPr>
              <w:t>32.9</w:t>
            </w:r>
          </w:p>
        </w:tc>
        <w:tc>
          <w:tcPr>
            <w:tcW w:w="2000" w:type="dxa"/>
            <w:shd w:val="clear" w:color="auto" w:fill="FFFFFF"/>
            <w:tcMar>
              <w:top w:w="40" w:type="dxa"/>
              <w:left w:w="100" w:type="dxa"/>
              <w:bottom w:w="40" w:type="dxa"/>
              <w:right w:w="100" w:type="dxa"/>
            </w:tcMar>
            <w:vAlign w:val="center"/>
          </w:tcPr>
          <w:p w14:paraId="79A20FDF" w14:textId="77777777" w:rsidR="003B07C8" w:rsidRDefault="00000000">
            <w:pPr>
              <w:spacing w:before="20" w:after="20"/>
              <w:jc w:val="right"/>
            </w:pPr>
            <w:r>
              <w:rPr>
                <w:color w:val="1A1A1A"/>
                <w:sz w:val="18"/>
                <w:szCs w:val="18"/>
              </w:rPr>
              <w:t>36.8</w:t>
            </w:r>
          </w:p>
        </w:tc>
        <w:tc>
          <w:tcPr>
            <w:tcW w:w="2000" w:type="dxa"/>
            <w:shd w:val="clear" w:color="auto" w:fill="FFFFFF"/>
            <w:tcMar>
              <w:top w:w="40" w:type="dxa"/>
              <w:left w:w="100" w:type="dxa"/>
              <w:bottom w:w="40" w:type="dxa"/>
              <w:right w:w="100" w:type="dxa"/>
            </w:tcMar>
            <w:vAlign w:val="center"/>
          </w:tcPr>
          <w:p w14:paraId="5947CE67" w14:textId="77777777" w:rsidR="003B07C8" w:rsidRDefault="00000000">
            <w:pPr>
              <w:spacing w:before="20" w:after="20"/>
              <w:jc w:val="right"/>
            </w:pPr>
            <w:r>
              <w:rPr>
                <w:b/>
                <w:bCs/>
                <w:color w:val="1A1A1A"/>
                <w:sz w:val="18"/>
                <w:szCs w:val="18"/>
              </w:rPr>
              <w:t>47.3</w:t>
            </w:r>
          </w:p>
        </w:tc>
      </w:tr>
      <w:tr w:rsidR="003B07C8" w14:paraId="3D9E6FE4" w14:textId="77777777">
        <w:tc>
          <w:tcPr>
            <w:tcW w:w="10080" w:type="dxa"/>
            <w:gridSpan w:val="4"/>
            <w:shd w:val="clear" w:color="auto" w:fill="EDF2F7"/>
            <w:tcMar>
              <w:top w:w="40" w:type="dxa"/>
              <w:left w:w="100" w:type="dxa"/>
              <w:bottom w:w="40" w:type="dxa"/>
              <w:right w:w="100" w:type="dxa"/>
            </w:tcMar>
            <w:vAlign w:val="center"/>
          </w:tcPr>
          <w:p w14:paraId="78505A20" w14:textId="77777777" w:rsidR="003B07C8" w:rsidRDefault="00000000">
            <w:pPr>
              <w:spacing w:before="20" w:after="20"/>
            </w:pPr>
            <w:r>
              <w:rPr>
                <w:b/>
                <w:bCs/>
                <w:color w:val="1A3A5C"/>
                <w:sz w:val="18"/>
                <w:szCs w:val="18"/>
              </w:rPr>
              <w:lastRenderedPageBreak/>
              <w:t>Capital &amp; Asset Quality</w:t>
            </w:r>
          </w:p>
        </w:tc>
      </w:tr>
      <w:tr w:rsidR="003B07C8" w14:paraId="175CD557" w14:textId="77777777">
        <w:tc>
          <w:tcPr>
            <w:tcW w:w="4080" w:type="dxa"/>
            <w:shd w:val="clear" w:color="auto" w:fill="FFFFFF"/>
            <w:tcMar>
              <w:top w:w="40" w:type="dxa"/>
              <w:left w:w="100" w:type="dxa"/>
              <w:bottom w:w="40" w:type="dxa"/>
              <w:right w:w="100" w:type="dxa"/>
            </w:tcMar>
            <w:vAlign w:val="center"/>
          </w:tcPr>
          <w:p w14:paraId="023757D2" w14:textId="77777777" w:rsidR="003B07C8" w:rsidRDefault="00000000">
            <w:pPr>
              <w:spacing w:before="20" w:after="20"/>
            </w:pPr>
            <w:r>
              <w:rPr>
                <w:color w:val="1A1A1A"/>
                <w:sz w:val="18"/>
                <w:szCs w:val="18"/>
              </w:rPr>
              <w:t>Total Equity (UZS Trillion)</w:t>
            </w:r>
          </w:p>
        </w:tc>
        <w:tc>
          <w:tcPr>
            <w:tcW w:w="2000" w:type="dxa"/>
            <w:shd w:val="clear" w:color="auto" w:fill="FFFFFF"/>
            <w:tcMar>
              <w:top w:w="40" w:type="dxa"/>
              <w:left w:w="100" w:type="dxa"/>
              <w:bottom w:w="40" w:type="dxa"/>
              <w:right w:w="100" w:type="dxa"/>
            </w:tcMar>
            <w:vAlign w:val="center"/>
          </w:tcPr>
          <w:p w14:paraId="2030CC89" w14:textId="77777777" w:rsidR="003B07C8" w:rsidRDefault="00000000">
            <w:pPr>
              <w:spacing w:before="20" w:after="20"/>
              <w:jc w:val="right"/>
            </w:pPr>
            <w:r>
              <w:rPr>
                <w:color w:val="1A1A1A"/>
                <w:sz w:val="18"/>
                <w:szCs w:val="18"/>
              </w:rPr>
              <w:t>17.8</w:t>
            </w:r>
          </w:p>
        </w:tc>
        <w:tc>
          <w:tcPr>
            <w:tcW w:w="2000" w:type="dxa"/>
            <w:shd w:val="clear" w:color="auto" w:fill="FFFFFF"/>
            <w:tcMar>
              <w:top w:w="40" w:type="dxa"/>
              <w:left w:w="100" w:type="dxa"/>
              <w:bottom w:w="40" w:type="dxa"/>
              <w:right w:w="100" w:type="dxa"/>
            </w:tcMar>
            <w:vAlign w:val="center"/>
          </w:tcPr>
          <w:p w14:paraId="0B2374EC" w14:textId="77777777" w:rsidR="003B07C8" w:rsidRDefault="00000000">
            <w:pPr>
              <w:spacing w:before="20" w:after="20"/>
              <w:jc w:val="right"/>
            </w:pPr>
            <w:r>
              <w:rPr>
                <w:color w:val="1A1A1A"/>
                <w:sz w:val="18"/>
                <w:szCs w:val="18"/>
              </w:rPr>
              <w:t>18.9</w:t>
            </w:r>
          </w:p>
        </w:tc>
        <w:tc>
          <w:tcPr>
            <w:tcW w:w="2000" w:type="dxa"/>
            <w:shd w:val="clear" w:color="auto" w:fill="FFFFFF"/>
            <w:tcMar>
              <w:top w:w="40" w:type="dxa"/>
              <w:left w:w="100" w:type="dxa"/>
              <w:bottom w:w="40" w:type="dxa"/>
              <w:right w:w="100" w:type="dxa"/>
            </w:tcMar>
            <w:vAlign w:val="center"/>
          </w:tcPr>
          <w:p w14:paraId="6A494159" w14:textId="77777777" w:rsidR="003B07C8" w:rsidRDefault="00000000">
            <w:pPr>
              <w:spacing w:before="20" w:after="20"/>
              <w:jc w:val="right"/>
            </w:pPr>
            <w:r>
              <w:rPr>
                <w:b/>
                <w:bCs/>
                <w:color w:val="1A1A1A"/>
                <w:sz w:val="18"/>
                <w:szCs w:val="18"/>
              </w:rPr>
              <w:t>21.1</w:t>
            </w:r>
          </w:p>
        </w:tc>
      </w:tr>
      <w:tr w:rsidR="003B07C8" w14:paraId="1864B38B" w14:textId="77777777">
        <w:tc>
          <w:tcPr>
            <w:tcW w:w="4080" w:type="dxa"/>
            <w:shd w:val="clear" w:color="auto" w:fill="FFFFFF"/>
            <w:tcMar>
              <w:top w:w="40" w:type="dxa"/>
              <w:left w:w="100" w:type="dxa"/>
              <w:bottom w:w="40" w:type="dxa"/>
              <w:right w:w="100" w:type="dxa"/>
            </w:tcMar>
            <w:vAlign w:val="center"/>
          </w:tcPr>
          <w:p w14:paraId="5F71348F" w14:textId="77777777" w:rsidR="003B07C8" w:rsidRDefault="00000000">
            <w:pPr>
              <w:spacing w:before="20" w:after="20"/>
            </w:pPr>
            <w:r>
              <w:rPr>
                <w:color w:val="1A1A1A"/>
                <w:sz w:val="18"/>
                <w:szCs w:val="18"/>
              </w:rPr>
              <w:t>Authorized Capital (UZS Trillion)</w:t>
            </w:r>
          </w:p>
        </w:tc>
        <w:tc>
          <w:tcPr>
            <w:tcW w:w="2000" w:type="dxa"/>
            <w:shd w:val="clear" w:color="auto" w:fill="FFFFFF"/>
            <w:tcMar>
              <w:top w:w="40" w:type="dxa"/>
              <w:left w:w="100" w:type="dxa"/>
              <w:bottom w:w="40" w:type="dxa"/>
              <w:right w:w="100" w:type="dxa"/>
            </w:tcMar>
            <w:vAlign w:val="center"/>
          </w:tcPr>
          <w:p w14:paraId="14FA3682" w14:textId="77777777" w:rsidR="003B07C8" w:rsidRDefault="00000000">
            <w:pPr>
              <w:spacing w:before="20" w:after="20"/>
              <w:jc w:val="right"/>
            </w:pPr>
            <w:r>
              <w:rPr>
                <w:color w:val="1A1A1A"/>
                <w:sz w:val="18"/>
                <w:szCs w:val="18"/>
              </w:rPr>
              <w:t>15.5</w:t>
            </w:r>
          </w:p>
        </w:tc>
        <w:tc>
          <w:tcPr>
            <w:tcW w:w="2000" w:type="dxa"/>
            <w:shd w:val="clear" w:color="auto" w:fill="FFFFFF"/>
            <w:tcMar>
              <w:top w:w="40" w:type="dxa"/>
              <w:left w:w="100" w:type="dxa"/>
              <w:bottom w:w="40" w:type="dxa"/>
              <w:right w:w="100" w:type="dxa"/>
            </w:tcMar>
            <w:vAlign w:val="center"/>
          </w:tcPr>
          <w:p w14:paraId="5E09C38F" w14:textId="77777777" w:rsidR="003B07C8" w:rsidRDefault="00000000">
            <w:pPr>
              <w:spacing w:before="20" w:after="20"/>
              <w:jc w:val="right"/>
            </w:pPr>
            <w:r>
              <w:rPr>
                <w:color w:val="1A1A1A"/>
                <w:sz w:val="18"/>
                <w:szCs w:val="18"/>
              </w:rPr>
              <w:t>16.3</w:t>
            </w:r>
          </w:p>
        </w:tc>
        <w:tc>
          <w:tcPr>
            <w:tcW w:w="2000" w:type="dxa"/>
            <w:shd w:val="clear" w:color="auto" w:fill="FFFFFF"/>
            <w:tcMar>
              <w:top w:w="40" w:type="dxa"/>
              <w:left w:w="100" w:type="dxa"/>
              <w:bottom w:w="40" w:type="dxa"/>
              <w:right w:w="100" w:type="dxa"/>
            </w:tcMar>
            <w:vAlign w:val="center"/>
          </w:tcPr>
          <w:p w14:paraId="37A036D7" w14:textId="77777777" w:rsidR="003B07C8" w:rsidRDefault="00000000">
            <w:pPr>
              <w:spacing w:before="20" w:after="20"/>
              <w:jc w:val="right"/>
            </w:pPr>
            <w:r>
              <w:rPr>
                <w:b/>
                <w:bCs/>
                <w:color w:val="1A1A1A"/>
                <w:sz w:val="18"/>
                <w:szCs w:val="18"/>
              </w:rPr>
              <w:t>16.7</w:t>
            </w:r>
          </w:p>
        </w:tc>
      </w:tr>
      <w:tr w:rsidR="003B07C8" w14:paraId="7F711BA0" w14:textId="77777777">
        <w:tc>
          <w:tcPr>
            <w:tcW w:w="4080" w:type="dxa"/>
            <w:shd w:val="clear" w:color="auto" w:fill="FFFFFF"/>
            <w:tcMar>
              <w:top w:w="40" w:type="dxa"/>
              <w:left w:w="100" w:type="dxa"/>
              <w:bottom w:w="40" w:type="dxa"/>
              <w:right w:w="100" w:type="dxa"/>
            </w:tcMar>
            <w:vAlign w:val="center"/>
          </w:tcPr>
          <w:p w14:paraId="6A48A260" w14:textId="77777777" w:rsidR="003B07C8" w:rsidRDefault="00000000">
            <w:pPr>
              <w:spacing w:before="20" w:after="20"/>
            </w:pPr>
            <w:r>
              <w:rPr>
                <w:color w:val="1A1A1A"/>
                <w:sz w:val="18"/>
                <w:szCs w:val="18"/>
              </w:rPr>
              <w:t>Total Capital Adequacy Ratio (CAR)</w:t>
            </w:r>
          </w:p>
        </w:tc>
        <w:tc>
          <w:tcPr>
            <w:tcW w:w="2000" w:type="dxa"/>
            <w:shd w:val="clear" w:color="auto" w:fill="FFFFFF"/>
            <w:tcMar>
              <w:top w:w="40" w:type="dxa"/>
              <w:left w:w="100" w:type="dxa"/>
              <w:bottom w:w="40" w:type="dxa"/>
              <w:right w:w="100" w:type="dxa"/>
            </w:tcMar>
            <w:vAlign w:val="center"/>
          </w:tcPr>
          <w:p w14:paraId="7F8A36A1" w14:textId="77777777" w:rsidR="003B07C8" w:rsidRDefault="00000000">
            <w:pPr>
              <w:spacing w:before="20" w:after="20"/>
              <w:jc w:val="right"/>
            </w:pPr>
            <w:r>
              <w:rPr>
                <w:color w:val="1A1A1A"/>
                <w:sz w:val="18"/>
                <w:szCs w:val="18"/>
              </w:rPr>
              <w:t>n.a.</w:t>
            </w:r>
          </w:p>
        </w:tc>
        <w:tc>
          <w:tcPr>
            <w:tcW w:w="2000" w:type="dxa"/>
            <w:shd w:val="clear" w:color="auto" w:fill="FFFFFF"/>
            <w:tcMar>
              <w:top w:w="40" w:type="dxa"/>
              <w:left w:w="100" w:type="dxa"/>
              <w:bottom w:w="40" w:type="dxa"/>
              <w:right w:w="100" w:type="dxa"/>
            </w:tcMar>
            <w:vAlign w:val="center"/>
          </w:tcPr>
          <w:p w14:paraId="745EC50E" w14:textId="77777777" w:rsidR="003B07C8" w:rsidRDefault="00000000">
            <w:pPr>
              <w:spacing w:before="20" w:after="20"/>
              <w:jc w:val="right"/>
            </w:pPr>
            <w:r>
              <w:rPr>
                <w:color w:val="1A1A1A"/>
                <w:sz w:val="18"/>
                <w:szCs w:val="18"/>
              </w:rPr>
              <w:t>n.a.</w:t>
            </w:r>
          </w:p>
        </w:tc>
        <w:tc>
          <w:tcPr>
            <w:tcW w:w="2000" w:type="dxa"/>
            <w:shd w:val="clear" w:color="auto" w:fill="FFFFFF"/>
            <w:tcMar>
              <w:top w:w="40" w:type="dxa"/>
              <w:left w:w="100" w:type="dxa"/>
              <w:bottom w:w="40" w:type="dxa"/>
              <w:right w:w="100" w:type="dxa"/>
            </w:tcMar>
            <w:vAlign w:val="center"/>
          </w:tcPr>
          <w:p w14:paraId="72BAB2FA" w14:textId="77777777" w:rsidR="003B07C8" w:rsidRDefault="00000000">
            <w:pPr>
              <w:spacing w:before="20" w:after="20"/>
              <w:jc w:val="right"/>
            </w:pPr>
            <w:r>
              <w:rPr>
                <w:b/>
                <w:bCs/>
                <w:color w:val="1A1A1A"/>
                <w:sz w:val="18"/>
                <w:szCs w:val="18"/>
              </w:rPr>
              <w:t>18.2%</w:t>
            </w:r>
          </w:p>
        </w:tc>
      </w:tr>
      <w:tr w:rsidR="003B07C8" w14:paraId="129645DF" w14:textId="77777777">
        <w:tc>
          <w:tcPr>
            <w:tcW w:w="4080" w:type="dxa"/>
            <w:shd w:val="clear" w:color="auto" w:fill="FFFFFF"/>
            <w:tcMar>
              <w:top w:w="40" w:type="dxa"/>
              <w:left w:w="100" w:type="dxa"/>
              <w:bottom w:w="40" w:type="dxa"/>
              <w:right w:w="100" w:type="dxa"/>
            </w:tcMar>
            <w:vAlign w:val="center"/>
          </w:tcPr>
          <w:p w14:paraId="313DBE3D" w14:textId="77777777" w:rsidR="003B07C8" w:rsidRDefault="00000000">
            <w:pPr>
              <w:spacing w:before="20" w:after="20"/>
            </w:pPr>
            <w:r>
              <w:rPr>
                <w:color w:val="1A1A1A"/>
                <w:sz w:val="18"/>
                <w:szCs w:val="18"/>
              </w:rPr>
              <w:t>Tier 1 Capital Ratio</w:t>
            </w:r>
          </w:p>
        </w:tc>
        <w:tc>
          <w:tcPr>
            <w:tcW w:w="2000" w:type="dxa"/>
            <w:shd w:val="clear" w:color="auto" w:fill="FFFFFF"/>
            <w:tcMar>
              <w:top w:w="40" w:type="dxa"/>
              <w:left w:w="100" w:type="dxa"/>
              <w:bottom w:w="40" w:type="dxa"/>
              <w:right w:w="100" w:type="dxa"/>
            </w:tcMar>
            <w:vAlign w:val="center"/>
          </w:tcPr>
          <w:p w14:paraId="28B80068" w14:textId="77777777" w:rsidR="003B07C8" w:rsidRDefault="00000000">
            <w:pPr>
              <w:spacing w:before="20" w:after="20"/>
              <w:jc w:val="right"/>
            </w:pPr>
            <w:r>
              <w:rPr>
                <w:color w:val="1A1A1A"/>
                <w:sz w:val="18"/>
                <w:szCs w:val="18"/>
              </w:rPr>
              <w:t>n.a.</w:t>
            </w:r>
          </w:p>
        </w:tc>
        <w:tc>
          <w:tcPr>
            <w:tcW w:w="2000" w:type="dxa"/>
            <w:shd w:val="clear" w:color="auto" w:fill="FFFFFF"/>
            <w:tcMar>
              <w:top w:w="40" w:type="dxa"/>
              <w:left w:w="100" w:type="dxa"/>
              <w:bottom w:w="40" w:type="dxa"/>
              <w:right w:w="100" w:type="dxa"/>
            </w:tcMar>
            <w:vAlign w:val="center"/>
          </w:tcPr>
          <w:p w14:paraId="35F44BE1" w14:textId="77777777" w:rsidR="003B07C8" w:rsidRDefault="00000000">
            <w:pPr>
              <w:spacing w:before="20" w:after="20"/>
              <w:jc w:val="right"/>
            </w:pPr>
            <w:r>
              <w:rPr>
                <w:color w:val="1A1A1A"/>
                <w:sz w:val="18"/>
                <w:szCs w:val="18"/>
              </w:rPr>
              <w:t>n.a.</w:t>
            </w:r>
          </w:p>
        </w:tc>
        <w:tc>
          <w:tcPr>
            <w:tcW w:w="2000" w:type="dxa"/>
            <w:shd w:val="clear" w:color="auto" w:fill="FFFFFF"/>
            <w:tcMar>
              <w:top w:w="40" w:type="dxa"/>
              <w:left w:w="100" w:type="dxa"/>
              <w:bottom w:w="40" w:type="dxa"/>
              <w:right w:w="100" w:type="dxa"/>
            </w:tcMar>
            <w:vAlign w:val="center"/>
          </w:tcPr>
          <w:p w14:paraId="780FD61E" w14:textId="77777777" w:rsidR="003B07C8" w:rsidRDefault="00000000">
            <w:pPr>
              <w:spacing w:before="20" w:after="20"/>
              <w:jc w:val="right"/>
            </w:pPr>
            <w:r>
              <w:rPr>
                <w:b/>
                <w:bCs/>
                <w:color w:val="1A1A1A"/>
                <w:sz w:val="18"/>
                <w:szCs w:val="18"/>
              </w:rPr>
              <w:t>16.9%</w:t>
            </w:r>
          </w:p>
        </w:tc>
      </w:tr>
      <w:tr w:rsidR="003B07C8" w14:paraId="1FBA3221" w14:textId="77777777">
        <w:tc>
          <w:tcPr>
            <w:tcW w:w="4080" w:type="dxa"/>
            <w:shd w:val="clear" w:color="auto" w:fill="FFFFFF"/>
            <w:tcMar>
              <w:top w:w="40" w:type="dxa"/>
              <w:left w:w="100" w:type="dxa"/>
              <w:bottom w:w="40" w:type="dxa"/>
              <w:right w:w="100" w:type="dxa"/>
            </w:tcMar>
            <w:vAlign w:val="center"/>
          </w:tcPr>
          <w:p w14:paraId="2A0330FD" w14:textId="77777777" w:rsidR="003B07C8" w:rsidRDefault="00000000">
            <w:pPr>
              <w:spacing w:before="20" w:after="20"/>
            </w:pPr>
            <w:r>
              <w:rPr>
                <w:color w:val="1A1A1A"/>
                <w:sz w:val="18"/>
                <w:szCs w:val="18"/>
              </w:rPr>
              <w:t>NPL ratio — regulatory (CBU)</w:t>
            </w:r>
          </w:p>
        </w:tc>
        <w:tc>
          <w:tcPr>
            <w:tcW w:w="2000" w:type="dxa"/>
            <w:shd w:val="clear" w:color="auto" w:fill="FFFFFF"/>
            <w:tcMar>
              <w:top w:w="40" w:type="dxa"/>
              <w:left w:w="100" w:type="dxa"/>
              <w:bottom w:w="40" w:type="dxa"/>
              <w:right w:w="100" w:type="dxa"/>
            </w:tcMar>
            <w:vAlign w:val="center"/>
          </w:tcPr>
          <w:p w14:paraId="577B1D7F" w14:textId="77777777" w:rsidR="003B07C8" w:rsidRDefault="00000000">
            <w:pPr>
              <w:spacing w:before="20" w:after="20"/>
              <w:jc w:val="right"/>
            </w:pPr>
            <w:r>
              <w:rPr>
                <w:color w:val="1A1A1A"/>
                <w:sz w:val="18"/>
                <w:szCs w:val="18"/>
              </w:rPr>
              <w:t>n.a.</w:t>
            </w:r>
          </w:p>
        </w:tc>
        <w:tc>
          <w:tcPr>
            <w:tcW w:w="2000" w:type="dxa"/>
            <w:shd w:val="clear" w:color="auto" w:fill="FFFFFF"/>
            <w:tcMar>
              <w:top w:w="40" w:type="dxa"/>
              <w:left w:w="100" w:type="dxa"/>
              <w:bottom w:w="40" w:type="dxa"/>
              <w:right w:w="100" w:type="dxa"/>
            </w:tcMar>
            <w:vAlign w:val="center"/>
          </w:tcPr>
          <w:p w14:paraId="292764D5" w14:textId="77777777" w:rsidR="003B07C8" w:rsidRDefault="00000000">
            <w:pPr>
              <w:spacing w:before="20" w:after="20"/>
              <w:jc w:val="right"/>
            </w:pPr>
            <w:r>
              <w:rPr>
                <w:color w:val="1A1A1A"/>
                <w:sz w:val="18"/>
                <w:szCs w:val="18"/>
              </w:rPr>
              <w:t>n.a.</w:t>
            </w:r>
          </w:p>
        </w:tc>
        <w:tc>
          <w:tcPr>
            <w:tcW w:w="2000" w:type="dxa"/>
            <w:shd w:val="clear" w:color="auto" w:fill="FFFFFF"/>
            <w:tcMar>
              <w:top w:w="40" w:type="dxa"/>
              <w:left w:w="100" w:type="dxa"/>
              <w:bottom w:w="40" w:type="dxa"/>
              <w:right w:w="100" w:type="dxa"/>
            </w:tcMar>
            <w:vAlign w:val="center"/>
          </w:tcPr>
          <w:p w14:paraId="67541518" w14:textId="77777777" w:rsidR="003B07C8" w:rsidRDefault="00000000">
            <w:pPr>
              <w:spacing w:before="20" w:after="20"/>
              <w:jc w:val="right"/>
            </w:pPr>
            <w:r>
              <w:rPr>
                <w:b/>
                <w:bCs/>
                <w:color w:val="1A1A1A"/>
                <w:sz w:val="18"/>
                <w:szCs w:val="18"/>
              </w:rPr>
              <w:t>2.8%</w:t>
            </w:r>
          </w:p>
        </w:tc>
      </w:tr>
      <w:tr w:rsidR="003B07C8" w14:paraId="6029B638" w14:textId="77777777">
        <w:tc>
          <w:tcPr>
            <w:tcW w:w="4080" w:type="dxa"/>
            <w:shd w:val="clear" w:color="auto" w:fill="FFFFFF"/>
            <w:tcMar>
              <w:top w:w="40" w:type="dxa"/>
              <w:left w:w="100" w:type="dxa"/>
              <w:bottom w:w="40" w:type="dxa"/>
              <w:right w:w="100" w:type="dxa"/>
            </w:tcMar>
            <w:vAlign w:val="center"/>
          </w:tcPr>
          <w:p w14:paraId="4521F1DB" w14:textId="77777777" w:rsidR="003B07C8" w:rsidRDefault="00000000">
            <w:pPr>
              <w:spacing w:before="20" w:after="20"/>
            </w:pPr>
            <w:r>
              <w:rPr>
                <w:color w:val="1A1A1A"/>
                <w:sz w:val="18"/>
                <w:szCs w:val="18"/>
              </w:rPr>
              <w:t>NPL ratio — IFRS Stage 3</w:t>
            </w:r>
          </w:p>
        </w:tc>
        <w:tc>
          <w:tcPr>
            <w:tcW w:w="2000" w:type="dxa"/>
            <w:shd w:val="clear" w:color="auto" w:fill="FFFFFF"/>
            <w:tcMar>
              <w:top w:w="40" w:type="dxa"/>
              <w:left w:w="100" w:type="dxa"/>
              <w:bottom w:w="40" w:type="dxa"/>
              <w:right w:w="100" w:type="dxa"/>
            </w:tcMar>
            <w:vAlign w:val="center"/>
          </w:tcPr>
          <w:p w14:paraId="42483E8B" w14:textId="77777777" w:rsidR="003B07C8" w:rsidRDefault="00000000">
            <w:pPr>
              <w:spacing w:before="20" w:after="20"/>
              <w:jc w:val="right"/>
            </w:pPr>
            <w:r>
              <w:rPr>
                <w:color w:val="1A1A1A"/>
                <w:sz w:val="18"/>
                <w:szCs w:val="18"/>
              </w:rPr>
              <w:t>n.a.</w:t>
            </w:r>
          </w:p>
        </w:tc>
        <w:tc>
          <w:tcPr>
            <w:tcW w:w="2000" w:type="dxa"/>
            <w:shd w:val="clear" w:color="auto" w:fill="FFFFFF"/>
            <w:tcMar>
              <w:top w:w="40" w:type="dxa"/>
              <w:left w:w="100" w:type="dxa"/>
              <w:bottom w:w="40" w:type="dxa"/>
              <w:right w:w="100" w:type="dxa"/>
            </w:tcMar>
            <w:vAlign w:val="center"/>
          </w:tcPr>
          <w:p w14:paraId="6894281F" w14:textId="77777777" w:rsidR="003B07C8" w:rsidRDefault="00000000">
            <w:pPr>
              <w:spacing w:before="20" w:after="20"/>
              <w:jc w:val="right"/>
            </w:pPr>
            <w:r>
              <w:rPr>
                <w:color w:val="1A1A1A"/>
                <w:sz w:val="18"/>
                <w:szCs w:val="18"/>
              </w:rPr>
              <w:t>n.a.</w:t>
            </w:r>
          </w:p>
        </w:tc>
        <w:tc>
          <w:tcPr>
            <w:tcW w:w="2000" w:type="dxa"/>
            <w:shd w:val="clear" w:color="auto" w:fill="FFFFFF"/>
            <w:tcMar>
              <w:top w:w="40" w:type="dxa"/>
              <w:left w:w="100" w:type="dxa"/>
              <w:bottom w:w="40" w:type="dxa"/>
              <w:right w:w="100" w:type="dxa"/>
            </w:tcMar>
            <w:vAlign w:val="center"/>
          </w:tcPr>
          <w:p w14:paraId="16D40DFF" w14:textId="77777777" w:rsidR="003B07C8" w:rsidRDefault="00000000">
            <w:pPr>
              <w:spacing w:before="20" w:after="20"/>
              <w:jc w:val="right"/>
            </w:pPr>
            <w:r>
              <w:rPr>
                <w:b/>
                <w:bCs/>
                <w:color w:val="1A1A1A"/>
                <w:sz w:val="18"/>
                <w:szCs w:val="18"/>
              </w:rPr>
              <w:t>4.2%</w:t>
            </w:r>
          </w:p>
        </w:tc>
      </w:tr>
      <w:tr w:rsidR="003B07C8" w14:paraId="2FB881C4" w14:textId="77777777">
        <w:tc>
          <w:tcPr>
            <w:tcW w:w="10080" w:type="dxa"/>
            <w:gridSpan w:val="4"/>
            <w:shd w:val="clear" w:color="auto" w:fill="EDF2F7"/>
            <w:tcMar>
              <w:top w:w="40" w:type="dxa"/>
              <w:left w:w="100" w:type="dxa"/>
              <w:bottom w:w="40" w:type="dxa"/>
              <w:right w:w="100" w:type="dxa"/>
            </w:tcMar>
            <w:vAlign w:val="center"/>
          </w:tcPr>
          <w:p w14:paraId="3B40603B" w14:textId="77777777" w:rsidR="003B07C8" w:rsidRDefault="00000000">
            <w:pPr>
              <w:spacing w:before="20" w:after="20"/>
            </w:pPr>
            <w:r>
              <w:rPr>
                <w:b/>
                <w:bCs/>
                <w:color w:val="1A3A5C"/>
                <w:sz w:val="18"/>
                <w:szCs w:val="18"/>
              </w:rPr>
              <w:t>Ratings</w:t>
            </w:r>
          </w:p>
        </w:tc>
      </w:tr>
      <w:tr w:rsidR="003B07C8" w14:paraId="0ECDC12E" w14:textId="77777777">
        <w:tc>
          <w:tcPr>
            <w:tcW w:w="4080" w:type="dxa"/>
            <w:shd w:val="clear" w:color="auto" w:fill="FFFFFF"/>
            <w:tcMar>
              <w:top w:w="40" w:type="dxa"/>
              <w:left w:w="100" w:type="dxa"/>
              <w:bottom w:w="40" w:type="dxa"/>
              <w:right w:w="100" w:type="dxa"/>
            </w:tcMar>
            <w:vAlign w:val="center"/>
          </w:tcPr>
          <w:p w14:paraId="5456F6DF" w14:textId="77777777" w:rsidR="003B07C8" w:rsidRDefault="00000000">
            <w:pPr>
              <w:spacing w:before="20" w:after="20"/>
            </w:pPr>
            <w:r>
              <w:rPr>
                <w:color w:val="1A1A1A"/>
                <w:sz w:val="18"/>
                <w:szCs w:val="18"/>
              </w:rPr>
              <w:t>Moody’s</w:t>
            </w:r>
          </w:p>
        </w:tc>
        <w:tc>
          <w:tcPr>
            <w:tcW w:w="2000" w:type="dxa"/>
            <w:shd w:val="clear" w:color="auto" w:fill="FFFFFF"/>
            <w:tcMar>
              <w:top w:w="40" w:type="dxa"/>
              <w:left w:w="100" w:type="dxa"/>
              <w:bottom w:w="40" w:type="dxa"/>
              <w:right w:w="100" w:type="dxa"/>
            </w:tcMar>
            <w:vAlign w:val="center"/>
          </w:tcPr>
          <w:p w14:paraId="2749AB78" w14:textId="77777777" w:rsidR="003B07C8" w:rsidRDefault="00000000">
            <w:pPr>
              <w:spacing w:before="20" w:after="20"/>
              <w:jc w:val="right"/>
            </w:pPr>
            <w:r>
              <w:rPr>
                <w:color w:val="1A1A1A"/>
                <w:sz w:val="18"/>
                <w:szCs w:val="18"/>
              </w:rPr>
              <w:t>Ba3/Stable</w:t>
            </w:r>
          </w:p>
        </w:tc>
        <w:tc>
          <w:tcPr>
            <w:tcW w:w="2000" w:type="dxa"/>
            <w:shd w:val="clear" w:color="auto" w:fill="FFFFFF"/>
            <w:tcMar>
              <w:top w:w="40" w:type="dxa"/>
              <w:left w:w="100" w:type="dxa"/>
              <w:bottom w:w="40" w:type="dxa"/>
              <w:right w:w="100" w:type="dxa"/>
            </w:tcMar>
            <w:vAlign w:val="center"/>
          </w:tcPr>
          <w:p w14:paraId="5043E7FE" w14:textId="77777777" w:rsidR="003B07C8" w:rsidRDefault="00000000">
            <w:pPr>
              <w:spacing w:before="20" w:after="20"/>
              <w:jc w:val="right"/>
            </w:pPr>
            <w:r>
              <w:rPr>
                <w:color w:val="1A1A1A"/>
                <w:sz w:val="18"/>
                <w:szCs w:val="18"/>
              </w:rPr>
              <w:t>Ba3/Stable</w:t>
            </w:r>
          </w:p>
        </w:tc>
        <w:tc>
          <w:tcPr>
            <w:tcW w:w="2000" w:type="dxa"/>
            <w:shd w:val="clear" w:color="auto" w:fill="FFFFFF"/>
            <w:tcMar>
              <w:top w:w="40" w:type="dxa"/>
              <w:left w:w="100" w:type="dxa"/>
              <w:bottom w:w="40" w:type="dxa"/>
              <w:right w:w="100" w:type="dxa"/>
            </w:tcMar>
            <w:vAlign w:val="center"/>
          </w:tcPr>
          <w:p w14:paraId="5827ED77" w14:textId="77777777" w:rsidR="003B07C8" w:rsidRDefault="00000000">
            <w:pPr>
              <w:spacing w:before="20" w:after="20"/>
              <w:jc w:val="right"/>
            </w:pPr>
            <w:r>
              <w:rPr>
                <w:b/>
                <w:bCs/>
                <w:color w:val="1A1A1A"/>
                <w:sz w:val="18"/>
                <w:szCs w:val="18"/>
              </w:rPr>
              <w:t>Ba3/Stable</w:t>
            </w:r>
          </w:p>
        </w:tc>
      </w:tr>
      <w:tr w:rsidR="003B07C8" w14:paraId="3A475A5A" w14:textId="77777777">
        <w:tc>
          <w:tcPr>
            <w:tcW w:w="4080" w:type="dxa"/>
            <w:shd w:val="clear" w:color="auto" w:fill="FFFFFF"/>
            <w:tcMar>
              <w:top w:w="40" w:type="dxa"/>
              <w:left w:w="100" w:type="dxa"/>
              <w:bottom w:w="40" w:type="dxa"/>
              <w:right w:w="100" w:type="dxa"/>
            </w:tcMar>
            <w:vAlign w:val="center"/>
          </w:tcPr>
          <w:p w14:paraId="0678B81D" w14:textId="77777777" w:rsidR="003B07C8" w:rsidRDefault="00000000">
            <w:pPr>
              <w:spacing w:before="20" w:after="20"/>
            </w:pPr>
            <w:r>
              <w:rPr>
                <w:color w:val="1A1A1A"/>
                <w:sz w:val="18"/>
                <w:szCs w:val="18"/>
              </w:rPr>
              <w:t>Fitch</w:t>
            </w:r>
          </w:p>
        </w:tc>
        <w:tc>
          <w:tcPr>
            <w:tcW w:w="2000" w:type="dxa"/>
            <w:shd w:val="clear" w:color="auto" w:fill="FFFFFF"/>
            <w:tcMar>
              <w:top w:w="40" w:type="dxa"/>
              <w:left w:w="100" w:type="dxa"/>
              <w:bottom w:w="40" w:type="dxa"/>
              <w:right w:w="100" w:type="dxa"/>
            </w:tcMar>
            <w:vAlign w:val="center"/>
          </w:tcPr>
          <w:p w14:paraId="603BDF10" w14:textId="77777777" w:rsidR="003B07C8" w:rsidRDefault="00000000">
            <w:pPr>
              <w:spacing w:before="20" w:after="20"/>
              <w:jc w:val="right"/>
            </w:pPr>
            <w:r>
              <w:rPr>
                <w:color w:val="1A1A1A"/>
                <w:sz w:val="18"/>
                <w:szCs w:val="18"/>
              </w:rPr>
              <w:t>BB-/Stable</w:t>
            </w:r>
          </w:p>
        </w:tc>
        <w:tc>
          <w:tcPr>
            <w:tcW w:w="2000" w:type="dxa"/>
            <w:shd w:val="clear" w:color="auto" w:fill="FFFFFF"/>
            <w:tcMar>
              <w:top w:w="40" w:type="dxa"/>
              <w:left w:w="100" w:type="dxa"/>
              <w:bottom w:w="40" w:type="dxa"/>
              <w:right w:w="100" w:type="dxa"/>
            </w:tcMar>
            <w:vAlign w:val="center"/>
          </w:tcPr>
          <w:p w14:paraId="73E9614B" w14:textId="77777777" w:rsidR="003B07C8" w:rsidRDefault="00000000">
            <w:pPr>
              <w:spacing w:before="20" w:after="20"/>
              <w:jc w:val="right"/>
            </w:pPr>
            <w:r>
              <w:rPr>
                <w:color w:val="1A1A1A"/>
                <w:sz w:val="18"/>
                <w:szCs w:val="18"/>
              </w:rPr>
              <w:t>BB-/Stable</w:t>
            </w:r>
          </w:p>
        </w:tc>
        <w:tc>
          <w:tcPr>
            <w:tcW w:w="2000" w:type="dxa"/>
            <w:shd w:val="clear" w:color="auto" w:fill="FFFFFF"/>
            <w:tcMar>
              <w:top w:w="40" w:type="dxa"/>
              <w:left w:w="100" w:type="dxa"/>
              <w:bottom w:w="40" w:type="dxa"/>
              <w:right w:w="100" w:type="dxa"/>
            </w:tcMar>
            <w:vAlign w:val="center"/>
          </w:tcPr>
          <w:p w14:paraId="5B467D72" w14:textId="77777777" w:rsidR="003B07C8" w:rsidRDefault="00000000">
            <w:pPr>
              <w:spacing w:before="20" w:after="20"/>
              <w:jc w:val="right"/>
            </w:pPr>
            <w:r>
              <w:rPr>
                <w:b/>
                <w:bCs/>
                <w:color w:val="1A1A1A"/>
                <w:sz w:val="18"/>
                <w:szCs w:val="18"/>
              </w:rPr>
              <w:t>BB/Stable</w:t>
            </w:r>
          </w:p>
        </w:tc>
      </w:tr>
      <w:tr w:rsidR="003B07C8" w14:paraId="1E95B690" w14:textId="77777777">
        <w:tc>
          <w:tcPr>
            <w:tcW w:w="4080" w:type="dxa"/>
            <w:shd w:val="clear" w:color="auto" w:fill="FFFFFF"/>
            <w:tcMar>
              <w:top w:w="40" w:type="dxa"/>
              <w:left w:w="100" w:type="dxa"/>
              <w:bottom w:w="40" w:type="dxa"/>
              <w:right w:w="100" w:type="dxa"/>
            </w:tcMar>
            <w:vAlign w:val="center"/>
          </w:tcPr>
          <w:p w14:paraId="5E6203AA" w14:textId="77777777" w:rsidR="003B07C8" w:rsidRDefault="00000000">
            <w:pPr>
              <w:spacing w:before="20" w:after="20"/>
            </w:pPr>
            <w:r>
              <w:rPr>
                <w:color w:val="1A1A1A"/>
                <w:sz w:val="18"/>
                <w:szCs w:val="18"/>
              </w:rPr>
              <w:t>S&amp;P</w:t>
            </w:r>
          </w:p>
        </w:tc>
        <w:tc>
          <w:tcPr>
            <w:tcW w:w="2000" w:type="dxa"/>
            <w:shd w:val="clear" w:color="auto" w:fill="FFFFFF"/>
            <w:tcMar>
              <w:top w:w="40" w:type="dxa"/>
              <w:left w:w="100" w:type="dxa"/>
              <w:bottom w:w="40" w:type="dxa"/>
              <w:right w:w="100" w:type="dxa"/>
            </w:tcMar>
            <w:vAlign w:val="center"/>
          </w:tcPr>
          <w:p w14:paraId="713369D8" w14:textId="77777777" w:rsidR="003B07C8" w:rsidRDefault="00000000">
            <w:pPr>
              <w:spacing w:before="20" w:after="20"/>
              <w:jc w:val="right"/>
            </w:pPr>
            <w:r>
              <w:rPr>
                <w:color w:val="1A1A1A"/>
                <w:sz w:val="18"/>
                <w:szCs w:val="18"/>
              </w:rPr>
              <w:t>BB-/Stable</w:t>
            </w:r>
          </w:p>
        </w:tc>
        <w:tc>
          <w:tcPr>
            <w:tcW w:w="2000" w:type="dxa"/>
            <w:shd w:val="clear" w:color="auto" w:fill="FFFFFF"/>
            <w:tcMar>
              <w:top w:w="40" w:type="dxa"/>
              <w:left w:w="100" w:type="dxa"/>
              <w:bottom w:w="40" w:type="dxa"/>
              <w:right w:w="100" w:type="dxa"/>
            </w:tcMar>
            <w:vAlign w:val="center"/>
          </w:tcPr>
          <w:p w14:paraId="5C70828C" w14:textId="77777777" w:rsidR="003B07C8" w:rsidRDefault="00000000">
            <w:pPr>
              <w:spacing w:before="20" w:after="20"/>
              <w:jc w:val="right"/>
            </w:pPr>
            <w:r>
              <w:rPr>
                <w:color w:val="1A1A1A"/>
                <w:sz w:val="18"/>
                <w:szCs w:val="18"/>
              </w:rPr>
              <w:t>BB-/Stable</w:t>
            </w:r>
          </w:p>
        </w:tc>
        <w:tc>
          <w:tcPr>
            <w:tcW w:w="2000" w:type="dxa"/>
            <w:shd w:val="clear" w:color="auto" w:fill="FFFFFF"/>
            <w:tcMar>
              <w:top w:w="40" w:type="dxa"/>
              <w:left w:w="100" w:type="dxa"/>
              <w:bottom w:w="40" w:type="dxa"/>
              <w:right w:w="100" w:type="dxa"/>
            </w:tcMar>
            <w:vAlign w:val="center"/>
          </w:tcPr>
          <w:p w14:paraId="634D1118" w14:textId="77777777" w:rsidR="003B07C8" w:rsidRDefault="00000000">
            <w:pPr>
              <w:spacing w:before="20" w:after="20"/>
              <w:jc w:val="right"/>
            </w:pPr>
            <w:r>
              <w:rPr>
                <w:b/>
                <w:bCs/>
                <w:color w:val="1A1A1A"/>
                <w:sz w:val="18"/>
                <w:szCs w:val="18"/>
              </w:rPr>
              <w:t>BB-/Stable</w:t>
            </w:r>
          </w:p>
        </w:tc>
      </w:tr>
    </w:tbl>
    <w:p w14:paraId="70897AEA" w14:textId="77777777" w:rsidR="003B07C8" w:rsidRDefault="00000000">
      <w:pPr>
        <w:spacing w:before="60" w:after="120"/>
      </w:pPr>
      <w:r>
        <w:rPr>
          <w:i/>
          <w:iCs/>
          <w:color w:val="777777"/>
          <w:sz w:val="16"/>
          <w:szCs w:val="16"/>
        </w:rPr>
        <w:t>2023 and 2024 are full-year statutory figures; 2025 1H reflects the six-month interim IFRS results as at 30 June 2025. Net profit, net profit (USD) and net interest income for 2025 1H are six-month figures and are not annualised. † 2025 1H ROE is shown on an FY2025 statutory basis, as the six-month interim profit is not annualised, so a like-for-like half-year ROE is not directly comparable. n.a. = not separately available for the period. CAR, Tier 1 and NPL are NBU-specific (FID estimates / CBU and IFRS bases; see the detailed table below). Data source: Central Bank of Uzbekistan (1 January 2026 publication) and 2025 1H financial statements.</w:t>
      </w:r>
    </w:p>
    <w:p w14:paraId="653D6395" w14:textId="77777777" w:rsidR="003B07C8" w:rsidRDefault="00000000">
      <w:pPr>
        <w:spacing w:before="120" w:after="20"/>
      </w:pPr>
      <w:r>
        <w:rPr>
          <w:b/>
          <w:bCs/>
          <w:color w:val="1A3A5C"/>
        </w:rPr>
        <w:t>Extended KPI chart — NBU vs peers (key ratios)</w:t>
      </w:r>
    </w:p>
    <w:p w14:paraId="7F223FA4" w14:textId="77777777" w:rsidR="003B07C8" w:rsidRDefault="00000000">
      <w:pPr>
        <w:spacing w:before="40" w:after="40"/>
        <w:jc w:val="center"/>
      </w:pPr>
      <w:r>
        <w:rPr>
          <w:noProof/>
        </w:rPr>
        <w:drawing>
          <wp:inline distT="0" distB="0" distL="0" distR="0" wp14:anchorId="6E923FF3" wp14:editId="7BAC3D97">
            <wp:extent cx="5760720" cy="2511407"/>
            <wp:effectExtent l="0" t="0" r="0" b="0"/>
            <wp:docPr id="901" name="kpi_chart" descr="Extended KPI comparis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kpi_chart"/>
                    <pic:cNvPicPr/>
                  </pic:nvPicPr>
                  <pic:blipFill>
                    <a:blip r:embed="rId7"/>
                    <a:stretch>
                      <a:fillRect/>
                    </a:stretch>
                  </pic:blipFill>
                  <pic:spPr>
                    <a:xfrm>
                      <a:off x="0" y="0"/>
                      <a:ext cx="5760720" cy="2511407"/>
                    </a:xfrm>
                    <a:prstGeom prst="rect">
                      <a:avLst/>
                    </a:prstGeom>
                  </pic:spPr>
                </pic:pic>
              </a:graphicData>
            </a:graphic>
          </wp:inline>
        </w:drawing>
      </w:r>
    </w:p>
    <w:p w14:paraId="5FF061B9" w14:textId="77777777" w:rsidR="003B07C8" w:rsidRDefault="00000000">
      <w:pPr>
        <w:spacing w:before="60" w:after="120"/>
      </w:pPr>
      <w:r>
        <w:rPr>
          <w:i/>
          <w:iCs/>
          <w:color w:val="777777"/>
          <w:sz w:val="16"/>
          <w:szCs w:val="16"/>
        </w:rPr>
        <w:t>Extended KPI comparison across NBU and its two largest domestic peers (Uzpromstroybank/SQB and Agrobank) on key profitability, asset-quality and capital ratios — the asset-quality (NPL) and capital (CAR) metrics that were not previously charted are now included. ¹ NBU NPL is shown on the IFRS Stage 3 / gross-loans basis (4.2%); NBU’s regulatory NPL is 2.8% and the 5.6% sometimes cited is the provision-to-gross-loans coverage ratio (not an NPL ratio). All three banks are shown on a 2025 1H basis as at 30 June 2025; NBU’s ROE, ROA and NIM are annualised from the six-month interim IFRS results. FX uniform at USD/UZS = 12,150. The full peer breakdown is in Section 2.5. Source: attached Peer Comparison KPI workbook.</w:t>
      </w:r>
    </w:p>
    <w:p w14:paraId="6BDEAB4D" w14:textId="77777777" w:rsidR="003B07C8" w:rsidRDefault="00000000">
      <w:pPr>
        <w:spacing w:before="60" w:after="80"/>
      </w:pPr>
      <w:r>
        <w:rPr>
          <w:color w:val="1A1A1A"/>
        </w:rPr>
        <w:t>Over 2023-2024 NBU sustained steady balance-sheet growth, with total assets rising from UZS 127.5 trillion to UZS 135.1 trillion and net profit broadly stable at around UZS 1.7 trillion per year. The 2025 1H interim results show total assets of UZS 145.4 trillion, net loans of UZS 104.3 trillion and customer deposits of UZS 47.3 trillion as at 30 June 2025, with a six-month net profit of UZS 1,653.1 billion and net interest income of UZS 3,258.8 billion - a strong half-year run-rate. Equity reached UZS 21.1 trillion and external ratings were unchanged at Moody’s Ba3/Stable, S&amp;P BB-/Stable and Fitch BB/Stable.</w:t>
      </w:r>
    </w:p>
    <w:p w14:paraId="3F9EB6EC" w14:textId="77777777" w:rsidR="003B07C8" w:rsidRDefault="00000000">
      <w:pPr>
        <w:pBdr>
          <w:bottom w:val="single" w:sz="4" w:space="2" w:color="2E6DA4"/>
        </w:pBdr>
        <w:spacing w:before="200" w:after="80"/>
      </w:pPr>
      <w:r>
        <w:rPr>
          <w:b/>
          <w:bCs/>
          <w:color w:val="2E6DA4"/>
          <w:sz w:val="22"/>
          <w:szCs w:val="22"/>
        </w:rPr>
        <w:t>2.5 Peer Comparison</w:t>
      </w:r>
    </w:p>
    <w:p w14:paraId="46DC647C" w14:textId="77777777" w:rsidR="003B07C8" w:rsidRDefault="00000000">
      <w:pPr>
        <w:spacing w:before="60" w:after="80"/>
      </w:pPr>
      <w:r>
        <w:rPr>
          <w:color w:val="1A1A1A"/>
        </w:rPr>
        <w:t>The tables below benchmark NBU against the next two largest banks in Uzbekistan - Uzpromstroybank (SQB) and Agrobank - across the same extended set of key performance indicators used in Section 2.4 (profitability, asset quality, capital adequacy, liquidity, scale and ratings). To make the comparison meaningful, all three banks are shown on a consistent 2025 1H (H1 2025) basis as at 30 June 2025, using a uniform exchange rate of USD/UZS = 12,150. NBU’s figures are taken from its reviewed interim IFRS financial statements for the six months ended 30 June 2025, consistent with the 2025 1H column in Section 2.4: net profit and net interest income are stated for the six-month period, while a separate annualised net-profit line and annualised return ratios (ROE, ROA, NIM) are shown so that half-year earnings can be compared on a full-year-equivalent basis. A 2024 full-year comparison follows. Monetary KPIs are in USD million unless stated; ratios are in per cent.</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3480"/>
        <w:gridCol w:w="2200"/>
        <w:gridCol w:w="2200"/>
        <w:gridCol w:w="2200"/>
      </w:tblGrid>
      <w:tr w:rsidR="003B07C8" w14:paraId="0A97247B" w14:textId="77777777">
        <w:tc>
          <w:tcPr>
            <w:tcW w:w="3480" w:type="dxa"/>
            <w:shd w:val="clear" w:color="auto" w:fill="2E4057"/>
            <w:tcMar>
              <w:top w:w="40" w:type="dxa"/>
              <w:left w:w="100" w:type="dxa"/>
              <w:bottom w:w="40" w:type="dxa"/>
              <w:right w:w="100" w:type="dxa"/>
            </w:tcMar>
            <w:vAlign w:val="center"/>
          </w:tcPr>
          <w:p w14:paraId="1007C057" w14:textId="77777777" w:rsidR="003B07C8" w:rsidRDefault="00000000">
            <w:pPr>
              <w:spacing w:before="20" w:after="20"/>
            </w:pPr>
            <w:r>
              <w:rPr>
                <w:b/>
                <w:bCs/>
                <w:color w:val="FFFFFF"/>
                <w:sz w:val="18"/>
                <w:szCs w:val="18"/>
              </w:rPr>
              <w:t>Indicator</w:t>
            </w:r>
          </w:p>
        </w:tc>
        <w:tc>
          <w:tcPr>
            <w:tcW w:w="2200" w:type="dxa"/>
            <w:shd w:val="clear" w:color="auto" w:fill="2E4057"/>
            <w:tcMar>
              <w:top w:w="40" w:type="dxa"/>
              <w:left w:w="100" w:type="dxa"/>
              <w:bottom w:w="40" w:type="dxa"/>
              <w:right w:w="100" w:type="dxa"/>
            </w:tcMar>
            <w:vAlign w:val="center"/>
          </w:tcPr>
          <w:p w14:paraId="146A9489" w14:textId="77777777" w:rsidR="003B07C8" w:rsidRDefault="00000000">
            <w:pPr>
              <w:spacing w:before="20" w:after="20"/>
              <w:jc w:val="right"/>
            </w:pPr>
            <w:r>
              <w:rPr>
                <w:b/>
                <w:bCs/>
                <w:color w:val="FFFFFF"/>
                <w:sz w:val="18"/>
                <w:szCs w:val="18"/>
              </w:rPr>
              <w:t>NBU (2025 1H)</w:t>
            </w:r>
          </w:p>
        </w:tc>
        <w:tc>
          <w:tcPr>
            <w:tcW w:w="2200" w:type="dxa"/>
            <w:shd w:val="clear" w:color="auto" w:fill="2E4057"/>
            <w:tcMar>
              <w:top w:w="40" w:type="dxa"/>
              <w:left w:w="100" w:type="dxa"/>
              <w:bottom w:w="40" w:type="dxa"/>
              <w:right w:w="100" w:type="dxa"/>
            </w:tcMar>
            <w:vAlign w:val="center"/>
          </w:tcPr>
          <w:p w14:paraId="57D117D2" w14:textId="77777777" w:rsidR="003B07C8" w:rsidRDefault="00000000">
            <w:pPr>
              <w:spacing w:before="20" w:after="20"/>
              <w:jc w:val="right"/>
            </w:pPr>
            <w:r>
              <w:rPr>
                <w:b/>
                <w:bCs/>
                <w:color w:val="FFFFFF"/>
                <w:sz w:val="18"/>
                <w:szCs w:val="18"/>
              </w:rPr>
              <w:t>SQB (H1 2025)</w:t>
            </w:r>
          </w:p>
        </w:tc>
        <w:tc>
          <w:tcPr>
            <w:tcW w:w="2200" w:type="dxa"/>
            <w:shd w:val="clear" w:color="auto" w:fill="2E4057"/>
            <w:tcMar>
              <w:top w:w="40" w:type="dxa"/>
              <w:left w:w="100" w:type="dxa"/>
              <w:bottom w:w="40" w:type="dxa"/>
              <w:right w:w="100" w:type="dxa"/>
            </w:tcMar>
            <w:vAlign w:val="center"/>
          </w:tcPr>
          <w:p w14:paraId="0B8BBB25" w14:textId="77777777" w:rsidR="003B07C8" w:rsidRDefault="00000000">
            <w:pPr>
              <w:spacing w:before="20" w:after="20"/>
              <w:jc w:val="right"/>
            </w:pPr>
            <w:r>
              <w:rPr>
                <w:b/>
                <w:bCs/>
                <w:color w:val="FFFFFF"/>
                <w:sz w:val="18"/>
                <w:szCs w:val="18"/>
              </w:rPr>
              <w:t>Agrobank (H1 2025)</w:t>
            </w:r>
          </w:p>
        </w:tc>
      </w:tr>
      <w:tr w:rsidR="003B07C8" w14:paraId="561AFB29" w14:textId="77777777">
        <w:tc>
          <w:tcPr>
            <w:tcW w:w="10080" w:type="dxa"/>
            <w:gridSpan w:val="4"/>
            <w:shd w:val="clear" w:color="auto" w:fill="EDF2F7"/>
            <w:tcMar>
              <w:top w:w="40" w:type="dxa"/>
              <w:left w:w="100" w:type="dxa"/>
              <w:bottom w:w="40" w:type="dxa"/>
              <w:right w:w="100" w:type="dxa"/>
            </w:tcMar>
            <w:vAlign w:val="center"/>
          </w:tcPr>
          <w:p w14:paraId="635F3256" w14:textId="77777777" w:rsidR="003B07C8" w:rsidRDefault="00000000">
            <w:pPr>
              <w:spacing w:before="20" w:after="20"/>
            </w:pPr>
            <w:r>
              <w:rPr>
                <w:b/>
                <w:bCs/>
                <w:color w:val="1A3A5C"/>
                <w:sz w:val="18"/>
                <w:szCs w:val="18"/>
              </w:rPr>
              <w:lastRenderedPageBreak/>
              <w:t>Profitability</w:t>
            </w:r>
          </w:p>
        </w:tc>
      </w:tr>
      <w:tr w:rsidR="003B07C8" w14:paraId="064B5A73" w14:textId="77777777">
        <w:tc>
          <w:tcPr>
            <w:tcW w:w="3480" w:type="dxa"/>
            <w:shd w:val="clear" w:color="auto" w:fill="FFFFFF"/>
            <w:tcMar>
              <w:top w:w="40" w:type="dxa"/>
              <w:left w:w="100" w:type="dxa"/>
              <w:bottom w:w="40" w:type="dxa"/>
              <w:right w:w="100" w:type="dxa"/>
            </w:tcMar>
            <w:vAlign w:val="center"/>
          </w:tcPr>
          <w:p w14:paraId="64223FA4" w14:textId="77777777" w:rsidR="003B07C8" w:rsidRDefault="00000000">
            <w:pPr>
              <w:spacing w:before="20" w:after="20"/>
            </w:pPr>
            <w:r>
              <w:rPr>
                <w:color w:val="1A1A1A"/>
                <w:sz w:val="18"/>
                <w:szCs w:val="18"/>
              </w:rPr>
              <w:t>Net Profit - reported period (USD M)</w:t>
            </w:r>
          </w:p>
        </w:tc>
        <w:tc>
          <w:tcPr>
            <w:tcW w:w="2200" w:type="dxa"/>
            <w:shd w:val="clear" w:color="auto" w:fill="FFFFFF"/>
            <w:tcMar>
              <w:top w:w="40" w:type="dxa"/>
              <w:left w:w="100" w:type="dxa"/>
              <w:bottom w:w="40" w:type="dxa"/>
              <w:right w:w="100" w:type="dxa"/>
            </w:tcMar>
            <w:vAlign w:val="center"/>
          </w:tcPr>
          <w:p w14:paraId="10F05810" w14:textId="77777777" w:rsidR="003B07C8" w:rsidRDefault="00000000">
            <w:pPr>
              <w:spacing w:before="20" w:after="20"/>
              <w:jc w:val="right"/>
            </w:pPr>
            <w:r>
              <w:rPr>
                <w:b/>
                <w:bCs/>
                <w:color w:val="1A1A1A"/>
                <w:sz w:val="18"/>
                <w:szCs w:val="18"/>
              </w:rPr>
              <w:t>136.1</w:t>
            </w:r>
          </w:p>
        </w:tc>
        <w:tc>
          <w:tcPr>
            <w:tcW w:w="2200" w:type="dxa"/>
            <w:shd w:val="clear" w:color="auto" w:fill="FFFFFF"/>
            <w:tcMar>
              <w:top w:w="40" w:type="dxa"/>
              <w:left w:w="100" w:type="dxa"/>
              <w:bottom w:w="40" w:type="dxa"/>
              <w:right w:w="100" w:type="dxa"/>
            </w:tcMar>
            <w:vAlign w:val="center"/>
          </w:tcPr>
          <w:p w14:paraId="6F6F1D59" w14:textId="77777777" w:rsidR="003B07C8" w:rsidRDefault="00000000">
            <w:pPr>
              <w:spacing w:before="20" w:after="20"/>
              <w:jc w:val="right"/>
            </w:pPr>
            <w:r>
              <w:rPr>
                <w:color w:val="1A1A1A"/>
                <w:sz w:val="18"/>
                <w:szCs w:val="18"/>
              </w:rPr>
              <w:t>58.5</w:t>
            </w:r>
          </w:p>
        </w:tc>
        <w:tc>
          <w:tcPr>
            <w:tcW w:w="2200" w:type="dxa"/>
            <w:shd w:val="clear" w:color="auto" w:fill="FFFFFF"/>
            <w:tcMar>
              <w:top w:w="40" w:type="dxa"/>
              <w:left w:w="100" w:type="dxa"/>
              <w:bottom w:w="40" w:type="dxa"/>
              <w:right w:w="100" w:type="dxa"/>
            </w:tcMar>
            <w:vAlign w:val="center"/>
          </w:tcPr>
          <w:p w14:paraId="14C5E0BC" w14:textId="77777777" w:rsidR="003B07C8" w:rsidRDefault="00000000">
            <w:pPr>
              <w:spacing w:before="20" w:after="20"/>
              <w:jc w:val="right"/>
            </w:pPr>
            <w:r>
              <w:rPr>
                <w:color w:val="1A1A1A"/>
                <w:sz w:val="18"/>
                <w:szCs w:val="18"/>
              </w:rPr>
              <w:t>4.7</w:t>
            </w:r>
          </w:p>
        </w:tc>
      </w:tr>
      <w:tr w:rsidR="003B07C8" w14:paraId="40A47201" w14:textId="77777777">
        <w:tc>
          <w:tcPr>
            <w:tcW w:w="3480" w:type="dxa"/>
            <w:shd w:val="clear" w:color="auto" w:fill="FFFFFF"/>
            <w:tcMar>
              <w:top w:w="40" w:type="dxa"/>
              <w:left w:w="100" w:type="dxa"/>
              <w:bottom w:w="40" w:type="dxa"/>
              <w:right w:w="100" w:type="dxa"/>
            </w:tcMar>
            <w:vAlign w:val="center"/>
          </w:tcPr>
          <w:p w14:paraId="13D9B291" w14:textId="77777777" w:rsidR="003B07C8" w:rsidRDefault="00000000">
            <w:pPr>
              <w:spacing w:before="20" w:after="20"/>
            </w:pPr>
            <w:r>
              <w:rPr>
                <w:color w:val="1A1A1A"/>
                <w:sz w:val="18"/>
                <w:szCs w:val="18"/>
              </w:rPr>
              <w:t>Net Profit - annualised (USD M)</w:t>
            </w:r>
          </w:p>
        </w:tc>
        <w:tc>
          <w:tcPr>
            <w:tcW w:w="2200" w:type="dxa"/>
            <w:shd w:val="clear" w:color="auto" w:fill="FFFFFF"/>
            <w:tcMar>
              <w:top w:w="40" w:type="dxa"/>
              <w:left w:w="100" w:type="dxa"/>
              <w:bottom w:w="40" w:type="dxa"/>
              <w:right w:w="100" w:type="dxa"/>
            </w:tcMar>
            <w:vAlign w:val="center"/>
          </w:tcPr>
          <w:p w14:paraId="21A40E6A" w14:textId="77777777" w:rsidR="003B07C8" w:rsidRDefault="00000000">
            <w:pPr>
              <w:spacing w:before="20" w:after="20"/>
              <w:jc w:val="right"/>
            </w:pPr>
            <w:r>
              <w:rPr>
                <w:b/>
                <w:bCs/>
                <w:color w:val="1A1A1A"/>
                <w:sz w:val="18"/>
                <w:szCs w:val="18"/>
              </w:rPr>
              <w:t>272.1</w:t>
            </w:r>
          </w:p>
        </w:tc>
        <w:tc>
          <w:tcPr>
            <w:tcW w:w="2200" w:type="dxa"/>
            <w:shd w:val="clear" w:color="auto" w:fill="FFFFFF"/>
            <w:tcMar>
              <w:top w:w="40" w:type="dxa"/>
              <w:left w:w="100" w:type="dxa"/>
              <w:bottom w:w="40" w:type="dxa"/>
              <w:right w:w="100" w:type="dxa"/>
            </w:tcMar>
            <w:vAlign w:val="center"/>
          </w:tcPr>
          <w:p w14:paraId="2DC9B2A7" w14:textId="77777777" w:rsidR="003B07C8" w:rsidRDefault="00000000">
            <w:pPr>
              <w:spacing w:before="20" w:after="20"/>
              <w:jc w:val="right"/>
            </w:pPr>
            <w:r>
              <w:rPr>
                <w:color w:val="1A1A1A"/>
                <w:sz w:val="18"/>
                <w:szCs w:val="18"/>
              </w:rPr>
              <w:t>117</w:t>
            </w:r>
          </w:p>
        </w:tc>
        <w:tc>
          <w:tcPr>
            <w:tcW w:w="2200" w:type="dxa"/>
            <w:shd w:val="clear" w:color="auto" w:fill="FFFFFF"/>
            <w:tcMar>
              <w:top w:w="40" w:type="dxa"/>
              <w:left w:w="100" w:type="dxa"/>
              <w:bottom w:w="40" w:type="dxa"/>
              <w:right w:w="100" w:type="dxa"/>
            </w:tcMar>
            <w:vAlign w:val="center"/>
          </w:tcPr>
          <w:p w14:paraId="2DD788B6" w14:textId="77777777" w:rsidR="003B07C8" w:rsidRDefault="00000000">
            <w:pPr>
              <w:spacing w:before="20" w:after="20"/>
              <w:jc w:val="right"/>
            </w:pPr>
            <w:r>
              <w:rPr>
                <w:color w:val="1A1A1A"/>
                <w:sz w:val="18"/>
                <w:szCs w:val="18"/>
              </w:rPr>
              <w:t>9.5</w:t>
            </w:r>
          </w:p>
        </w:tc>
      </w:tr>
      <w:tr w:rsidR="003B07C8" w14:paraId="4A012B3C" w14:textId="77777777">
        <w:tc>
          <w:tcPr>
            <w:tcW w:w="3480" w:type="dxa"/>
            <w:shd w:val="clear" w:color="auto" w:fill="FFFFFF"/>
            <w:tcMar>
              <w:top w:w="40" w:type="dxa"/>
              <w:left w:w="100" w:type="dxa"/>
              <w:bottom w:w="40" w:type="dxa"/>
              <w:right w:w="100" w:type="dxa"/>
            </w:tcMar>
            <w:vAlign w:val="center"/>
          </w:tcPr>
          <w:p w14:paraId="7FB65991" w14:textId="77777777" w:rsidR="003B07C8" w:rsidRDefault="00000000">
            <w:pPr>
              <w:spacing w:before="20" w:after="20"/>
            </w:pPr>
            <w:r>
              <w:rPr>
                <w:color w:val="1A1A1A"/>
                <w:sz w:val="18"/>
                <w:szCs w:val="18"/>
              </w:rPr>
              <w:t>Net Interest Income - reported (USD M)</w:t>
            </w:r>
          </w:p>
        </w:tc>
        <w:tc>
          <w:tcPr>
            <w:tcW w:w="2200" w:type="dxa"/>
            <w:shd w:val="clear" w:color="auto" w:fill="FFFFFF"/>
            <w:tcMar>
              <w:top w:w="40" w:type="dxa"/>
              <w:left w:w="100" w:type="dxa"/>
              <w:bottom w:w="40" w:type="dxa"/>
              <w:right w:w="100" w:type="dxa"/>
            </w:tcMar>
            <w:vAlign w:val="center"/>
          </w:tcPr>
          <w:p w14:paraId="1196FB47" w14:textId="77777777" w:rsidR="003B07C8" w:rsidRDefault="00000000">
            <w:pPr>
              <w:spacing w:before="20" w:after="20"/>
              <w:jc w:val="right"/>
            </w:pPr>
            <w:r>
              <w:rPr>
                <w:b/>
                <w:bCs/>
                <w:color w:val="1A1A1A"/>
                <w:sz w:val="18"/>
                <w:szCs w:val="18"/>
              </w:rPr>
              <w:t>268.2</w:t>
            </w:r>
          </w:p>
        </w:tc>
        <w:tc>
          <w:tcPr>
            <w:tcW w:w="2200" w:type="dxa"/>
            <w:shd w:val="clear" w:color="auto" w:fill="FFFFFF"/>
            <w:tcMar>
              <w:top w:w="40" w:type="dxa"/>
              <w:left w:w="100" w:type="dxa"/>
              <w:bottom w:w="40" w:type="dxa"/>
              <w:right w:w="100" w:type="dxa"/>
            </w:tcMar>
            <w:vAlign w:val="center"/>
          </w:tcPr>
          <w:p w14:paraId="68327FF9" w14:textId="77777777" w:rsidR="003B07C8" w:rsidRDefault="00000000">
            <w:pPr>
              <w:spacing w:before="20" w:after="20"/>
              <w:jc w:val="right"/>
            </w:pPr>
            <w:r>
              <w:rPr>
                <w:color w:val="1A1A1A"/>
                <w:sz w:val="18"/>
                <w:szCs w:val="18"/>
              </w:rPr>
              <w:t>220</w:t>
            </w:r>
          </w:p>
        </w:tc>
        <w:tc>
          <w:tcPr>
            <w:tcW w:w="2200" w:type="dxa"/>
            <w:shd w:val="clear" w:color="auto" w:fill="FFFFFF"/>
            <w:tcMar>
              <w:top w:w="40" w:type="dxa"/>
              <w:left w:w="100" w:type="dxa"/>
              <w:bottom w:w="40" w:type="dxa"/>
              <w:right w:w="100" w:type="dxa"/>
            </w:tcMar>
            <w:vAlign w:val="center"/>
          </w:tcPr>
          <w:p w14:paraId="74646199" w14:textId="77777777" w:rsidR="003B07C8" w:rsidRDefault="00000000">
            <w:pPr>
              <w:spacing w:before="20" w:after="20"/>
              <w:jc w:val="right"/>
            </w:pPr>
            <w:r>
              <w:rPr>
                <w:color w:val="1A1A1A"/>
                <w:sz w:val="18"/>
                <w:szCs w:val="18"/>
              </w:rPr>
              <w:t>n.a.²</w:t>
            </w:r>
          </w:p>
        </w:tc>
      </w:tr>
      <w:tr w:rsidR="003B07C8" w14:paraId="128095E6" w14:textId="77777777">
        <w:tc>
          <w:tcPr>
            <w:tcW w:w="3480" w:type="dxa"/>
            <w:shd w:val="clear" w:color="auto" w:fill="FFFFFF"/>
            <w:tcMar>
              <w:top w:w="40" w:type="dxa"/>
              <w:left w:w="100" w:type="dxa"/>
              <w:bottom w:w="40" w:type="dxa"/>
              <w:right w:w="100" w:type="dxa"/>
            </w:tcMar>
            <w:vAlign w:val="center"/>
          </w:tcPr>
          <w:p w14:paraId="29E471FE" w14:textId="77777777" w:rsidR="003B07C8" w:rsidRDefault="00000000">
            <w:pPr>
              <w:spacing w:before="20" w:after="20"/>
            </w:pPr>
            <w:r>
              <w:rPr>
                <w:color w:val="1A1A1A"/>
                <w:sz w:val="18"/>
                <w:szCs w:val="18"/>
              </w:rPr>
              <w:t>Net Interest Margin (NIM)</w:t>
            </w:r>
          </w:p>
        </w:tc>
        <w:tc>
          <w:tcPr>
            <w:tcW w:w="2200" w:type="dxa"/>
            <w:shd w:val="clear" w:color="auto" w:fill="FFFFFF"/>
            <w:tcMar>
              <w:top w:w="40" w:type="dxa"/>
              <w:left w:w="100" w:type="dxa"/>
              <w:bottom w:w="40" w:type="dxa"/>
              <w:right w:w="100" w:type="dxa"/>
            </w:tcMar>
            <w:vAlign w:val="center"/>
          </w:tcPr>
          <w:p w14:paraId="3BF5E4E8" w14:textId="77777777" w:rsidR="003B07C8" w:rsidRDefault="00000000">
            <w:pPr>
              <w:spacing w:before="20" w:after="20"/>
              <w:jc w:val="right"/>
            </w:pPr>
            <w:r>
              <w:rPr>
                <w:b/>
                <w:bCs/>
                <w:color w:val="1A1A1A"/>
                <w:sz w:val="18"/>
                <w:szCs w:val="18"/>
              </w:rPr>
              <w:t>~4.5%</w:t>
            </w:r>
          </w:p>
        </w:tc>
        <w:tc>
          <w:tcPr>
            <w:tcW w:w="2200" w:type="dxa"/>
            <w:shd w:val="clear" w:color="auto" w:fill="FFFFFF"/>
            <w:tcMar>
              <w:top w:w="40" w:type="dxa"/>
              <w:left w:w="100" w:type="dxa"/>
              <w:bottom w:w="40" w:type="dxa"/>
              <w:right w:w="100" w:type="dxa"/>
            </w:tcMar>
            <w:vAlign w:val="center"/>
          </w:tcPr>
          <w:p w14:paraId="635B64A2" w14:textId="77777777" w:rsidR="003B07C8" w:rsidRDefault="00000000">
            <w:pPr>
              <w:spacing w:before="20" w:after="20"/>
              <w:jc w:val="right"/>
            </w:pPr>
            <w:r>
              <w:rPr>
                <w:color w:val="1A1A1A"/>
                <w:sz w:val="18"/>
                <w:szCs w:val="18"/>
              </w:rPr>
              <w:t>4.7%</w:t>
            </w:r>
          </w:p>
        </w:tc>
        <w:tc>
          <w:tcPr>
            <w:tcW w:w="2200" w:type="dxa"/>
            <w:shd w:val="clear" w:color="auto" w:fill="FFFFFF"/>
            <w:tcMar>
              <w:top w:w="40" w:type="dxa"/>
              <w:left w:w="100" w:type="dxa"/>
              <w:bottom w:w="40" w:type="dxa"/>
              <w:right w:w="100" w:type="dxa"/>
            </w:tcMar>
            <w:vAlign w:val="center"/>
          </w:tcPr>
          <w:p w14:paraId="44307836" w14:textId="77777777" w:rsidR="003B07C8" w:rsidRDefault="00000000">
            <w:pPr>
              <w:spacing w:before="20" w:after="20"/>
              <w:jc w:val="right"/>
            </w:pPr>
            <w:r>
              <w:rPr>
                <w:color w:val="1A1A1A"/>
                <w:sz w:val="18"/>
                <w:szCs w:val="18"/>
              </w:rPr>
              <w:t>3.4%</w:t>
            </w:r>
          </w:p>
        </w:tc>
      </w:tr>
      <w:tr w:rsidR="003B07C8" w14:paraId="782284C9" w14:textId="77777777">
        <w:tc>
          <w:tcPr>
            <w:tcW w:w="3480" w:type="dxa"/>
            <w:shd w:val="clear" w:color="auto" w:fill="FFFFFF"/>
            <w:tcMar>
              <w:top w:w="40" w:type="dxa"/>
              <w:left w:w="100" w:type="dxa"/>
              <w:bottom w:w="40" w:type="dxa"/>
              <w:right w:w="100" w:type="dxa"/>
            </w:tcMar>
            <w:vAlign w:val="center"/>
          </w:tcPr>
          <w:p w14:paraId="6A0349B5" w14:textId="77777777" w:rsidR="003B07C8" w:rsidRDefault="00000000">
            <w:pPr>
              <w:spacing w:before="20" w:after="20"/>
            </w:pPr>
            <w:r>
              <w:rPr>
                <w:color w:val="1A1A1A"/>
                <w:sz w:val="18"/>
                <w:szCs w:val="18"/>
              </w:rPr>
              <w:t>Cost-to-Income Ratio (CIR)</w:t>
            </w:r>
          </w:p>
        </w:tc>
        <w:tc>
          <w:tcPr>
            <w:tcW w:w="2200" w:type="dxa"/>
            <w:shd w:val="clear" w:color="auto" w:fill="FFFFFF"/>
            <w:tcMar>
              <w:top w:w="40" w:type="dxa"/>
              <w:left w:w="100" w:type="dxa"/>
              <w:bottom w:w="40" w:type="dxa"/>
              <w:right w:w="100" w:type="dxa"/>
            </w:tcMar>
            <w:vAlign w:val="center"/>
          </w:tcPr>
          <w:p w14:paraId="1B2F8497" w14:textId="77777777" w:rsidR="003B07C8" w:rsidRDefault="00000000">
            <w:pPr>
              <w:spacing w:before="20" w:after="20"/>
              <w:jc w:val="right"/>
            </w:pPr>
            <w:r>
              <w:rPr>
                <w:b/>
                <w:bCs/>
                <w:color w:val="1A1A1A"/>
                <w:sz w:val="18"/>
                <w:szCs w:val="18"/>
              </w:rPr>
              <w:t>~29%</w:t>
            </w:r>
          </w:p>
        </w:tc>
        <w:tc>
          <w:tcPr>
            <w:tcW w:w="2200" w:type="dxa"/>
            <w:shd w:val="clear" w:color="auto" w:fill="FFFFFF"/>
            <w:tcMar>
              <w:top w:w="40" w:type="dxa"/>
              <w:left w:w="100" w:type="dxa"/>
              <w:bottom w:w="40" w:type="dxa"/>
              <w:right w:w="100" w:type="dxa"/>
            </w:tcMar>
            <w:vAlign w:val="center"/>
          </w:tcPr>
          <w:p w14:paraId="08FE548C" w14:textId="77777777" w:rsidR="003B07C8" w:rsidRDefault="00000000">
            <w:pPr>
              <w:spacing w:before="20" w:after="20"/>
              <w:jc w:val="right"/>
            </w:pPr>
            <w:r>
              <w:rPr>
                <w:color w:val="1A1A1A"/>
                <w:sz w:val="18"/>
                <w:szCs w:val="18"/>
              </w:rPr>
              <w:t>20.7%</w:t>
            </w:r>
          </w:p>
        </w:tc>
        <w:tc>
          <w:tcPr>
            <w:tcW w:w="2200" w:type="dxa"/>
            <w:shd w:val="clear" w:color="auto" w:fill="FFFFFF"/>
            <w:tcMar>
              <w:top w:w="40" w:type="dxa"/>
              <w:left w:w="100" w:type="dxa"/>
              <w:bottom w:w="40" w:type="dxa"/>
              <w:right w:w="100" w:type="dxa"/>
            </w:tcMar>
            <w:vAlign w:val="center"/>
          </w:tcPr>
          <w:p w14:paraId="1FFE4179" w14:textId="77777777" w:rsidR="003B07C8" w:rsidRDefault="00000000">
            <w:pPr>
              <w:spacing w:before="20" w:after="20"/>
              <w:jc w:val="right"/>
            </w:pPr>
            <w:r>
              <w:rPr>
                <w:color w:val="1A1A1A"/>
                <w:sz w:val="18"/>
                <w:szCs w:val="18"/>
              </w:rPr>
              <w:t>63.6%</w:t>
            </w:r>
          </w:p>
        </w:tc>
      </w:tr>
      <w:tr w:rsidR="003B07C8" w14:paraId="24E5C20D" w14:textId="77777777">
        <w:tc>
          <w:tcPr>
            <w:tcW w:w="3480" w:type="dxa"/>
            <w:shd w:val="clear" w:color="auto" w:fill="FFFFFF"/>
            <w:tcMar>
              <w:top w:w="40" w:type="dxa"/>
              <w:left w:w="100" w:type="dxa"/>
              <w:bottom w:w="40" w:type="dxa"/>
              <w:right w:w="100" w:type="dxa"/>
            </w:tcMar>
            <w:vAlign w:val="center"/>
          </w:tcPr>
          <w:p w14:paraId="5F4D1E4F" w14:textId="77777777" w:rsidR="003B07C8" w:rsidRDefault="00000000">
            <w:pPr>
              <w:spacing w:before="20" w:after="20"/>
            </w:pPr>
            <w:r>
              <w:rPr>
                <w:color w:val="1A1A1A"/>
                <w:sz w:val="18"/>
                <w:szCs w:val="18"/>
              </w:rPr>
              <w:t>Return on Equity (ROE, ann.)</w:t>
            </w:r>
          </w:p>
        </w:tc>
        <w:tc>
          <w:tcPr>
            <w:tcW w:w="2200" w:type="dxa"/>
            <w:shd w:val="clear" w:color="auto" w:fill="FFFFFF"/>
            <w:tcMar>
              <w:top w:w="40" w:type="dxa"/>
              <w:left w:w="100" w:type="dxa"/>
              <w:bottom w:w="40" w:type="dxa"/>
              <w:right w:w="100" w:type="dxa"/>
            </w:tcMar>
            <w:vAlign w:val="center"/>
          </w:tcPr>
          <w:p w14:paraId="2C90B051" w14:textId="77777777" w:rsidR="003B07C8" w:rsidRDefault="00000000">
            <w:pPr>
              <w:spacing w:before="20" w:after="20"/>
              <w:jc w:val="right"/>
            </w:pPr>
            <w:r>
              <w:rPr>
                <w:b/>
                <w:bCs/>
                <w:color w:val="1A1A1A"/>
                <w:sz w:val="18"/>
                <w:szCs w:val="18"/>
              </w:rPr>
              <w:t>15.7%</w:t>
            </w:r>
          </w:p>
        </w:tc>
        <w:tc>
          <w:tcPr>
            <w:tcW w:w="2200" w:type="dxa"/>
            <w:shd w:val="clear" w:color="auto" w:fill="FFFFFF"/>
            <w:tcMar>
              <w:top w:w="40" w:type="dxa"/>
              <w:left w:w="100" w:type="dxa"/>
              <w:bottom w:w="40" w:type="dxa"/>
              <w:right w:w="100" w:type="dxa"/>
            </w:tcMar>
            <w:vAlign w:val="center"/>
          </w:tcPr>
          <w:p w14:paraId="45C8D151" w14:textId="77777777" w:rsidR="003B07C8" w:rsidRDefault="00000000">
            <w:pPr>
              <w:spacing w:before="20" w:after="20"/>
              <w:jc w:val="right"/>
            </w:pPr>
            <w:r>
              <w:rPr>
                <w:color w:val="1A1A1A"/>
                <w:sz w:val="18"/>
                <w:szCs w:val="18"/>
              </w:rPr>
              <w:t>14.6%</w:t>
            </w:r>
          </w:p>
        </w:tc>
        <w:tc>
          <w:tcPr>
            <w:tcW w:w="2200" w:type="dxa"/>
            <w:shd w:val="clear" w:color="auto" w:fill="FFFFFF"/>
            <w:tcMar>
              <w:top w:w="40" w:type="dxa"/>
              <w:left w:w="100" w:type="dxa"/>
              <w:bottom w:w="40" w:type="dxa"/>
              <w:right w:w="100" w:type="dxa"/>
            </w:tcMar>
            <w:vAlign w:val="center"/>
          </w:tcPr>
          <w:p w14:paraId="4412EB9D" w14:textId="77777777" w:rsidR="003B07C8" w:rsidRDefault="00000000">
            <w:pPr>
              <w:spacing w:before="20" w:after="20"/>
              <w:jc w:val="right"/>
            </w:pPr>
            <w:r>
              <w:rPr>
                <w:color w:val="1A1A1A"/>
                <w:sz w:val="18"/>
                <w:szCs w:val="18"/>
              </w:rPr>
              <w:t>0.9%</w:t>
            </w:r>
          </w:p>
        </w:tc>
      </w:tr>
      <w:tr w:rsidR="003B07C8" w14:paraId="3CCF8B8A" w14:textId="77777777">
        <w:tc>
          <w:tcPr>
            <w:tcW w:w="3480" w:type="dxa"/>
            <w:shd w:val="clear" w:color="auto" w:fill="FFFFFF"/>
            <w:tcMar>
              <w:top w:w="40" w:type="dxa"/>
              <w:left w:w="100" w:type="dxa"/>
              <w:bottom w:w="40" w:type="dxa"/>
              <w:right w:w="100" w:type="dxa"/>
            </w:tcMar>
            <w:vAlign w:val="center"/>
          </w:tcPr>
          <w:p w14:paraId="1D52224D" w14:textId="77777777" w:rsidR="003B07C8" w:rsidRDefault="00000000">
            <w:pPr>
              <w:spacing w:before="20" w:after="20"/>
            </w:pPr>
            <w:r>
              <w:rPr>
                <w:color w:val="1A1A1A"/>
                <w:sz w:val="18"/>
                <w:szCs w:val="18"/>
              </w:rPr>
              <w:t>Return on Assets (ROA, ann.)</w:t>
            </w:r>
          </w:p>
        </w:tc>
        <w:tc>
          <w:tcPr>
            <w:tcW w:w="2200" w:type="dxa"/>
            <w:shd w:val="clear" w:color="auto" w:fill="FFFFFF"/>
            <w:tcMar>
              <w:top w:w="40" w:type="dxa"/>
              <w:left w:w="100" w:type="dxa"/>
              <w:bottom w:w="40" w:type="dxa"/>
              <w:right w:w="100" w:type="dxa"/>
            </w:tcMar>
            <w:vAlign w:val="center"/>
          </w:tcPr>
          <w:p w14:paraId="72FA9293" w14:textId="77777777" w:rsidR="003B07C8" w:rsidRDefault="00000000">
            <w:pPr>
              <w:spacing w:before="20" w:after="20"/>
              <w:jc w:val="right"/>
            </w:pPr>
            <w:r>
              <w:rPr>
                <w:b/>
                <w:bCs/>
                <w:color w:val="1A1A1A"/>
                <w:sz w:val="18"/>
                <w:szCs w:val="18"/>
              </w:rPr>
              <w:t>2.3%</w:t>
            </w:r>
          </w:p>
        </w:tc>
        <w:tc>
          <w:tcPr>
            <w:tcW w:w="2200" w:type="dxa"/>
            <w:shd w:val="clear" w:color="auto" w:fill="FFFFFF"/>
            <w:tcMar>
              <w:top w:w="40" w:type="dxa"/>
              <w:left w:w="100" w:type="dxa"/>
              <w:bottom w:w="40" w:type="dxa"/>
              <w:right w:w="100" w:type="dxa"/>
            </w:tcMar>
            <w:vAlign w:val="center"/>
          </w:tcPr>
          <w:p w14:paraId="11D610DC" w14:textId="77777777" w:rsidR="003B07C8" w:rsidRDefault="00000000">
            <w:pPr>
              <w:spacing w:before="20" w:after="20"/>
              <w:jc w:val="right"/>
            </w:pPr>
            <w:r>
              <w:rPr>
                <w:color w:val="1A1A1A"/>
                <w:sz w:val="18"/>
                <w:szCs w:val="18"/>
              </w:rPr>
              <w:t>1.5%</w:t>
            </w:r>
          </w:p>
        </w:tc>
        <w:tc>
          <w:tcPr>
            <w:tcW w:w="2200" w:type="dxa"/>
            <w:shd w:val="clear" w:color="auto" w:fill="FFFFFF"/>
            <w:tcMar>
              <w:top w:w="40" w:type="dxa"/>
              <w:left w:w="100" w:type="dxa"/>
              <w:bottom w:w="40" w:type="dxa"/>
              <w:right w:w="100" w:type="dxa"/>
            </w:tcMar>
            <w:vAlign w:val="center"/>
          </w:tcPr>
          <w:p w14:paraId="5C517A59" w14:textId="77777777" w:rsidR="003B07C8" w:rsidRDefault="00000000">
            <w:pPr>
              <w:spacing w:before="20" w:after="20"/>
              <w:jc w:val="right"/>
            </w:pPr>
            <w:r>
              <w:rPr>
                <w:color w:val="1A1A1A"/>
                <w:sz w:val="18"/>
                <w:szCs w:val="18"/>
              </w:rPr>
              <w:t>0.12%</w:t>
            </w:r>
          </w:p>
        </w:tc>
      </w:tr>
      <w:tr w:rsidR="003B07C8" w14:paraId="1B11F1C2" w14:textId="77777777">
        <w:tc>
          <w:tcPr>
            <w:tcW w:w="10080" w:type="dxa"/>
            <w:gridSpan w:val="4"/>
            <w:shd w:val="clear" w:color="auto" w:fill="EDF2F7"/>
            <w:tcMar>
              <w:top w:w="40" w:type="dxa"/>
              <w:left w:w="100" w:type="dxa"/>
              <w:bottom w:w="40" w:type="dxa"/>
              <w:right w:w="100" w:type="dxa"/>
            </w:tcMar>
            <w:vAlign w:val="center"/>
          </w:tcPr>
          <w:p w14:paraId="0128F37F" w14:textId="77777777" w:rsidR="003B07C8" w:rsidRDefault="00000000">
            <w:pPr>
              <w:spacing w:before="20" w:after="20"/>
            </w:pPr>
            <w:r>
              <w:rPr>
                <w:b/>
                <w:bCs/>
                <w:color w:val="1A3A5C"/>
                <w:sz w:val="18"/>
                <w:szCs w:val="18"/>
              </w:rPr>
              <w:t>Asset Quality</w:t>
            </w:r>
          </w:p>
        </w:tc>
      </w:tr>
      <w:tr w:rsidR="003B07C8" w14:paraId="630F4555" w14:textId="77777777">
        <w:tc>
          <w:tcPr>
            <w:tcW w:w="3480" w:type="dxa"/>
            <w:shd w:val="clear" w:color="auto" w:fill="FFFFFF"/>
            <w:tcMar>
              <w:top w:w="40" w:type="dxa"/>
              <w:left w:w="100" w:type="dxa"/>
              <w:bottom w:w="40" w:type="dxa"/>
              <w:right w:w="100" w:type="dxa"/>
            </w:tcMar>
            <w:vAlign w:val="center"/>
          </w:tcPr>
          <w:p w14:paraId="1A744FCF" w14:textId="77777777" w:rsidR="003B07C8" w:rsidRDefault="00000000">
            <w:pPr>
              <w:spacing w:before="20" w:after="20"/>
            </w:pPr>
            <w:r>
              <w:rPr>
                <w:color w:val="1A1A1A"/>
                <w:sz w:val="18"/>
                <w:szCs w:val="18"/>
              </w:rPr>
              <w:t>NPL ratio (Stage 3 / gross loans)</w:t>
            </w:r>
          </w:p>
        </w:tc>
        <w:tc>
          <w:tcPr>
            <w:tcW w:w="2200" w:type="dxa"/>
            <w:shd w:val="clear" w:color="auto" w:fill="FFFFFF"/>
            <w:tcMar>
              <w:top w:w="40" w:type="dxa"/>
              <w:left w:w="100" w:type="dxa"/>
              <w:bottom w:w="40" w:type="dxa"/>
              <w:right w:w="100" w:type="dxa"/>
            </w:tcMar>
            <w:vAlign w:val="center"/>
          </w:tcPr>
          <w:p w14:paraId="7B267D3E" w14:textId="77777777" w:rsidR="003B07C8" w:rsidRDefault="00000000">
            <w:pPr>
              <w:spacing w:before="20" w:after="20"/>
              <w:jc w:val="right"/>
            </w:pPr>
            <w:r>
              <w:rPr>
                <w:b/>
                <w:bCs/>
                <w:color w:val="1A1A1A"/>
                <w:sz w:val="18"/>
                <w:szCs w:val="18"/>
              </w:rPr>
              <w:t>4.2%¹</w:t>
            </w:r>
          </w:p>
        </w:tc>
        <w:tc>
          <w:tcPr>
            <w:tcW w:w="2200" w:type="dxa"/>
            <w:shd w:val="clear" w:color="auto" w:fill="FFFFFF"/>
            <w:tcMar>
              <w:top w:w="40" w:type="dxa"/>
              <w:left w:w="100" w:type="dxa"/>
              <w:bottom w:w="40" w:type="dxa"/>
              <w:right w:w="100" w:type="dxa"/>
            </w:tcMar>
            <w:vAlign w:val="center"/>
          </w:tcPr>
          <w:p w14:paraId="0E9FAF32" w14:textId="77777777" w:rsidR="003B07C8" w:rsidRDefault="00000000">
            <w:pPr>
              <w:spacing w:before="20" w:after="20"/>
              <w:jc w:val="right"/>
            </w:pPr>
            <w:r>
              <w:rPr>
                <w:color w:val="1A1A1A"/>
                <w:sz w:val="18"/>
                <w:szCs w:val="18"/>
              </w:rPr>
              <w:t>2.8%</w:t>
            </w:r>
          </w:p>
        </w:tc>
        <w:tc>
          <w:tcPr>
            <w:tcW w:w="2200" w:type="dxa"/>
            <w:shd w:val="clear" w:color="auto" w:fill="FFFFFF"/>
            <w:tcMar>
              <w:top w:w="40" w:type="dxa"/>
              <w:left w:w="100" w:type="dxa"/>
              <w:bottom w:w="40" w:type="dxa"/>
              <w:right w:w="100" w:type="dxa"/>
            </w:tcMar>
            <w:vAlign w:val="center"/>
          </w:tcPr>
          <w:p w14:paraId="1F10D02E" w14:textId="77777777" w:rsidR="003B07C8" w:rsidRDefault="00000000">
            <w:pPr>
              <w:spacing w:before="20" w:after="20"/>
              <w:jc w:val="right"/>
            </w:pPr>
            <w:r>
              <w:rPr>
                <w:color w:val="1A1A1A"/>
                <w:sz w:val="18"/>
                <w:szCs w:val="18"/>
              </w:rPr>
              <w:t>5.8%</w:t>
            </w:r>
          </w:p>
        </w:tc>
      </w:tr>
      <w:tr w:rsidR="003B07C8" w14:paraId="37EB140C" w14:textId="77777777">
        <w:tc>
          <w:tcPr>
            <w:tcW w:w="3480" w:type="dxa"/>
            <w:shd w:val="clear" w:color="auto" w:fill="FFFFFF"/>
            <w:tcMar>
              <w:top w:w="40" w:type="dxa"/>
              <w:left w:w="100" w:type="dxa"/>
              <w:bottom w:w="40" w:type="dxa"/>
              <w:right w:w="100" w:type="dxa"/>
            </w:tcMar>
            <w:vAlign w:val="center"/>
          </w:tcPr>
          <w:p w14:paraId="5BE3B8CD" w14:textId="77777777" w:rsidR="003B07C8" w:rsidRDefault="00000000">
            <w:pPr>
              <w:spacing w:before="20" w:after="20"/>
            </w:pPr>
            <w:r>
              <w:rPr>
                <w:color w:val="1A1A1A"/>
                <w:sz w:val="18"/>
                <w:szCs w:val="18"/>
              </w:rPr>
              <w:t>NPL provision coverage (ECL / Stage 3)</w:t>
            </w:r>
          </w:p>
        </w:tc>
        <w:tc>
          <w:tcPr>
            <w:tcW w:w="2200" w:type="dxa"/>
            <w:shd w:val="clear" w:color="auto" w:fill="FFFFFF"/>
            <w:tcMar>
              <w:top w:w="40" w:type="dxa"/>
              <w:left w:w="100" w:type="dxa"/>
              <w:bottom w:w="40" w:type="dxa"/>
              <w:right w:w="100" w:type="dxa"/>
            </w:tcMar>
            <w:vAlign w:val="center"/>
          </w:tcPr>
          <w:p w14:paraId="4A357207" w14:textId="77777777" w:rsidR="003B07C8" w:rsidRDefault="00000000">
            <w:pPr>
              <w:spacing w:before="20" w:after="20"/>
              <w:jc w:val="right"/>
            </w:pPr>
            <w:r>
              <w:rPr>
                <w:b/>
                <w:bCs/>
                <w:color w:val="1A1A1A"/>
                <w:sz w:val="18"/>
                <w:szCs w:val="18"/>
              </w:rPr>
              <w:t>~100%</w:t>
            </w:r>
          </w:p>
        </w:tc>
        <w:tc>
          <w:tcPr>
            <w:tcW w:w="2200" w:type="dxa"/>
            <w:shd w:val="clear" w:color="auto" w:fill="FFFFFF"/>
            <w:tcMar>
              <w:top w:w="40" w:type="dxa"/>
              <w:left w:w="100" w:type="dxa"/>
              <w:bottom w:w="40" w:type="dxa"/>
              <w:right w:w="100" w:type="dxa"/>
            </w:tcMar>
            <w:vAlign w:val="center"/>
          </w:tcPr>
          <w:p w14:paraId="7F646369" w14:textId="77777777" w:rsidR="003B07C8" w:rsidRDefault="00000000">
            <w:pPr>
              <w:spacing w:before="20" w:after="20"/>
              <w:jc w:val="right"/>
            </w:pPr>
            <w:r>
              <w:rPr>
                <w:color w:val="1A1A1A"/>
                <w:sz w:val="18"/>
                <w:szCs w:val="18"/>
              </w:rPr>
              <w:t>119.6%</w:t>
            </w:r>
          </w:p>
        </w:tc>
        <w:tc>
          <w:tcPr>
            <w:tcW w:w="2200" w:type="dxa"/>
            <w:shd w:val="clear" w:color="auto" w:fill="FFFFFF"/>
            <w:tcMar>
              <w:top w:w="40" w:type="dxa"/>
              <w:left w:w="100" w:type="dxa"/>
              <w:bottom w:w="40" w:type="dxa"/>
              <w:right w:w="100" w:type="dxa"/>
            </w:tcMar>
            <w:vAlign w:val="center"/>
          </w:tcPr>
          <w:p w14:paraId="4946B06D" w14:textId="77777777" w:rsidR="003B07C8" w:rsidRDefault="00000000">
            <w:pPr>
              <w:spacing w:before="20" w:after="20"/>
              <w:jc w:val="right"/>
            </w:pPr>
            <w:r>
              <w:rPr>
                <w:color w:val="1A1A1A"/>
                <w:sz w:val="18"/>
                <w:szCs w:val="18"/>
              </w:rPr>
              <w:t>53.8%</w:t>
            </w:r>
          </w:p>
        </w:tc>
      </w:tr>
      <w:tr w:rsidR="003B07C8" w14:paraId="7E670C6D" w14:textId="77777777">
        <w:tc>
          <w:tcPr>
            <w:tcW w:w="10080" w:type="dxa"/>
            <w:gridSpan w:val="4"/>
            <w:shd w:val="clear" w:color="auto" w:fill="EDF2F7"/>
            <w:tcMar>
              <w:top w:w="40" w:type="dxa"/>
              <w:left w:w="100" w:type="dxa"/>
              <w:bottom w:w="40" w:type="dxa"/>
              <w:right w:w="100" w:type="dxa"/>
            </w:tcMar>
            <w:vAlign w:val="center"/>
          </w:tcPr>
          <w:p w14:paraId="506CF104" w14:textId="77777777" w:rsidR="003B07C8" w:rsidRDefault="00000000">
            <w:pPr>
              <w:spacing w:before="20" w:after="20"/>
            </w:pPr>
            <w:r>
              <w:rPr>
                <w:b/>
                <w:bCs/>
                <w:color w:val="1A3A5C"/>
                <w:sz w:val="18"/>
                <w:szCs w:val="18"/>
              </w:rPr>
              <w:t>Capital Adequacy</w:t>
            </w:r>
          </w:p>
        </w:tc>
      </w:tr>
      <w:tr w:rsidR="003B07C8" w14:paraId="159EA549" w14:textId="77777777">
        <w:tc>
          <w:tcPr>
            <w:tcW w:w="3480" w:type="dxa"/>
            <w:shd w:val="clear" w:color="auto" w:fill="FFFFFF"/>
            <w:tcMar>
              <w:top w:w="40" w:type="dxa"/>
              <w:left w:w="100" w:type="dxa"/>
              <w:bottom w:w="40" w:type="dxa"/>
              <w:right w:w="100" w:type="dxa"/>
            </w:tcMar>
            <w:vAlign w:val="center"/>
          </w:tcPr>
          <w:p w14:paraId="5254B9F7" w14:textId="77777777" w:rsidR="003B07C8" w:rsidRDefault="00000000">
            <w:pPr>
              <w:spacing w:before="20" w:after="20"/>
            </w:pPr>
            <w:r>
              <w:rPr>
                <w:color w:val="1A1A1A"/>
                <w:sz w:val="18"/>
                <w:szCs w:val="18"/>
              </w:rPr>
              <w:t>Tier 1 Capital Ratio</w:t>
            </w:r>
          </w:p>
        </w:tc>
        <w:tc>
          <w:tcPr>
            <w:tcW w:w="2200" w:type="dxa"/>
            <w:shd w:val="clear" w:color="auto" w:fill="FFFFFF"/>
            <w:tcMar>
              <w:top w:w="40" w:type="dxa"/>
              <w:left w:w="100" w:type="dxa"/>
              <w:bottom w:w="40" w:type="dxa"/>
              <w:right w:w="100" w:type="dxa"/>
            </w:tcMar>
            <w:vAlign w:val="center"/>
          </w:tcPr>
          <w:p w14:paraId="176F290D" w14:textId="77777777" w:rsidR="003B07C8" w:rsidRDefault="00000000">
            <w:pPr>
              <w:spacing w:before="20" w:after="20"/>
              <w:jc w:val="right"/>
            </w:pPr>
            <w:r>
              <w:rPr>
                <w:b/>
                <w:bCs/>
                <w:color w:val="1A1A1A"/>
                <w:sz w:val="18"/>
                <w:szCs w:val="18"/>
              </w:rPr>
              <w:t>16.9%</w:t>
            </w:r>
          </w:p>
        </w:tc>
        <w:tc>
          <w:tcPr>
            <w:tcW w:w="2200" w:type="dxa"/>
            <w:shd w:val="clear" w:color="auto" w:fill="FFFFFF"/>
            <w:tcMar>
              <w:top w:w="40" w:type="dxa"/>
              <w:left w:w="100" w:type="dxa"/>
              <w:bottom w:w="40" w:type="dxa"/>
              <w:right w:w="100" w:type="dxa"/>
            </w:tcMar>
            <w:vAlign w:val="center"/>
          </w:tcPr>
          <w:p w14:paraId="1E8695EA" w14:textId="77777777" w:rsidR="003B07C8" w:rsidRDefault="00000000">
            <w:pPr>
              <w:spacing w:before="20" w:after="20"/>
              <w:jc w:val="right"/>
            </w:pPr>
            <w:r>
              <w:rPr>
                <w:color w:val="1A1A1A"/>
                <w:sz w:val="18"/>
                <w:szCs w:val="18"/>
              </w:rPr>
              <w:t>10.6%</w:t>
            </w:r>
          </w:p>
        </w:tc>
        <w:tc>
          <w:tcPr>
            <w:tcW w:w="2200" w:type="dxa"/>
            <w:shd w:val="clear" w:color="auto" w:fill="FFFFFF"/>
            <w:tcMar>
              <w:top w:w="40" w:type="dxa"/>
              <w:left w:w="100" w:type="dxa"/>
              <w:bottom w:w="40" w:type="dxa"/>
              <w:right w:w="100" w:type="dxa"/>
            </w:tcMar>
            <w:vAlign w:val="center"/>
          </w:tcPr>
          <w:p w14:paraId="2C3202B5" w14:textId="77777777" w:rsidR="003B07C8" w:rsidRDefault="00000000">
            <w:pPr>
              <w:spacing w:before="20" w:after="20"/>
              <w:jc w:val="right"/>
            </w:pPr>
            <w:r>
              <w:rPr>
                <w:color w:val="1A1A1A"/>
                <w:sz w:val="18"/>
                <w:szCs w:val="18"/>
              </w:rPr>
              <w:t>13.2%</w:t>
            </w:r>
          </w:p>
        </w:tc>
      </w:tr>
      <w:tr w:rsidR="003B07C8" w14:paraId="15A265F8" w14:textId="77777777">
        <w:tc>
          <w:tcPr>
            <w:tcW w:w="3480" w:type="dxa"/>
            <w:shd w:val="clear" w:color="auto" w:fill="FFFFFF"/>
            <w:tcMar>
              <w:top w:w="40" w:type="dxa"/>
              <w:left w:w="100" w:type="dxa"/>
              <w:bottom w:w="40" w:type="dxa"/>
              <w:right w:w="100" w:type="dxa"/>
            </w:tcMar>
            <w:vAlign w:val="center"/>
          </w:tcPr>
          <w:p w14:paraId="02379899" w14:textId="77777777" w:rsidR="003B07C8" w:rsidRDefault="00000000">
            <w:pPr>
              <w:spacing w:before="20" w:after="20"/>
            </w:pPr>
            <w:r>
              <w:rPr>
                <w:color w:val="1A1A1A"/>
                <w:sz w:val="18"/>
                <w:szCs w:val="18"/>
              </w:rPr>
              <w:t>Total Capital Adequacy Ratio (CAR)</w:t>
            </w:r>
          </w:p>
        </w:tc>
        <w:tc>
          <w:tcPr>
            <w:tcW w:w="2200" w:type="dxa"/>
            <w:shd w:val="clear" w:color="auto" w:fill="FFFFFF"/>
            <w:tcMar>
              <w:top w:w="40" w:type="dxa"/>
              <w:left w:w="100" w:type="dxa"/>
              <w:bottom w:w="40" w:type="dxa"/>
              <w:right w:w="100" w:type="dxa"/>
            </w:tcMar>
            <w:vAlign w:val="center"/>
          </w:tcPr>
          <w:p w14:paraId="29E5C61A" w14:textId="77777777" w:rsidR="003B07C8" w:rsidRDefault="00000000">
            <w:pPr>
              <w:spacing w:before="20" w:after="20"/>
              <w:jc w:val="right"/>
            </w:pPr>
            <w:r>
              <w:rPr>
                <w:b/>
                <w:bCs/>
                <w:color w:val="1A1A1A"/>
                <w:sz w:val="18"/>
                <w:szCs w:val="18"/>
              </w:rPr>
              <w:t>18.2%</w:t>
            </w:r>
          </w:p>
        </w:tc>
        <w:tc>
          <w:tcPr>
            <w:tcW w:w="2200" w:type="dxa"/>
            <w:shd w:val="clear" w:color="auto" w:fill="FFFFFF"/>
            <w:tcMar>
              <w:top w:w="40" w:type="dxa"/>
              <w:left w:w="100" w:type="dxa"/>
              <w:bottom w:w="40" w:type="dxa"/>
              <w:right w:w="100" w:type="dxa"/>
            </w:tcMar>
            <w:vAlign w:val="center"/>
          </w:tcPr>
          <w:p w14:paraId="6EEDA6D7" w14:textId="77777777" w:rsidR="003B07C8" w:rsidRDefault="00000000">
            <w:pPr>
              <w:spacing w:before="20" w:after="20"/>
              <w:jc w:val="right"/>
            </w:pPr>
            <w:r>
              <w:rPr>
                <w:color w:val="1A1A1A"/>
                <w:sz w:val="18"/>
                <w:szCs w:val="18"/>
              </w:rPr>
              <w:t>15.2%</w:t>
            </w:r>
          </w:p>
        </w:tc>
        <w:tc>
          <w:tcPr>
            <w:tcW w:w="2200" w:type="dxa"/>
            <w:shd w:val="clear" w:color="auto" w:fill="FFFFFF"/>
            <w:tcMar>
              <w:top w:w="40" w:type="dxa"/>
              <w:left w:w="100" w:type="dxa"/>
              <w:bottom w:w="40" w:type="dxa"/>
              <w:right w:w="100" w:type="dxa"/>
            </w:tcMar>
            <w:vAlign w:val="center"/>
          </w:tcPr>
          <w:p w14:paraId="2E267D51" w14:textId="77777777" w:rsidR="003B07C8" w:rsidRDefault="00000000">
            <w:pPr>
              <w:spacing w:before="20" w:after="20"/>
              <w:jc w:val="right"/>
            </w:pPr>
            <w:r>
              <w:rPr>
                <w:color w:val="1A1A1A"/>
                <w:sz w:val="18"/>
                <w:szCs w:val="18"/>
              </w:rPr>
              <w:t>14.2%</w:t>
            </w:r>
          </w:p>
        </w:tc>
      </w:tr>
      <w:tr w:rsidR="003B07C8" w14:paraId="4C6D8655" w14:textId="77777777">
        <w:tc>
          <w:tcPr>
            <w:tcW w:w="3480" w:type="dxa"/>
            <w:shd w:val="clear" w:color="auto" w:fill="FFFFFF"/>
            <w:tcMar>
              <w:top w:w="40" w:type="dxa"/>
              <w:left w:w="100" w:type="dxa"/>
              <w:bottom w:w="40" w:type="dxa"/>
              <w:right w:w="100" w:type="dxa"/>
            </w:tcMar>
            <w:vAlign w:val="center"/>
          </w:tcPr>
          <w:p w14:paraId="122E90E5" w14:textId="77777777" w:rsidR="003B07C8" w:rsidRDefault="00000000">
            <w:pPr>
              <w:spacing w:before="20" w:after="20"/>
            </w:pPr>
            <w:r>
              <w:rPr>
                <w:color w:val="1A1A1A"/>
                <w:sz w:val="18"/>
                <w:szCs w:val="18"/>
              </w:rPr>
              <w:t>Leverage Ratio (Tier 1 / assets)</w:t>
            </w:r>
          </w:p>
        </w:tc>
        <w:tc>
          <w:tcPr>
            <w:tcW w:w="2200" w:type="dxa"/>
            <w:shd w:val="clear" w:color="auto" w:fill="FFFFFF"/>
            <w:tcMar>
              <w:top w:w="40" w:type="dxa"/>
              <w:left w:w="100" w:type="dxa"/>
              <w:bottom w:w="40" w:type="dxa"/>
              <w:right w:w="100" w:type="dxa"/>
            </w:tcMar>
            <w:vAlign w:val="center"/>
          </w:tcPr>
          <w:p w14:paraId="1F7964B4" w14:textId="77777777" w:rsidR="003B07C8" w:rsidRDefault="00000000">
            <w:pPr>
              <w:spacing w:before="20" w:after="20"/>
              <w:jc w:val="right"/>
            </w:pPr>
            <w:r>
              <w:rPr>
                <w:b/>
                <w:bCs/>
                <w:color w:val="1A1A1A"/>
                <w:sz w:val="18"/>
                <w:szCs w:val="18"/>
              </w:rPr>
              <w:t>13.8%</w:t>
            </w:r>
          </w:p>
        </w:tc>
        <w:tc>
          <w:tcPr>
            <w:tcW w:w="2200" w:type="dxa"/>
            <w:shd w:val="clear" w:color="auto" w:fill="FFFFFF"/>
            <w:tcMar>
              <w:top w:w="40" w:type="dxa"/>
              <w:left w:w="100" w:type="dxa"/>
              <w:bottom w:w="40" w:type="dxa"/>
              <w:right w:w="100" w:type="dxa"/>
            </w:tcMar>
            <w:vAlign w:val="center"/>
          </w:tcPr>
          <w:p w14:paraId="0F191A1F" w14:textId="77777777" w:rsidR="003B07C8" w:rsidRDefault="00000000">
            <w:pPr>
              <w:spacing w:before="20" w:after="20"/>
              <w:jc w:val="right"/>
            </w:pPr>
            <w:r>
              <w:rPr>
                <w:color w:val="1A1A1A"/>
                <w:sz w:val="18"/>
                <w:szCs w:val="18"/>
              </w:rPr>
              <w:t>13.5%</w:t>
            </w:r>
          </w:p>
        </w:tc>
        <w:tc>
          <w:tcPr>
            <w:tcW w:w="2200" w:type="dxa"/>
            <w:shd w:val="clear" w:color="auto" w:fill="FFFFFF"/>
            <w:tcMar>
              <w:top w:w="40" w:type="dxa"/>
              <w:left w:w="100" w:type="dxa"/>
              <w:bottom w:w="40" w:type="dxa"/>
              <w:right w:w="100" w:type="dxa"/>
            </w:tcMar>
            <w:vAlign w:val="center"/>
          </w:tcPr>
          <w:p w14:paraId="510BCABD" w14:textId="77777777" w:rsidR="003B07C8" w:rsidRDefault="00000000">
            <w:pPr>
              <w:spacing w:before="20" w:after="20"/>
              <w:jc w:val="right"/>
            </w:pPr>
            <w:r>
              <w:rPr>
                <w:color w:val="1A1A1A"/>
                <w:sz w:val="18"/>
                <w:szCs w:val="18"/>
              </w:rPr>
              <w:t>14.0%</w:t>
            </w:r>
          </w:p>
        </w:tc>
      </w:tr>
      <w:tr w:rsidR="003B07C8" w14:paraId="1AE464DB" w14:textId="77777777">
        <w:tc>
          <w:tcPr>
            <w:tcW w:w="3480" w:type="dxa"/>
            <w:shd w:val="clear" w:color="auto" w:fill="FFFFFF"/>
            <w:tcMar>
              <w:top w:w="40" w:type="dxa"/>
              <w:left w:w="100" w:type="dxa"/>
              <w:bottom w:w="40" w:type="dxa"/>
              <w:right w:w="100" w:type="dxa"/>
            </w:tcMar>
            <w:vAlign w:val="center"/>
          </w:tcPr>
          <w:p w14:paraId="20C74445" w14:textId="77777777" w:rsidR="003B07C8" w:rsidRDefault="00000000">
            <w:pPr>
              <w:spacing w:before="20" w:after="20"/>
            </w:pPr>
            <w:r>
              <w:rPr>
                <w:color w:val="1A1A1A"/>
                <w:sz w:val="18"/>
                <w:szCs w:val="18"/>
              </w:rPr>
              <w:t>CBU minimum CAR (memo)</w:t>
            </w:r>
          </w:p>
        </w:tc>
        <w:tc>
          <w:tcPr>
            <w:tcW w:w="2200" w:type="dxa"/>
            <w:shd w:val="clear" w:color="auto" w:fill="FFFFFF"/>
            <w:tcMar>
              <w:top w:w="40" w:type="dxa"/>
              <w:left w:w="100" w:type="dxa"/>
              <w:bottom w:w="40" w:type="dxa"/>
              <w:right w:w="100" w:type="dxa"/>
            </w:tcMar>
            <w:vAlign w:val="center"/>
          </w:tcPr>
          <w:p w14:paraId="1792D94B" w14:textId="77777777" w:rsidR="003B07C8" w:rsidRDefault="00000000">
            <w:pPr>
              <w:spacing w:before="20" w:after="20"/>
              <w:jc w:val="right"/>
            </w:pPr>
            <w:r>
              <w:rPr>
                <w:b/>
                <w:bCs/>
                <w:color w:val="1A1A1A"/>
                <w:sz w:val="18"/>
                <w:szCs w:val="18"/>
              </w:rPr>
              <w:t>13%</w:t>
            </w:r>
          </w:p>
        </w:tc>
        <w:tc>
          <w:tcPr>
            <w:tcW w:w="2200" w:type="dxa"/>
            <w:shd w:val="clear" w:color="auto" w:fill="FFFFFF"/>
            <w:tcMar>
              <w:top w:w="40" w:type="dxa"/>
              <w:left w:w="100" w:type="dxa"/>
              <w:bottom w:w="40" w:type="dxa"/>
              <w:right w:w="100" w:type="dxa"/>
            </w:tcMar>
            <w:vAlign w:val="center"/>
          </w:tcPr>
          <w:p w14:paraId="77A6DDFF" w14:textId="77777777" w:rsidR="003B07C8" w:rsidRDefault="00000000">
            <w:pPr>
              <w:spacing w:before="20" w:after="20"/>
              <w:jc w:val="right"/>
            </w:pPr>
            <w:r>
              <w:rPr>
                <w:color w:val="1A1A1A"/>
                <w:sz w:val="18"/>
                <w:szCs w:val="18"/>
              </w:rPr>
              <w:t>13%</w:t>
            </w:r>
          </w:p>
        </w:tc>
        <w:tc>
          <w:tcPr>
            <w:tcW w:w="2200" w:type="dxa"/>
            <w:shd w:val="clear" w:color="auto" w:fill="FFFFFF"/>
            <w:tcMar>
              <w:top w:w="40" w:type="dxa"/>
              <w:left w:w="100" w:type="dxa"/>
              <w:bottom w:w="40" w:type="dxa"/>
              <w:right w:w="100" w:type="dxa"/>
            </w:tcMar>
            <w:vAlign w:val="center"/>
          </w:tcPr>
          <w:p w14:paraId="579F71FA" w14:textId="77777777" w:rsidR="003B07C8" w:rsidRDefault="00000000">
            <w:pPr>
              <w:spacing w:before="20" w:after="20"/>
              <w:jc w:val="right"/>
            </w:pPr>
            <w:r>
              <w:rPr>
                <w:color w:val="1A1A1A"/>
                <w:sz w:val="18"/>
                <w:szCs w:val="18"/>
              </w:rPr>
              <w:t>13%</w:t>
            </w:r>
          </w:p>
        </w:tc>
      </w:tr>
      <w:tr w:rsidR="003B07C8" w14:paraId="14C69112" w14:textId="77777777">
        <w:tc>
          <w:tcPr>
            <w:tcW w:w="10080" w:type="dxa"/>
            <w:gridSpan w:val="4"/>
            <w:shd w:val="clear" w:color="auto" w:fill="EDF2F7"/>
            <w:tcMar>
              <w:top w:w="40" w:type="dxa"/>
              <w:left w:w="100" w:type="dxa"/>
              <w:bottom w:w="40" w:type="dxa"/>
              <w:right w:w="100" w:type="dxa"/>
            </w:tcMar>
            <w:vAlign w:val="center"/>
          </w:tcPr>
          <w:p w14:paraId="46FDE1A7" w14:textId="77777777" w:rsidR="003B07C8" w:rsidRDefault="00000000">
            <w:pPr>
              <w:spacing w:before="20" w:after="20"/>
            </w:pPr>
            <w:r>
              <w:rPr>
                <w:b/>
                <w:bCs/>
                <w:color w:val="1A3A5C"/>
                <w:sz w:val="18"/>
                <w:szCs w:val="18"/>
              </w:rPr>
              <w:t>Liquidity</w:t>
            </w:r>
          </w:p>
        </w:tc>
      </w:tr>
      <w:tr w:rsidR="003B07C8" w14:paraId="12F3DBE4" w14:textId="77777777">
        <w:tc>
          <w:tcPr>
            <w:tcW w:w="3480" w:type="dxa"/>
            <w:shd w:val="clear" w:color="auto" w:fill="FFFFFF"/>
            <w:tcMar>
              <w:top w:w="40" w:type="dxa"/>
              <w:left w:w="100" w:type="dxa"/>
              <w:bottom w:w="40" w:type="dxa"/>
              <w:right w:w="100" w:type="dxa"/>
            </w:tcMar>
            <w:vAlign w:val="center"/>
          </w:tcPr>
          <w:p w14:paraId="20B82B5E" w14:textId="77777777" w:rsidR="003B07C8" w:rsidRDefault="00000000">
            <w:pPr>
              <w:spacing w:before="20" w:after="20"/>
            </w:pPr>
            <w:r>
              <w:rPr>
                <w:color w:val="1A1A1A"/>
                <w:sz w:val="18"/>
                <w:szCs w:val="18"/>
              </w:rPr>
              <w:t>Liquidity Coverage Ratio (LCR)*</w:t>
            </w:r>
          </w:p>
        </w:tc>
        <w:tc>
          <w:tcPr>
            <w:tcW w:w="2200" w:type="dxa"/>
            <w:shd w:val="clear" w:color="auto" w:fill="FFFFFF"/>
            <w:tcMar>
              <w:top w:w="40" w:type="dxa"/>
              <w:left w:w="100" w:type="dxa"/>
              <w:bottom w:w="40" w:type="dxa"/>
              <w:right w:w="100" w:type="dxa"/>
            </w:tcMar>
            <w:vAlign w:val="center"/>
          </w:tcPr>
          <w:p w14:paraId="54648818" w14:textId="77777777" w:rsidR="003B07C8" w:rsidRDefault="00000000">
            <w:pPr>
              <w:spacing w:before="20" w:after="20"/>
              <w:jc w:val="right"/>
            </w:pPr>
            <w:r>
              <w:rPr>
                <w:b/>
                <w:bCs/>
                <w:color w:val="1A1A1A"/>
                <w:sz w:val="18"/>
                <w:szCs w:val="18"/>
              </w:rPr>
              <w:t>~520%</w:t>
            </w:r>
          </w:p>
        </w:tc>
        <w:tc>
          <w:tcPr>
            <w:tcW w:w="2200" w:type="dxa"/>
            <w:shd w:val="clear" w:color="auto" w:fill="FFFFFF"/>
            <w:tcMar>
              <w:top w:w="40" w:type="dxa"/>
              <w:left w:w="100" w:type="dxa"/>
              <w:bottom w:w="40" w:type="dxa"/>
              <w:right w:w="100" w:type="dxa"/>
            </w:tcMar>
            <w:vAlign w:val="center"/>
          </w:tcPr>
          <w:p w14:paraId="2FC5DD7B" w14:textId="77777777" w:rsidR="003B07C8" w:rsidRDefault="00000000">
            <w:pPr>
              <w:spacing w:before="20" w:after="20"/>
              <w:jc w:val="right"/>
            </w:pPr>
            <w:r>
              <w:rPr>
                <w:color w:val="1A1A1A"/>
                <w:sz w:val="18"/>
                <w:szCs w:val="18"/>
              </w:rPr>
              <w:t>86%</w:t>
            </w:r>
          </w:p>
        </w:tc>
        <w:tc>
          <w:tcPr>
            <w:tcW w:w="2200" w:type="dxa"/>
            <w:shd w:val="clear" w:color="auto" w:fill="FFFFFF"/>
            <w:tcMar>
              <w:top w:w="40" w:type="dxa"/>
              <w:left w:w="100" w:type="dxa"/>
              <w:bottom w:w="40" w:type="dxa"/>
              <w:right w:w="100" w:type="dxa"/>
            </w:tcMar>
            <w:vAlign w:val="center"/>
          </w:tcPr>
          <w:p w14:paraId="54CE8C94" w14:textId="77777777" w:rsidR="003B07C8" w:rsidRDefault="00000000">
            <w:pPr>
              <w:spacing w:before="20" w:after="20"/>
              <w:jc w:val="right"/>
            </w:pPr>
            <w:r>
              <w:rPr>
                <w:color w:val="1A1A1A"/>
                <w:sz w:val="18"/>
                <w:szCs w:val="18"/>
              </w:rPr>
              <w:t>78%</w:t>
            </w:r>
          </w:p>
        </w:tc>
      </w:tr>
      <w:tr w:rsidR="003B07C8" w14:paraId="71809422" w14:textId="77777777">
        <w:tc>
          <w:tcPr>
            <w:tcW w:w="3480" w:type="dxa"/>
            <w:shd w:val="clear" w:color="auto" w:fill="FFFFFF"/>
            <w:tcMar>
              <w:top w:w="40" w:type="dxa"/>
              <w:left w:w="100" w:type="dxa"/>
              <w:bottom w:w="40" w:type="dxa"/>
              <w:right w:w="100" w:type="dxa"/>
            </w:tcMar>
            <w:vAlign w:val="center"/>
          </w:tcPr>
          <w:p w14:paraId="3047704D" w14:textId="77777777" w:rsidR="003B07C8" w:rsidRDefault="00000000">
            <w:pPr>
              <w:spacing w:before="20" w:after="20"/>
            </w:pPr>
            <w:r>
              <w:rPr>
                <w:color w:val="1A1A1A"/>
                <w:sz w:val="18"/>
                <w:szCs w:val="18"/>
              </w:rPr>
              <w:t>Net Stable Funding Ratio (NSFR)*</w:t>
            </w:r>
          </w:p>
        </w:tc>
        <w:tc>
          <w:tcPr>
            <w:tcW w:w="2200" w:type="dxa"/>
            <w:shd w:val="clear" w:color="auto" w:fill="FFFFFF"/>
            <w:tcMar>
              <w:top w:w="40" w:type="dxa"/>
              <w:left w:w="100" w:type="dxa"/>
              <w:bottom w:w="40" w:type="dxa"/>
              <w:right w:w="100" w:type="dxa"/>
            </w:tcMar>
            <w:vAlign w:val="center"/>
          </w:tcPr>
          <w:p w14:paraId="3FAC15D6" w14:textId="77777777" w:rsidR="003B07C8" w:rsidRDefault="00000000">
            <w:pPr>
              <w:spacing w:before="20" w:after="20"/>
              <w:jc w:val="right"/>
            </w:pPr>
            <w:r>
              <w:rPr>
                <w:b/>
                <w:bCs/>
                <w:color w:val="1A1A1A"/>
                <w:sz w:val="18"/>
                <w:szCs w:val="18"/>
              </w:rPr>
              <w:t>~115%</w:t>
            </w:r>
          </w:p>
        </w:tc>
        <w:tc>
          <w:tcPr>
            <w:tcW w:w="2200" w:type="dxa"/>
            <w:shd w:val="clear" w:color="auto" w:fill="FFFFFF"/>
            <w:tcMar>
              <w:top w:w="40" w:type="dxa"/>
              <w:left w:w="100" w:type="dxa"/>
              <w:bottom w:w="40" w:type="dxa"/>
              <w:right w:w="100" w:type="dxa"/>
            </w:tcMar>
            <w:vAlign w:val="center"/>
          </w:tcPr>
          <w:p w14:paraId="47CE80BE" w14:textId="77777777" w:rsidR="003B07C8" w:rsidRDefault="00000000">
            <w:pPr>
              <w:spacing w:before="20" w:after="20"/>
              <w:jc w:val="right"/>
            </w:pPr>
            <w:r>
              <w:rPr>
                <w:color w:val="1A1A1A"/>
                <w:sz w:val="18"/>
                <w:szCs w:val="18"/>
              </w:rPr>
              <w:t>97%</w:t>
            </w:r>
          </w:p>
        </w:tc>
        <w:tc>
          <w:tcPr>
            <w:tcW w:w="2200" w:type="dxa"/>
            <w:shd w:val="clear" w:color="auto" w:fill="FFFFFF"/>
            <w:tcMar>
              <w:top w:w="40" w:type="dxa"/>
              <w:left w:w="100" w:type="dxa"/>
              <w:bottom w:w="40" w:type="dxa"/>
              <w:right w:w="100" w:type="dxa"/>
            </w:tcMar>
            <w:vAlign w:val="center"/>
          </w:tcPr>
          <w:p w14:paraId="582DD63C" w14:textId="77777777" w:rsidR="003B07C8" w:rsidRDefault="00000000">
            <w:pPr>
              <w:spacing w:before="20" w:after="20"/>
              <w:jc w:val="right"/>
            </w:pPr>
            <w:r>
              <w:rPr>
                <w:color w:val="1A1A1A"/>
                <w:sz w:val="18"/>
                <w:szCs w:val="18"/>
              </w:rPr>
              <w:t>96%</w:t>
            </w:r>
          </w:p>
        </w:tc>
      </w:tr>
      <w:tr w:rsidR="003B07C8" w14:paraId="43F60113" w14:textId="77777777">
        <w:tc>
          <w:tcPr>
            <w:tcW w:w="3480" w:type="dxa"/>
            <w:shd w:val="clear" w:color="auto" w:fill="FFFFFF"/>
            <w:tcMar>
              <w:top w:w="40" w:type="dxa"/>
              <w:left w:w="100" w:type="dxa"/>
              <w:bottom w:w="40" w:type="dxa"/>
              <w:right w:w="100" w:type="dxa"/>
            </w:tcMar>
            <w:vAlign w:val="center"/>
          </w:tcPr>
          <w:p w14:paraId="6CBFE279" w14:textId="77777777" w:rsidR="003B07C8" w:rsidRDefault="00000000">
            <w:pPr>
              <w:spacing w:before="20" w:after="20"/>
            </w:pPr>
            <w:r>
              <w:rPr>
                <w:color w:val="1A1A1A"/>
                <w:sz w:val="18"/>
                <w:szCs w:val="18"/>
              </w:rPr>
              <w:t>Loan-to-Deposit Ratio (LDR)</w:t>
            </w:r>
          </w:p>
        </w:tc>
        <w:tc>
          <w:tcPr>
            <w:tcW w:w="2200" w:type="dxa"/>
            <w:shd w:val="clear" w:color="auto" w:fill="FFFFFF"/>
            <w:tcMar>
              <w:top w:w="40" w:type="dxa"/>
              <w:left w:w="100" w:type="dxa"/>
              <w:bottom w:w="40" w:type="dxa"/>
              <w:right w:w="100" w:type="dxa"/>
            </w:tcMar>
            <w:vAlign w:val="center"/>
          </w:tcPr>
          <w:p w14:paraId="18601B32" w14:textId="77777777" w:rsidR="003B07C8" w:rsidRDefault="00000000">
            <w:pPr>
              <w:spacing w:before="20" w:after="20"/>
              <w:jc w:val="right"/>
            </w:pPr>
            <w:r>
              <w:rPr>
                <w:b/>
                <w:bCs/>
                <w:color w:val="1A1A1A"/>
                <w:sz w:val="18"/>
                <w:szCs w:val="18"/>
              </w:rPr>
              <w:t>221%</w:t>
            </w:r>
          </w:p>
        </w:tc>
        <w:tc>
          <w:tcPr>
            <w:tcW w:w="2200" w:type="dxa"/>
            <w:shd w:val="clear" w:color="auto" w:fill="FFFFFF"/>
            <w:tcMar>
              <w:top w:w="40" w:type="dxa"/>
              <w:left w:w="100" w:type="dxa"/>
              <w:bottom w:w="40" w:type="dxa"/>
              <w:right w:w="100" w:type="dxa"/>
            </w:tcMar>
            <w:vAlign w:val="center"/>
          </w:tcPr>
          <w:p w14:paraId="39FFFB8C" w14:textId="77777777" w:rsidR="003B07C8" w:rsidRDefault="00000000">
            <w:pPr>
              <w:spacing w:before="20" w:after="20"/>
              <w:jc w:val="right"/>
            </w:pPr>
            <w:r>
              <w:rPr>
                <w:color w:val="1A1A1A"/>
                <w:sz w:val="18"/>
                <w:szCs w:val="18"/>
              </w:rPr>
              <w:t>256%</w:t>
            </w:r>
          </w:p>
        </w:tc>
        <w:tc>
          <w:tcPr>
            <w:tcW w:w="2200" w:type="dxa"/>
            <w:shd w:val="clear" w:color="auto" w:fill="FFFFFF"/>
            <w:tcMar>
              <w:top w:w="40" w:type="dxa"/>
              <w:left w:w="100" w:type="dxa"/>
              <w:bottom w:w="40" w:type="dxa"/>
              <w:right w:w="100" w:type="dxa"/>
            </w:tcMar>
            <w:vAlign w:val="center"/>
          </w:tcPr>
          <w:p w14:paraId="2C61EE0C" w14:textId="77777777" w:rsidR="003B07C8" w:rsidRDefault="00000000">
            <w:pPr>
              <w:spacing w:before="20" w:after="20"/>
              <w:jc w:val="right"/>
            </w:pPr>
            <w:r>
              <w:rPr>
                <w:color w:val="1A1A1A"/>
                <w:sz w:val="18"/>
                <w:szCs w:val="18"/>
              </w:rPr>
              <w:t>323%</w:t>
            </w:r>
          </w:p>
        </w:tc>
      </w:tr>
      <w:tr w:rsidR="003B07C8" w14:paraId="7E5D9B7E" w14:textId="77777777">
        <w:tc>
          <w:tcPr>
            <w:tcW w:w="10080" w:type="dxa"/>
            <w:gridSpan w:val="4"/>
            <w:shd w:val="clear" w:color="auto" w:fill="EDF2F7"/>
            <w:tcMar>
              <w:top w:w="40" w:type="dxa"/>
              <w:left w:w="100" w:type="dxa"/>
              <w:bottom w:w="40" w:type="dxa"/>
              <w:right w:w="100" w:type="dxa"/>
            </w:tcMar>
            <w:vAlign w:val="center"/>
          </w:tcPr>
          <w:p w14:paraId="4F941104" w14:textId="77777777" w:rsidR="003B07C8" w:rsidRDefault="00000000">
            <w:pPr>
              <w:spacing w:before="20" w:after="20"/>
            </w:pPr>
            <w:r>
              <w:rPr>
                <w:b/>
                <w:bCs/>
                <w:color w:val="1A3A5C"/>
                <w:sz w:val="18"/>
                <w:szCs w:val="18"/>
              </w:rPr>
              <w:t>Scale (USD Million @ 12,150)</w:t>
            </w:r>
          </w:p>
        </w:tc>
      </w:tr>
      <w:tr w:rsidR="003B07C8" w14:paraId="06C254D6" w14:textId="77777777">
        <w:tc>
          <w:tcPr>
            <w:tcW w:w="3480" w:type="dxa"/>
            <w:shd w:val="clear" w:color="auto" w:fill="FFFFFF"/>
            <w:tcMar>
              <w:top w:w="40" w:type="dxa"/>
              <w:left w:w="100" w:type="dxa"/>
              <w:bottom w:w="40" w:type="dxa"/>
              <w:right w:w="100" w:type="dxa"/>
            </w:tcMar>
            <w:vAlign w:val="center"/>
          </w:tcPr>
          <w:p w14:paraId="68233731" w14:textId="77777777" w:rsidR="003B07C8" w:rsidRDefault="00000000">
            <w:pPr>
              <w:spacing w:before="20" w:after="20"/>
            </w:pPr>
            <w:r>
              <w:rPr>
                <w:color w:val="1A1A1A"/>
                <w:sz w:val="18"/>
                <w:szCs w:val="18"/>
              </w:rPr>
              <w:t>Total Assets</w:t>
            </w:r>
          </w:p>
        </w:tc>
        <w:tc>
          <w:tcPr>
            <w:tcW w:w="2200" w:type="dxa"/>
            <w:shd w:val="clear" w:color="auto" w:fill="FFFFFF"/>
            <w:tcMar>
              <w:top w:w="40" w:type="dxa"/>
              <w:left w:w="100" w:type="dxa"/>
              <w:bottom w:w="40" w:type="dxa"/>
              <w:right w:w="100" w:type="dxa"/>
            </w:tcMar>
            <w:vAlign w:val="center"/>
          </w:tcPr>
          <w:p w14:paraId="2A094DE9" w14:textId="77777777" w:rsidR="003B07C8" w:rsidRDefault="00000000">
            <w:pPr>
              <w:spacing w:before="20" w:after="20"/>
              <w:jc w:val="right"/>
            </w:pPr>
            <w:r>
              <w:rPr>
                <w:b/>
                <w:bCs/>
                <w:color w:val="1A1A1A"/>
                <w:sz w:val="18"/>
                <w:szCs w:val="18"/>
              </w:rPr>
              <w:t>11,970</w:t>
            </w:r>
          </w:p>
        </w:tc>
        <w:tc>
          <w:tcPr>
            <w:tcW w:w="2200" w:type="dxa"/>
            <w:shd w:val="clear" w:color="auto" w:fill="FFFFFF"/>
            <w:tcMar>
              <w:top w:w="40" w:type="dxa"/>
              <w:left w:w="100" w:type="dxa"/>
              <w:bottom w:w="40" w:type="dxa"/>
              <w:right w:w="100" w:type="dxa"/>
            </w:tcMar>
            <w:vAlign w:val="center"/>
          </w:tcPr>
          <w:p w14:paraId="41FEA7D4" w14:textId="77777777" w:rsidR="003B07C8" w:rsidRDefault="00000000">
            <w:pPr>
              <w:spacing w:before="20" w:after="20"/>
              <w:jc w:val="right"/>
            </w:pPr>
            <w:r>
              <w:rPr>
                <w:color w:val="1A1A1A"/>
                <w:sz w:val="18"/>
                <w:szCs w:val="18"/>
              </w:rPr>
              <w:t>7,800</w:t>
            </w:r>
          </w:p>
        </w:tc>
        <w:tc>
          <w:tcPr>
            <w:tcW w:w="2200" w:type="dxa"/>
            <w:shd w:val="clear" w:color="auto" w:fill="FFFFFF"/>
            <w:tcMar>
              <w:top w:w="40" w:type="dxa"/>
              <w:left w:w="100" w:type="dxa"/>
              <w:bottom w:w="40" w:type="dxa"/>
              <w:right w:w="100" w:type="dxa"/>
            </w:tcMar>
            <w:vAlign w:val="center"/>
          </w:tcPr>
          <w:p w14:paraId="61795518" w14:textId="77777777" w:rsidR="003B07C8" w:rsidRDefault="00000000">
            <w:pPr>
              <w:spacing w:before="20" w:after="20"/>
              <w:jc w:val="right"/>
            </w:pPr>
            <w:r>
              <w:rPr>
                <w:color w:val="1A1A1A"/>
                <w:sz w:val="18"/>
                <w:szCs w:val="18"/>
              </w:rPr>
              <w:t>7,937</w:t>
            </w:r>
          </w:p>
        </w:tc>
      </w:tr>
      <w:tr w:rsidR="003B07C8" w14:paraId="3D9CC5CD" w14:textId="77777777">
        <w:tc>
          <w:tcPr>
            <w:tcW w:w="3480" w:type="dxa"/>
            <w:shd w:val="clear" w:color="auto" w:fill="FFFFFF"/>
            <w:tcMar>
              <w:top w:w="40" w:type="dxa"/>
              <w:left w:w="100" w:type="dxa"/>
              <w:bottom w:w="40" w:type="dxa"/>
              <w:right w:w="100" w:type="dxa"/>
            </w:tcMar>
            <w:vAlign w:val="center"/>
          </w:tcPr>
          <w:p w14:paraId="683D446C" w14:textId="77777777" w:rsidR="003B07C8" w:rsidRDefault="00000000">
            <w:pPr>
              <w:spacing w:before="20" w:after="20"/>
            </w:pPr>
            <w:r>
              <w:rPr>
                <w:color w:val="1A1A1A"/>
                <w:sz w:val="18"/>
                <w:szCs w:val="18"/>
              </w:rPr>
              <w:t>Net Loan Portfolio</w:t>
            </w:r>
          </w:p>
        </w:tc>
        <w:tc>
          <w:tcPr>
            <w:tcW w:w="2200" w:type="dxa"/>
            <w:shd w:val="clear" w:color="auto" w:fill="FFFFFF"/>
            <w:tcMar>
              <w:top w:w="40" w:type="dxa"/>
              <w:left w:w="100" w:type="dxa"/>
              <w:bottom w:w="40" w:type="dxa"/>
              <w:right w:w="100" w:type="dxa"/>
            </w:tcMar>
            <w:vAlign w:val="center"/>
          </w:tcPr>
          <w:p w14:paraId="1176C34C" w14:textId="77777777" w:rsidR="003B07C8" w:rsidRDefault="00000000">
            <w:pPr>
              <w:spacing w:before="20" w:after="20"/>
              <w:jc w:val="right"/>
            </w:pPr>
            <w:r>
              <w:rPr>
                <w:b/>
                <w:bCs/>
                <w:color w:val="1A1A1A"/>
                <w:sz w:val="18"/>
                <w:szCs w:val="18"/>
              </w:rPr>
              <w:t>8,588</w:t>
            </w:r>
          </w:p>
        </w:tc>
        <w:tc>
          <w:tcPr>
            <w:tcW w:w="2200" w:type="dxa"/>
            <w:shd w:val="clear" w:color="auto" w:fill="FFFFFF"/>
            <w:tcMar>
              <w:top w:w="40" w:type="dxa"/>
              <w:left w:w="100" w:type="dxa"/>
              <w:bottom w:w="40" w:type="dxa"/>
              <w:right w:w="100" w:type="dxa"/>
            </w:tcMar>
            <w:vAlign w:val="center"/>
          </w:tcPr>
          <w:p w14:paraId="142EE8D8" w14:textId="77777777" w:rsidR="003B07C8" w:rsidRDefault="00000000">
            <w:pPr>
              <w:spacing w:before="20" w:after="20"/>
              <w:jc w:val="right"/>
            </w:pPr>
            <w:r>
              <w:rPr>
                <w:color w:val="1A1A1A"/>
                <w:sz w:val="18"/>
                <w:szCs w:val="18"/>
              </w:rPr>
              <w:t>5,766</w:t>
            </w:r>
          </w:p>
        </w:tc>
        <w:tc>
          <w:tcPr>
            <w:tcW w:w="2200" w:type="dxa"/>
            <w:shd w:val="clear" w:color="auto" w:fill="FFFFFF"/>
            <w:tcMar>
              <w:top w:w="40" w:type="dxa"/>
              <w:left w:w="100" w:type="dxa"/>
              <w:bottom w:w="40" w:type="dxa"/>
              <w:right w:w="100" w:type="dxa"/>
            </w:tcMar>
            <w:vAlign w:val="center"/>
          </w:tcPr>
          <w:p w14:paraId="66A75CB7" w14:textId="77777777" w:rsidR="003B07C8" w:rsidRDefault="00000000">
            <w:pPr>
              <w:spacing w:before="20" w:after="20"/>
              <w:jc w:val="right"/>
            </w:pPr>
            <w:r>
              <w:rPr>
                <w:color w:val="1A1A1A"/>
                <w:sz w:val="18"/>
                <w:szCs w:val="18"/>
              </w:rPr>
              <w:t>6,648</w:t>
            </w:r>
          </w:p>
        </w:tc>
      </w:tr>
      <w:tr w:rsidR="003B07C8" w14:paraId="07F93699" w14:textId="77777777">
        <w:tc>
          <w:tcPr>
            <w:tcW w:w="3480" w:type="dxa"/>
            <w:shd w:val="clear" w:color="auto" w:fill="FFFFFF"/>
            <w:tcMar>
              <w:top w:w="40" w:type="dxa"/>
              <w:left w:w="100" w:type="dxa"/>
              <w:bottom w:w="40" w:type="dxa"/>
              <w:right w:w="100" w:type="dxa"/>
            </w:tcMar>
            <w:vAlign w:val="center"/>
          </w:tcPr>
          <w:p w14:paraId="425D23D6" w14:textId="77777777" w:rsidR="003B07C8" w:rsidRDefault="00000000">
            <w:pPr>
              <w:spacing w:before="20" w:after="20"/>
            </w:pPr>
            <w:r>
              <w:rPr>
                <w:color w:val="1A1A1A"/>
                <w:sz w:val="18"/>
                <w:szCs w:val="18"/>
              </w:rPr>
              <w:t>Customer Deposits</w:t>
            </w:r>
          </w:p>
        </w:tc>
        <w:tc>
          <w:tcPr>
            <w:tcW w:w="2200" w:type="dxa"/>
            <w:shd w:val="clear" w:color="auto" w:fill="FFFFFF"/>
            <w:tcMar>
              <w:top w:w="40" w:type="dxa"/>
              <w:left w:w="100" w:type="dxa"/>
              <w:bottom w:w="40" w:type="dxa"/>
              <w:right w:w="100" w:type="dxa"/>
            </w:tcMar>
            <w:vAlign w:val="center"/>
          </w:tcPr>
          <w:p w14:paraId="0A34A4D5" w14:textId="77777777" w:rsidR="003B07C8" w:rsidRDefault="00000000">
            <w:pPr>
              <w:spacing w:before="20" w:after="20"/>
              <w:jc w:val="right"/>
            </w:pPr>
            <w:r>
              <w:rPr>
                <w:b/>
                <w:bCs/>
                <w:color w:val="1A1A1A"/>
                <w:sz w:val="18"/>
                <w:szCs w:val="18"/>
              </w:rPr>
              <w:t>3,889</w:t>
            </w:r>
          </w:p>
        </w:tc>
        <w:tc>
          <w:tcPr>
            <w:tcW w:w="2200" w:type="dxa"/>
            <w:shd w:val="clear" w:color="auto" w:fill="FFFFFF"/>
            <w:tcMar>
              <w:top w:w="40" w:type="dxa"/>
              <w:left w:w="100" w:type="dxa"/>
              <w:bottom w:w="40" w:type="dxa"/>
              <w:right w:w="100" w:type="dxa"/>
            </w:tcMar>
            <w:vAlign w:val="center"/>
          </w:tcPr>
          <w:p w14:paraId="20A43BEC" w14:textId="77777777" w:rsidR="003B07C8" w:rsidRDefault="00000000">
            <w:pPr>
              <w:spacing w:before="20" w:after="20"/>
              <w:jc w:val="right"/>
            </w:pPr>
            <w:r>
              <w:rPr>
                <w:color w:val="1A1A1A"/>
                <w:sz w:val="18"/>
                <w:szCs w:val="18"/>
              </w:rPr>
              <w:t>2,258</w:t>
            </w:r>
          </w:p>
        </w:tc>
        <w:tc>
          <w:tcPr>
            <w:tcW w:w="2200" w:type="dxa"/>
            <w:shd w:val="clear" w:color="auto" w:fill="FFFFFF"/>
            <w:tcMar>
              <w:top w:w="40" w:type="dxa"/>
              <w:left w:w="100" w:type="dxa"/>
              <w:bottom w:w="40" w:type="dxa"/>
              <w:right w:w="100" w:type="dxa"/>
            </w:tcMar>
            <w:vAlign w:val="center"/>
          </w:tcPr>
          <w:p w14:paraId="579B9D95" w14:textId="77777777" w:rsidR="003B07C8" w:rsidRDefault="00000000">
            <w:pPr>
              <w:spacing w:before="20" w:after="20"/>
              <w:jc w:val="right"/>
            </w:pPr>
            <w:r>
              <w:rPr>
                <w:color w:val="1A1A1A"/>
                <w:sz w:val="18"/>
                <w:szCs w:val="18"/>
              </w:rPr>
              <w:t>2,058</w:t>
            </w:r>
          </w:p>
        </w:tc>
      </w:tr>
      <w:tr w:rsidR="003B07C8" w14:paraId="2E02AA11" w14:textId="77777777">
        <w:tc>
          <w:tcPr>
            <w:tcW w:w="3480" w:type="dxa"/>
            <w:shd w:val="clear" w:color="auto" w:fill="FFFFFF"/>
            <w:tcMar>
              <w:top w:w="40" w:type="dxa"/>
              <w:left w:w="100" w:type="dxa"/>
              <w:bottom w:w="40" w:type="dxa"/>
              <w:right w:w="100" w:type="dxa"/>
            </w:tcMar>
            <w:vAlign w:val="center"/>
          </w:tcPr>
          <w:p w14:paraId="7EB03A69" w14:textId="77777777" w:rsidR="003B07C8" w:rsidRDefault="00000000">
            <w:pPr>
              <w:spacing w:before="20" w:after="20"/>
            </w:pPr>
            <w:r>
              <w:rPr>
                <w:color w:val="1A1A1A"/>
                <w:sz w:val="18"/>
                <w:szCs w:val="18"/>
              </w:rPr>
              <w:t>Total Equity</w:t>
            </w:r>
          </w:p>
        </w:tc>
        <w:tc>
          <w:tcPr>
            <w:tcW w:w="2200" w:type="dxa"/>
            <w:shd w:val="clear" w:color="auto" w:fill="FFFFFF"/>
            <w:tcMar>
              <w:top w:w="40" w:type="dxa"/>
              <w:left w:w="100" w:type="dxa"/>
              <w:bottom w:w="40" w:type="dxa"/>
              <w:right w:w="100" w:type="dxa"/>
            </w:tcMar>
            <w:vAlign w:val="center"/>
          </w:tcPr>
          <w:p w14:paraId="49BDBC24" w14:textId="77777777" w:rsidR="003B07C8" w:rsidRDefault="00000000">
            <w:pPr>
              <w:spacing w:before="20" w:after="20"/>
              <w:jc w:val="right"/>
            </w:pPr>
            <w:r>
              <w:rPr>
                <w:b/>
                <w:bCs/>
                <w:color w:val="1A1A1A"/>
                <w:sz w:val="18"/>
                <w:szCs w:val="18"/>
              </w:rPr>
              <w:t>1,736</w:t>
            </w:r>
          </w:p>
        </w:tc>
        <w:tc>
          <w:tcPr>
            <w:tcW w:w="2200" w:type="dxa"/>
            <w:shd w:val="clear" w:color="auto" w:fill="FFFFFF"/>
            <w:tcMar>
              <w:top w:w="40" w:type="dxa"/>
              <w:left w:w="100" w:type="dxa"/>
              <w:bottom w:w="40" w:type="dxa"/>
              <w:right w:w="100" w:type="dxa"/>
            </w:tcMar>
            <w:vAlign w:val="center"/>
          </w:tcPr>
          <w:p w14:paraId="0EE77D6F" w14:textId="77777777" w:rsidR="003B07C8" w:rsidRDefault="00000000">
            <w:pPr>
              <w:spacing w:before="20" w:after="20"/>
              <w:jc w:val="right"/>
            </w:pPr>
            <w:r>
              <w:rPr>
                <w:color w:val="1A1A1A"/>
                <w:sz w:val="18"/>
                <w:szCs w:val="18"/>
              </w:rPr>
              <w:t>~960</w:t>
            </w:r>
          </w:p>
        </w:tc>
        <w:tc>
          <w:tcPr>
            <w:tcW w:w="2200" w:type="dxa"/>
            <w:shd w:val="clear" w:color="auto" w:fill="FFFFFF"/>
            <w:tcMar>
              <w:top w:w="40" w:type="dxa"/>
              <w:left w:w="100" w:type="dxa"/>
              <w:bottom w:w="40" w:type="dxa"/>
              <w:right w:w="100" w:type="dxa"/>
            </w:tcMar>
            <w:vAlign w:val="center"/>
          </w:tcPr>
          <w:p w14:paraId="61C3C252" w14:textId="77777777" w:rsidR="003B07C8" w:rsidRDefault="00000000">
            <w:pPr>
              <w:spacing w:before="20" w:after="20"/>
              <w:jc w:val="right"/>
            </w:pPr>
            <w:r>
              <w:rPr>
                <w:color w:val="1A1A1A"/>
                <w:sz w:val="18"/>
                <w:szCs w:val="18"/>
              </w:rPr>
              <w:t>1,096</w:t>
            </w:r>
          </w:p>
        </w:tc>
      </w:tr>
      <w:tr w:rsidR="003B07C8" w14:paraId="58478186" w14:textId="77777777">
        <w:tc>
          <w:tcPr>
            <w:tcW w:w="3480" w:type="dxa"/>
            <w:shd w:val="clear" w:color="auto" w:fill="FFFFFF"/>
            <w:tcMar>
              <w:top w:w="40" w:type="dxa"/>
              <w:left w:w="100" w:type="dxa"/>
              <w:bottom w:w="40" w:type="dxa"/>
              <w:right w:w="100" w:type="dxa"/>
            </w:tcMar>
            <w:vAlign w:val="center"/>
          </w:tcPr>
          <w:p w14:paraId="374325B1" w14:textId="77777777" w:rsidR="003B07C8" w:rsidRDefault="00000000">
            <w:pPr>
              <w:spacing w:before="20" w:after="20"/>
            </w:pPr>
            <w:r>
              <w:rPr>
                <w:color w:val="1A1A1A"/>
                <w:sz w:val="18"/>
                <w:szCs w:val="18"/>
              </w:rPr>
              <w:t>Loan Portfolio Growth (period)</w:t>
            </w:r>
          </w:p>
        </w:tc>
        <w:tc>
          <w:tcPr>
            <w:tcW w:w="2200" w:type="dxa"/>
            <w:shd w:val="clear" w:color="auto" w:fill="FFFFFF"/>
            <w:tcMar>
              <w:top w:w="40" w:type="dxa"/>
              <w:left w:w="100" w:type="dxa"/>
              <w:bottom w:w="40" w:type="dxa"/>
              <w:right w:w="100" w:type="dxa"/>
            </w:tcMar>
            <w:vAlign w:val="center"/>
          </w:tcPr>
          <w:p w14:paraId="2609D723" w14:textId="77777777" w:rsidR="003B07C8" w:rsidRDefault="00000000">
            <w:pPr>
              <w:spacing w:before="20" w:after="20"/>
              <w:jc w:val="right"/>
            </w:pPr>
            <w:r>
              <w:rPr>
                <w:b/>
                <w:bCs/>
                <w:color w:val="1A1A1A"/>
                <w:sz w:val="18"/>
                <w:szCs w:val="18"/>
              </w:rPr>
              <w:t>+1.7%</w:t>
            </w:r>
          </w:p>
        </w:tc>
        <w:tc>
          <w:tcPr>
            <w:tcW w:w="2200" w:type="dxa"/>
            <w:shd w:val="clear" w:color="auto" w:fill="FFFFFF"/>
            <w:tcMar>
              <w:top w:w="40" w:type="dxa"/>
              <w:left w:w="100" w:type="dxa"/>
              <w:bottom w:w="40" w:type="dxa"/>
              <w:right w:w="100" w:type="dxa"/>
            </w:tcMar>
            <w:vAlign w:val="center"/>
          </w:tcPr>
          <w:p w14:paraId="628F1967" w14:textId="77777777" w:rsidR="003B07C8" w:rsidRDefault="00000000">
            <w:pPr>
              <w:spacing w:before="20" w:after="20"/>
              <w:jc w:val="right"/>
            </w:pPr>
            <w:r>
              <w:rPr>
                <w:color w:val="1A1A1A"/>
                <w:sz w:val="18"/>
                <w:szCs w:val="18"/>
              </w:rPr>
              <w:t>+5.4%</w:t>
            </w:r>
          </w:p>
        </w:tc>
        <w:tc>
          <w:tcPr>
            <w:tcW w:w="2200" w:type="dxa"/>
            <w:shd w:val="clear" w:color="auto" w:fill="FFFFFF"/>
            <w:tcMar>
              <w:top w:w="40" w:type="dxa"/>
              <w:left w:w="100" w:type="dxa"/>
              <w:bottom w:w="40" w:type="dxa"/>
              <w:right w:w="100" w:type="dxa"/>
            </w:tcMar>
            <w:vAlign w:val="center"/>
          </w:tcPr>
          <w:p w14:paraId="26CE6D65" w14:textId="77777777" w:rsidR="003B07C8" w:rsidRDefault="00000000">
            <w:pPr>
              <w:spacing w:before="20" w:after="20"/>
              <w:jc w:val="right"/>
            </w:pPr>
            <w:r>
              <w:rPr>
                <w:color w:val="1A1A1A"/>
                <w:sz w:val="18"/>
                <w:szCs w:val="18"/>
              </w:rPr>
              <w:t>+21.9%</w:t>
            </w:r>
          </w:p>
        </w:tc>
      </w:tr>
      <w:tr w:rsidR="003B07C8" w14:paraId="3475EBD9" w14:textId="77777777">
        <w:tc>
          <w:tcPr>
            <w:tcW w:w="10080" w:type="dxa"/>
            <w:gridSpan w:val="4"/>
            <w:shd w:val="clear" w:color="auto" w:fill="EDF2F7"/>
            <w:tcMar>
              <w:top w:w="40" w:type="dxa"/>
              <w:left w:w="100" w:type="dxa"/>
              <w:bottom w:w="40" w:type="dxa"/>
              <w:right w:w="100" w:type="dxa"/>
            </w:tcMar>
            <w:vAlign w:val="center"/>
          </w:tcPr>
          <w:p w14:paraId="4A40D69C" w14:textId="77777777" w:rsidR="003B07C8" w:rsidRDefault="00000000">
            <w:pPr>
              <w:spacing w:before="20" w:after="20"/>
            </w:pPr>
            <w:r>
              <w:rPr>
                <w:b/>
                <w:bCs/>
                <w:color w:val="1A3A5C"/>
                <w:sz w:val="18"/>
                <w:szCs w:val="18"/>
              </w:rPr>
              <w:t>Credit Ratings</w:t>
            </w:r>
          </w:p>
        </w:tc>
      </w:tr>
      <w:tr w:rsidR="003B07C8" w14:paraId="719B0F17" w14:textId="77777777">
        <w:tc>
          <w:tcPr>
            <w:tcW w:w="3480" w:type="dxa"/>
            <w:shd w:val="clear" w:color="auto" w:fill="FFFFFF"/>
            <w:tcMar>
              <w:top w:w="40" w:type="dxa"/>
              <w:left w:w="100" w:type="dxa"/>
              <w:bottom w:w="40" w:type="dxa"/>
              <w:right w:w="100" w:type="dxa"/>
            </w:tcMar>
            <w:vAlign w:val="center"/>
          </w:tcPr>
          <w:p w14:paraId="2AE5C11F" w14:textId="77777777" w:rsidR="003B07C8" w:rsidRDefault="00000000">
            <w:pPr>
              <w:spacing w:before="20" w:after="20"/>
            </w:pPr>
            <w:r>
              <w:rPr>
                <w:color w:val="1A1A1A"/>
                <w:sz w:val="18"/>
                <w:szCs w:val="18"/>
              </w:rPr>
              <w:t>Moody’s</w:t>
            </w:r>
          </w:p>
        </w:tc>
        <w:tc>
          <w:tcPr>
            <w:tcW w:w="2200" w:type="dxa"/>
            <w:shd w:val="clear" w:color="auto" w:fill="FFFFFF"/>
            <w:tcMar>
              <w:top w:w="40" w:type="dxa"/>
              <w:left w:w="100" w:type="dxa"/>
              <w:bottom w:w="40" w:type="dxa"/>
              <w:right w:w="100" w:type="dxa"/>
            </w:tcMar>
            <w:vAlign w:val="center"/>
          </w:tcPr>
          <w:p w14:paraId="4B2E7B35" w14:textId="77777777" w:rsidR="003B07C8" w:rsidRDefault="00000000">
            <w:pPr>
              <w:spacing w:before="20" w:after="20"/>
              <w:jc w:val="right"/>
            </w:pPr>
            <w:r>
              <w:rPr>
                <w:b/>
                <w:bCs/>
                <w:color w:val="1A1A1A"/>
                <w:sz w:val="18"/>
                <w:szCs w:val="18"/>
              </w:rPr>
              <w:t>Ba3/Stable</w:t>
            </w:r>
          </w:p>
        </w:tc>
        <w:tc>
          <w:tcPr>
            <w:tcW w:w="2200" w:type="dxa"/>
            <w:shd w:val="clear" w:color="auto" w:fill="FFFFFF"/>
            <w:tcMar>
              <w:top w:w="40" w:type="dxa"/>
              <w:left w:w="100" w:type="dxa"/>
              <w:bottom w:w="40" w:type="dxa"/>
              <w:right w:w="100" w:type="dxa"/>
            </w:tcMar>
            <w:vAlign w:val="center"/>
          </w:tcPr>
          <w:p w14:paraId="51397BE4" w14:textId="77777777" w:rsidR="003B07C8" w:rsidRDefault="00000000">
            <w:pPr>
              <w:spacing w:before="20" w:after="20"/>
              <w:jc w:val="right"/>
            </w:pPr>
            <w:r>
              <w:rPr>
                <w:color w:val="1A1A1A"/>
                <w:sz w:val="18"/>
                <w:szCs w:val="18"/>
              </w:rPr>
              <w:t>Ba3/Stable</w:t>
            </w:r>
          </w:p>
        </w:tc>
        <w:tc>
          <w:tcPr>
            <w:tcW w:w="2200" w:type="dxa"/>
            <w:shd w:val="clear" w:color="auto" w:fill="FFFFFF"/>
            <w:tcMar>
              <w:top w:w="40" w:type="dxa"/>
              <w:left w:w="100" w:type="dxa"/>
              <w:bottom w:w="40" w:type="dxa"/>
              <w:right w:w="100" w:type="dxa"/>
            </w:tcMar>
            <w:vAlign w:val="center"/>
          </w:tcPr>
          <w:p w14:paraId="2552B94A" w14:textId="77777777" w:rsidR="003B07C8" w:rsidRDefault="00000000">
            <w:pPr>
              <w:spacing w:before="20" w:after="20"/>
              <w:jc w:val="right"/>
            </w:pPr>
            <w:r>
              <w:rPr>
                <w:color w:val="1A1A1A"/>
                <w:sz w:val="18"/>
                <w:szCs w:val="18"/>
              </w:rPr>
              <w:t>Ba3/Positive</w:t>
            </w:r>
          </w:p>
        </w:tc>
      </w:tr>
      <w:tr w:rsidR="003B07C8" w14:paraId="2DCCCF88" w14:textId="77777777">
        <w:tc>
          <w:tcPr>
            <w:tcW w:w="3480" w:type="dxa"/>
            <w:shd w:val="clear" w:color="auto" w:fill="FFFFFF"/>
            <w:tcMar>
              <w:top w:w="40" w:type="dxa"/>
              <w:left w:w="100" w:type="dxa"/>
              <w:bottom w:w="40" w:type="dxa"/>
              <w:right w:w="100" w:type="dxa"/>
            </w:tcMar>
            <w:vAlign w:val="center"/>
          </w:tcPr>
          <w:p w14:paraId="649EE2EF" w14:textId="77777777" w:rsidR="003B07C8" w:rsidRDefault="00000000">
            <w:pPr>
              <w:spacing w:before="20" w:after="20"/>
            </w:pPr>
            <w:r>
              <w:rPr>
                <w:color w:val="1A1A1A"/>
                <w:sz w:val="18"/>
                <w:szCs w:val="18"/>
              </w:rPr>
              <w:t>Fitch</w:t>
            </w:r>
          </w:p>
        </w:tc>
        <w:tc>
          <w:tcPr>
            <w:tcW w:w="2200" w:type="dxa"/>
            <w:shd w:val="clear" w:color="auto" w:fill="FFFFFF"/>
            <w:tcMar>
              <w:top w:w="40" w:type="dxa"/>
              <w:left w:w="100" w:type="dxa"/>
              <w:bottom w:w="40" w:type="dxa"/>
              <w:right w:w="100" w:type="dxa"/>
            </w:tcMar>
            <w:vAlign w:val="center"/>
          </w:tcPr>
          <w:p w14:paraId="3E74D526" w14:textId="77777777" w:rsidR="003B07C8" w:rsidRDefault="00000000">
            <w:pPr>
              <w:spacing w:before="20" w:after="20"/>
              <w:jc w:val="right"/>
            </w:pPr>
            <w:r>
              <w:rPr>
                <w:b/>
                <w:bCs/>
                <w:color w:val="1A1A1A"/>
                <w:sz w:val="18"/>
                <w:szCs w:val="18"/>
              </w:rPr>
              <w:t>BB/Stable</w:t>
            </w:r>
          </w:p>
        </w:tc>
        <w:tc>
          <w:tcPr>
            <w:tcW w:w="2200" w:type="dxa"/>
            <w:shd w:val="clear" w:color="auto" w:fill="FFFFFF"/>
            <w:tcMar>
              <w:top w:w="40" w:type="dxa"/>
              <w:left w:w="100" w:type="dxa"/>
              <w:bottom w:w="40" w:type="dxa"/>
              <w:right w:w="100" w:type="dxa"/>
            </w:tcMar>
            <w:vAlign w:val="center"/>
          </w:tcPr>
          <w:p w14:paraId="2321E2FB" w14:textId="77777777" w:rsidR="003B07C8" w:rsidRDefault="00000000">
            <w:pPr>
              <w:spacing w:before="20" w:after="20"/>
              <w:jc w:val="right"/>
            </w:pPr>
            <w:r>
              <w:rPr>
                <w:color w:val="1A1A1A"/>
                <w:sz w:val="18"/>
                <w:szCs w:val="18"/>
              </w:rPr>
              <w:t>BB-/Stable</w:t>
            </w:r>
          </w:p>
        </w:tc>
        <w:tc>
          <w:tcPr>
            <w:tcW w:w="2200" w:type="dxa"/>
            <w:shd w:val="clear" w:color="auto" w:fill="FFFFFF"/>
            <w:tcMar>
              <w:top w:w="40" w:type="dxa"/>
              <w:left w:w="100" w:type="dxa"/>
              <w:bottom w:w="40" w:type="dxa"/>
              <w:right w:w="100" w:type="dxa"/>
            </w:tcMar>
            <w:vAlign w:val="center"/>
          </w:tcPr>
          <w:p w14:paraId="660D784B" w14:textId="77777777" w:rsidR="003B07C8" w:rsidRDefault="00000000">
            <w:pPr>
              <w:spacing w:before="20" w:after="20"/>
              <w:jc w:val="right"/>
            </w:pPr>
            <w:r>
              <w:rPr>
                <w:color w:val="1A1A1A"/>
                <w:sz w:val="18"/>
                <w:szCs w:val="18"/>
              </w:rPr>
              <w:t>BB/Stable</w:t>
            </w:r>
          </w:p>
        </w:tc>
      </w:tr>
      <w:tr w:rsidR="003B07C8" w14:paraId="205C3EBC" w14:textId="77777777">
        <w:tc>
          <w:tcPr>
            <w:tcW w:w="3480" w:type="dxa"/>
            <w:shd w:val="clear" w:color="auto" w:fill="FFFFFF"/>
            <w:tcMar>
              <w:top w:w="40" w:type="dxa"/>
              <w:left w:w="100" w:type="dxa"/>
              <w:bottom w:w="40" w:type="dxa"/>
              <w:right w:w="100" w:type="dxa"/>
            </w:tcMar>
            <w:vAlign w:val="center"/>
          </w:tcPr>
          <w:p w14:paraId="254258AB" w14:textId="77777777" w:rsidR="003B07C8" w:rsidRDefault="00000000">
            <w:pPr>
              <w:spacing w:before="20" w:after="20"/>
            </w:pPr>
            <w:r>
              <w:rPr>
                <w:color w:val="1A1A1A"/>
                <w:sz w:val="18"/>
                <w:szCs w:val="18"/>
              </w:rPr>
              <w:t>S&amp;P</w:t>
            </w:r>
          </w:p>
        </w:tc>
        <w:tc>
          <w:tcPr>
            <w:tcW w:w="2200" w:type="dxa"/>
            <w:shd w:val="clear" w:color="auto" w:fill="FFFFFF"/>
            <w:tcMar>
              <w:top w:w="40" w:type="dxa"/>
              <w:left w:w="100" w:type="dxa"/>
              <w:bottom w:w="40" w:type="dxa"/>
              <w:right w:w="100" w:type="dxa"/>
            </w:tcMar>
            <w:vAlign w:val="center"/>
          </w:tcPr>
          <w:p w14:paraId="7D505DCD" w14:textId="77777777" w:rsidR="003B07C8" w:rsidRDefault="00000000">
            <w:pPr>
              <w:spacing w:before="20" w:after="20"/>
              <w:jc w:val="right"/>
            </w:pPr>
            <w:r>
              <w:rPr>
                <w:b/>
                <w:bCs/>
                <w:color w:val="1A1A1A"/>
                <w:sz w:val="18"/>
                <w:szCs w:val="18"/>
              </w:rPr>
              <w:t>BB-/Stable</w:t>
            </w:r>
          </w:p>
        </w:tc>
        <w:tc>
          <w:tcPr>
            <w:tcW w:w="2200" w:type="dxa"/>
            <w:shd w:val="clear" w:color="auto" w:fill="FFFFFF"/>
            <w:tcMar>
              <w:top w:w="40" w:type="dxa"/>
              <w:left w:w="100" w:type="dxa"/>
              <w:bottom w:w="40" w:type="dxa"/>
              <w:right w:w="100" w:type="dxa"/>
            </w:tcMar>
            <w:vAlign w:val="center"/>
          </w:tcPr>
          <w:p w14:paraId="0F2B7ED5" w14:textId="77777777" w:rsidR="003B07C8" w:rsidRDefault="00000000">
            <w:pPr>
              <w:spacing w:before="20" w:after="20"/>
              <w:jc w:val="right"/>
            </w:pPr>
            <w:r>
              <w:rPr>
                <w:color w:val="1A1A1A"/>
                <w:sz w:val="18"/>
                <w:szCs w:val="18"/>
              </w:rPr>
              <w:t>BB-/Stable</w:t>
            </w:r>
          </w:p>
        </w:tc>
        <w:tc>
          <w:tcPr>
            <w:tcW w:w="2200" w:type="dxa"/>
            <w:shd w:val="clear" w:color="auto" w:fill="FFFFFF"/>
            <w:tcMar>
              <w:top w:w="40" w:type="dxa"/>
              <w:left w:w="100" w:type="dxa"/>
              <w:bottom w:w="40" w:type="dxa"/>
              <w:right w:w="100" w:type="dxa"/>
            </w:tcMar>
            <w:vAlign w:val="center"/>
          </w:tcPr>
          <w:p w14:paraId="12AD6083" w14:textId="77777777" w:rsidR="003B07C8" w:rsidRDefault="00000000">
            <w:pPr>
              <w:spacing w:before="20" w:after="20"/>
              <w:jc w:val="right"/>
            </w:pPr>
            <w:r>
              <w:rPr>
                <w:color w:val="1A1A1A"/>
                <w:sz w:val="18"/>
                <w:szCs w:val="18"/>
              </w:rPr>
              <w:t>—</w:t>
            </w:r>
          </w:p>
        </w:tc>
      </w:tr>
    </w:tbl>
    <w:p w14:paraId="0DDF6E2B" w14:textId="77777777" w:rsidR="003B07C8" w:rsidRDefault="00000000">
      <w:pPr>
        <w:spacing w:before="60" w:after="120"/>
      </w:pPr>
      <w:r>
        <w:rPr>
          <w:i/>
          <w:iCs/>
          <w:color w:val="777777"/>
          <w:sz w:val="16"/>
          <w:szCs w:val="16"/>
        </w:rPr>
        <w:t>¹ NBU NPL is shown on the IFRS Stage 3 / gross-loans basis (4.2%) for comparability with peers; NBU’s regulatory NPL reported to the CBU is 2.8%, and the 5.6% figure cited elsewhere is the provision-to-gross-loans coverage ratio (not an NPL ratio). ² Agrobank reported-period net interest income is not reliably disclosed and is marked n.a. * LCR/NSFR are FID estimates derived from maturity-analysis disclosures; actual CBU-calculated ratios may differ. Basis: all three banks are shown on a 2025 1H basis as at 30 June 2025 — NBU = reviewed interim IFRS FS (six months to 30 June 2025); SQB = 2025 H1 (internal accounting); Agrobank = 2025 H1 IFRS (EY-reviewed, 30 Jun 2025). NBU net profit and net interest income are six-month figures; the annualised net-profit line and the ROE, ROA and NIM ratios annualise the six-month result (×2) for a like-for-like comparison with the peers’ annualised figures. NBU’s YoY loan portfolio growth is shown as the movement over the six months from 31 December 2024. FX uniform at USD/UZS = 12,150. Source: attached Peer Comparison KPI workbook; Central Bank of Uzbekistan; banks’ financial statements.</w:t>
      </w:r>
    </w:p>
    <w:p w14:paraId="752262EB" w14:textId="77777777" w:rsidR="003B07C8" w:rsidRDefault="00000000">
      <w:pPr>
        <w:spacing w:before="60" w:after="120"/>
      </w:pPr>
      <w:r>
        <w:rPr>
          <w:i/>
          <w:iCs/>
          <w:color w:val="777777"/>
          <w:sz w:val="16"/>
          <w:szCs w:val="16"/>
        </w:rPr>
        <w:t>Sources: Central Bank of Uzbekistan, as reported by national financial media, and the banks’ financial statements. ”n.a.” indicates the line was not separately reported in the sourced disclosures. Bank-level regulatory NPL ratios other than NBU’s are not uniformly published by the CBU; the banking-sector average NPL was 4.1% (December 2025). Where required, bank-level figures should be updated to the 1 January 2026 CBU returns.</w:t>
      </w:r>
    </w:p>
    <w:p w14:paraId="4339CBE1" w14:textId="77777777" w:rsidR="0059742E" w:rsidRDefault="00C764C0">
      <w:r>
        <w:br w:type="page"/>
      </w:r>
    </w:p>
    <w:p w14:paraId="1B4F4FFB" w14:textId="77777777" w:rsidR="0059742E" w:rsidRDefault="00C764C0">
      <w:pPr>
        <w:spacing w:before="280" w:after="120"/>
      </w:pPr>
      <w:r>
        <w:rPr>
          <w:b/>
          <w:bCs/>
          <w:color w:val="1A3A5C"/>
          <w:sz w:val="26"/>
          <w:szCs w:val="26"/>
        </w:rPr>
        <w:lastRenderedPageBreak/>
        <w:t>Part 3 - Risk Analysis</w:t>
      </w:r>
    </w:p>
    <w:p w14:paraId="4CBC1079" w14:textId="77777777" w:rsidR="0059742E" w:rsidRDefault="00C764C0">
      <w:pPr>
        <w:pBdr>
          <w:bottom w:val="single" w:sz="4" w:space="2" w:color="2E6DA4"/>
        </w:pBdr>
        <w:spacing w:before="200" w:after="80"/>
      </w:pPr>
      <w:r>
        <w:rPr>
          <w:b/>
          <w:bCs/>
          <w:color w:val="2E6DA4"/>
          <w:sz w:val="22"/>
          <w:szCs w:val="22"/>
        </w:rPr>
        <w:t>3.1 Macro Business Environment</w:t>
      </w:r>
    </w:p>
    <w:p w14:paraId="65D0C5F3" w14:textId="77777777" w:rsidR="0059742E" w:rsidRDefault="00C764C0">
      <w:pPr>
        <w:spacing w:before="60" w:after="80"/>
      </w:pPr>
      <w:r>
        <w:rPr>
          <w:color w:val="1A1A1A"/>
        </w:rPr>
        <w:t>Uzbekistan's economy continued to demonstrate robust growth momentum in 2025. The IMF projects real GDP growth of approximately 5.8% for 2025 and 5.5% for 2026, supported by fiscal stimulus, strong private consumption, continued structural reforms, and favorable commodity dynamics. Uzbekistan is among the fastest-growing economies in Central Asia, underpinned by an active reform agenda under President Shavkat Mirziyoyev, including privatization, trade liberalization, financial sector development, and FDI attraction.</w:t>
      </w:r>
    </w:p>
    <w:p w14:paraId="1546ECDF" w14:textId="77777777" w:rsidR="0059742E" w:rsidRDefault="00C764C0">
      <w:pPr>
        <w:spacing w:before="60" w:after="80"/>
      </w:pPr>
      <w:r>
        <w:rPr>
          <w:color w:val="1A1A1A"/>
        </w:rPr>
        <w:t>The reform programme has yielded tangible results: foreign direct investment inflows have increased markedly, the country has attracted multilateral financing from the World Bank, ADB, AIIB, and EBRD, and the banking sector has been substantially liberalized. Population growth, urbanization, and a young demographic profile provide structural tailwinds to consumer lending, mortgage markets, and retail deposits.</w:t>
      </w:r>
    </w:p>
    <w:p w14:paraId="5CF9E893" w14:textId="77777777" w:rsidR="0059742E" w:rsidRDefault="00C764C0">
      <w:pPr>
        <w:spacing w:before="60" w:after="80"/>
      </w:pPr>
      <w:r>
        <w:rPr>
          <w:color w:val="1A1A1A"/>
        </w:rPr>
        <w:t>Inflation moderated to approximately 8–9% in 2025 (down from double digits in prior years), and the Central Bank of Uzbekistan (CBU) has been cautiously reducing its policy rate toward 13.5% in late 2025 — a favorable trend for bank NIM management. The UZS has experienced moderate depreciation against the USD (approximately 5–8% annually), consistent with prevailing inflation differentials, and the CBU has maintained a managed float regime with adequate FX reserves.</w:t>
      </w:r>
    </w:p>
    <w:p w:rsidR="0059742E" w:rsidRDefault="00C764C0">
      <w:pPr>
        <w:pBdr>
          <w:bottom w:val="single" w:sz="4" w:space="2" w:color="2E6DA4"/>
        </w:pBdr>
        <w:spacing w:before="200" w:after="80"/>
      </w:pPr>
      <w:r>
        <w:rPr>
          <w:b/>
          <w:bCs/>
          <w:color w:val="2E6DA4"/>
          <w:sz w:val="22"/>
          <w:szCs w:val="22"/>
        </w:rPr>
        <w:t>3.2 Country Risk</w:t>
      </w:r>
    </w:p>
    <w:p w:rsidR="0059742E" w:rsidRDefault="00C764C0">
      <w:pPr>
        <w:spacing w:before="60" w:after="80"/>
      </w:pPr>
      <w:r>
        <w:rPr>
          <w:color w:val="1A1A1A"/>
        </w:rPr>
        <w:t>As substantially all of NBU’s assets, operations and customers are located in the Republic of Uzbekistan, the Bank’s credit profile is closely tied to Uzbek country risk. Uzbekistan is an emerging market that continues to display the economic, political, legal and regulatory characteristics of a transition economy, including evolving legislation, tax and regulatory frameworks that are subject to varying interpretation, and a developing institutional environment. The sovereign is now rated in the ‘BB’ category by all three major agencies (Moody’s Ba3, S&amp;P BB, Fitch BB), and NBU’s ratings are aligned with the sovereign, so any change in the sovereign rating or outlook would flow directly through to the Bank. On 21 November 2025, S&amp;P Global Ratings raised its long-term foreign- and local-currency sovereign credit ratings on Uzbekistan to ‘BB’ from ‘BB-’, with a stable outlook, affirmed the ‘B’ short-term ratings, and revised its transfer and convertibility assessment to ‘BB+’ from ‘BB-’. S&amp;P attributed the upgrade primarily to sustained improvements in Uzbekistan’s macroeconomic policymaking in recent years — including ongoing energy-sector and tariff reforms, improvements in transparency, and the government’s focus on delivering a range of investment projects — together with a materially strengthened external position.</w:t>
      </w:r>
    </w:p>
    <w:p w:rsidR="0059742E" w:rsidRDefault="00C764C0">
      <w:pPr>
        <w:spacing w:before="60" w:after="80"/>
      </w:pPr>
      <w:r>
        <w:rPr>
          <w:color w:val="1A1A1A"/>
        </w:rPr>
        <w:t>The economy remains sensitive to external conditions. Uzbekistan is a significant producer and exporter of gold, with gold and other metals accounting for about 40% of exports, so government revenues and the external accounts are exposed to swings in the gold price and other commodities. Record gold prices have nonetheless bolstered the country’s external position, with central bank international reserves more than doubling since 2023 to about USD 59 billion (44% of GDP) as at end-October 2025. According to S&amp;P, the economy expanded by 7.6% year on year in the first nine months of 2025, and S&amp;P forecasts buoyant growth averaging about 6.3% per year over 2025-2028, underpinned by resilient household demand and a sizeable pipeline of state investment projects. Inflation is expected to remain elevated at almost 9% in 2025 — partly reflecting ongoing energy-tariff liberalisation — before gradually declining to about 8% by 2028, and the CBU raised its policy rate by 50 basis points to 14% in March 2025 while maintaining a managed, crawl-like float of the soum with adequate foreign-exchange reserves. The geopolitical environment — in particular the conflict between the Russian Federation and Ukraine and the associated sanctions regime — remains a source of external uncertainty, as the economy relies on Russia for remittances and trade and is therefore susceptible to external shocks and secondary sanctions; NBU monitors the activities of its Russian subsidiary (JSCB Asia Invest Bank) for any sanctions exposure, although that entity represents a small share of group assets and was not subject to sanctions during the reporting period.</w:t>
      </w:r>
    </w:p>
    <w:p w:rsidR="0059742E" w:rsidRDefault="00C764C0">
      <w:pPr>
        <w:spacing w:before="60" w:after="80"/>
      </w:pPr>
      <w:r>
        <w:rPr>
          <w:color w:val="1A1A1A"/>
        </w:rPr>
        <w:t>Mitigating factors include Uzbekistan’s sustained reform agenda (privatisation, trade and price liberalisation, financial-sector modernisation, energy-tariff reform and FDI attraction), a favourable government debt profile with a large share of concessional external debt (about 84% of total external debt) at long maturities, multilateral support from the World Bank, ADB, AIIB and EBRD, and an improving sovereign rating trajectory now confirmed by S&amp;P’s November 2025 upgrade to ‘BB’. S&amp;P’s stable outlook balances Uzbekistan’s resilient growth and favourable debt profile against risks from a rise in external and fiscal leverage if left unchecked over the longer term. Nevertheless, the high degree of geographic concentration in a single emerging market, a still-low GDP per capita (about USD 3,500 in 2025) and exposure to commodity-price volatility remain structural risk factors for the Bank.</w:t>
      </w:r>
    </w:p>
    <w:p w:rsidR="0059742E" w:rsidRDefault="00C764C0">
      <w:pPr>
        <w:pBdr>
          <w:bottom w:val="single" w:sz="4" w:space="2" w:color="2E6DA4"/>
        </w:pBdr>
        <w:spacing w:before="200" w:after="80"/>
      </w:pPr>
      <w:r>
        <w:rPr>
          <w:b/>
          <w:bCs/>
          <w:color w:val="2E6DA4"/>
          <w:sz w:val="22"/>
          <w:szCs w:val="22"/>
        </w:rPr>
        <w:t>3.3 Banking Sector Risk</w:t>
      </w:r>
    </w:p>
    <w:p w:rsidR="0059742E" w:rsidRDefault="00C764C0">
      <w:pPr>
        <w:spacing w:before="60" w:after="80"/>
      </w:pPr>
      <w:r>
        <w:rPr>
          <w:color w:val="1A1A1A"/>
        </w:rPr>
        <w:t>The Uzbek banking sector has undergone substantial transformation since 2017, as the state has shifted from direct credit allocation toward regulatory reform and market-based intermediation. Sector assets have grown at double-digit rates, and while state-owned banks still dominate at roughly 55–60% of sector assets, their share has gradually declined as private and foreign-owned banks expand. NBU, as the largest bank with around 16% of system assets, is directly exposed to the structural features and risks of this sector.</w:t>
      </w:r>
    </w:p>
    <w:p w:rsidR="0059742E" w:rsidRDefault="00C764C0">
      <w:pPr>
        <w:spacing w:before="60" w:after="80"/>
      </w:pPr>
      <w:r>
        <w:rPr>
          <w:color w:val="1A1A1A"/>
        </w:rPr>
        <w:t>Several sector-level risks bear on the Bank’s profile. State ownership concentration and the legacy of directed lending create governance and asset-quality risks, and problem-loan recognition and provisioning practices among state banks remain an area of international scrutiny. Rapid credit growth — driven by mortgage, SME and state-directed investment-project lending — can mask underlying credit risk through a seasoning effect. High dollarisation of both assets and liabilities exposes the system to foreign-currency and FX-linked credit risk, and the sector remains reliant on wholesale and state funding. The ongoing partial privatisation of state-owned banks, with NBU among the institutions potentially subject to a future IPO or strategic-investor process, is expected to improve governance over time but introduces transition and change-of-control considerations.</w:t>
      </w:r>
    </w:p>
    <w:p w:rsidR="0059742E" w:rsidRDefault="00C764C0">
      <w:pPr>
        <w:spacing w:before="60" w:after="80"/>
      </w:pPr>
      <w:r>
        <w:rPr>
          <w:color w:val="1A1A1A"/>
        </w:rPr>
        <w:t>On the mitigation side, the CBU has progressively adopted Basel III-aligned capital and liquidity standards — including minimum capital-adequacy, Tier 1 and liquidity-coverage requirements — which have strengthened system resilience, and prudential supervision continues to tighten. Interest-rate normalisation is under way but remains gradual, supporting net interest margins across the sector.</w:t>
      </w:r>
    </w:p>
    <w:p w:rsidR="0059742E" w:rsidRDefault="00C764C0">
      <w:pPr>
        <w:pBdr>
          <w:bottom w:val="single" w:sz="4" w:space="2" w:color="2E6DA4"/>
        </w:pBdr>
        <w:spacing w:before="200" w:after="80"/>
      </w:pPr>
      <w:r>
        <w:rPr>
          <w:b/>
          <w:bCs/>
          <w:color w:val="2E6DA4"/>
          <w:sz w:val="22"/>
          <w:szCs w:val="22"/>
        </w:rPr>
        <w:t>3.4 Company Risk Management</w:t>
      </w:r>
    </w:p>
    <w:p w:rsidR="0059742E" w:rsidRDefault="00C764C0">
      <w:pPr>
        <w:spacing w:before="60" w:after="80"/>
      </w:pPr>
      <w:r>
        <w:rPr>
          <w:color w:val="1A1A1A"/>
        </w:rPr>
        <w:t>NBU operates under a multi-level risk-governance framework. The Supervisory Board sets overall risk appetite and approves risk policies, while the Management Board implements the framework through dedicated risk functions. The First Deputy Chairman of the Management Board directly oversees the Risk Management Department and Compliance Risk Unit, ensuring independence from the business lines. Risk is managed through a continuous process of identification, measurement and monitoring against approved limits, covering credit, market (interest-rate and currency), liquidity and operational risk.</w:t>
      </w:r>
    </w:p>
    <w:p w:rsidR="0059742E" w:rsidRDefault="00C764C0">
      <w:pPr>
        <w:spacing w:before="60" w:after="80"/>
      </w:pPr>
      <w:r>
        <w:rPr>
          <w:b/>
          <w:bCs/>
          <w:color w:val="1A1A1A"/>
        </w:rPr>
        <w:t xml:space="preserve">Credit Risk: </w:t>
      </w:r>
      <w:r>
        <w:rPr>
          <w:color w:val="1A1A1A"/>
        </w:rPr>
        <w:t>NBU’s loan portfolio is heavily concentrated in corporate and state-directed lending, including large investment-project finance, agricultural lending and export-oriented industries. As Uzbekistan’s flagship foreign-trade bank, a significant portion of the balance sheet is denominated in foreign currency (approximately 60% of total assets), which creates both credit and FX-linked credit risk because borrowers predominantly earn in local currency. The Bank manages credit risk through counterparty and concentration limits, collateral and a credit-quality review process. Detailed asset-quality metrics (provision coverage, regulatory NPL and IFRS Stage 3 ratios) are set out in Section 2.4.</w:t>
      </w:r>
    </w:p>
    <w:p w:rsidR="0059742E" w:rsidRDefault="00C764C0">
      <w:pPr>
        <w:spacing w:before="60" w:after="80"/>
      </w:pPr>
      <w:r>
        <w:rPr>
          <w:b/>
          <w:bCs/>
          <w:color w:val="1A1A1A"/>
        </w:rPr>
        <w:t xml:space="preserve">Market Risk: </w:t>
      </w:r>
      <w:r>
        <w:rPr>
          <w:color w:val="1A1A1A"/>
        </w:rPr>
        <w:t>Market risk is the risk that the Group’s earnings, capital or ability to meet business objectives are adversely affected by changes in the level or volatility of market rates and prices, and covers interest-rate risk, currency risk, credit spreads and equity-price risk. The Bank’s Treasury Department manages market risk by matching the interest-rate position to maintain a positive interest margin and by managing the open currency position, and the Asset and Liability Management Committee (ALCO) exercises oversight. As disclosed in NBU’s audited consolidated financial statements, there has been no change in the way the Group measures or manages market risk.</w:t>
      </w:r>
    </w:p>
    <w:p w:rsidR="0059742E" w:rsidRDefault="00C764C0">
      <w:pPr>
        <w:spacing w:before="60" w:after="80"/>
      </w:pPr>
      <w:r>
        <w:rPr>
          <w:b/>
          <w:bCs/>
          <w:color w:val="1A1A1A"/>
        </w:rPr>
        <w:t xml:space="preserve">Interest-Rate Risk: </w:t>
      </w:r>
      <w:r>
        <w:rPr>
          <w:color w:val="1A1A1A"/>
        </w:rPr>
        <w:t>Interest-rate risk arises from the possibility that changes in interest rates affect future cash flows or the fair values of financial instruments; the Bank borrows at both fixed and floating rates and manages the risk by maintaining an appropriate mix of fixed- and floating-rate positions, monitored by Treasury and the ALCO. Based on the sensitivity analysis disclosed in NBU’s audited consolidated financial statements, a parallel increase of 180 basis points in interest rates would change the sensitivity of net interest income by approximately UZS +306.2 billion on floating-rate financial assets and approximately UZS −234.8 billion on floating-rate financial liabilities, with broadly symmetric effects of the opposite sign for an equivalent 180 basis-point decrease. The current CBU rate-cut cycle is providing relief on deposit-funding costs.</w:t>
      </w:r>
    </w:p>
    <w:p w:rsidR="0059742E" w:rsidRDefault="00C764C0">
      <w:pPr>
        <w:spacing w:before="60" w:after="80"/>
      </w:pPr>
      <w:r>
        <w:rPr>
          <w:b/>
          <w:bCs/>
          <w:color w:val="1A1A1A"/>
        </w:rPr>
        <w:t xml:space="preserve">Currency Risk: </w:t>
      </w:r>
      <w:r>
        <w:rPr>
          <w:color w:val="1A1A1A"/>
        </w:rPr>
        <w:t>Currency risk is the principal market risk for NBU. With approximately 60% of the balance sheet in foreign currency (largely USD), the Bank is exposed to soum depreciation on its open currency position and on equity, although the state’s recurring capital injections mitigate this structurally. Treasury manages the open currency position daily within CBU-mandated limits. Based on the sensitivity analysis in NBU’s audited consolidated financial statements, a 10% appreciation of the US dollar against the soum would increase profit before tax by approximately UZS 423.2 billion (and a 10% depreciation would reduce it by the same amount); a 15% movement in the euro would affect profit before tax by approximately UZS 75.3 billion; and a 9% movement in other currencies would affect profit before tax by approximately UZS 298.8 billion, in the opposite direction, reflecting the Bank’s net positions in those currencies.</w:t>
      </w:r>
    </w:p>
    <w:p w:rsidR="0059742E" w:rsidRDefault="00C764C0">
      <w:pPr>
        <w:spacing w:before="60" w:after="80"/>
      </w:pPr>
      <w:r>
        <w:rPr>
          <w:b/>
          <w:bCs/>
          <w:color w:val="1A1A1A"/>
        </w:rPr>
        <w:t xml:space="preserve">Liquidity Risk: </w:t>
      </w:r>
      <w:r>
        <w:rPr>
          <w:color w:val="1A1A1A"/>
        </w:rPr>
        <w:t>NBU maintains adequate liquidity supported by its large interbank-placement book, government-securities portfolio and stable government-related deposit base. The shift toward growing domestic deposits in 2025 (total customer deposits up approximately 37% year on year) further reduces reliance on wholesale foreign borrowings. The Bank monitors CBU-mandated liquidity ratios, including the Liquidity Coverage Ratio (LCR) and Net Stable Funding Ratio (NSFR).</w:t>
      </w:r>
    </w:p>
    <w:p w:rsidR="0059742E" w:rsidRDefault="00C764C0">
      <w:pPr>
        <w:spacing w:before="60" w:after="80"/>
      </w:pPr>
      <w:r>
        <w:rPr>
          <w:b/>
          <w:bCs/>
          <w:color w:val="1A1A1A"/>
        </w:rPr>
        <w:t xml:space="preserve">Operational Risk: </w:t>
      </w:r>
      <w:r>
        <w:rPr>
          <w:color w:val="1A1A1A"/>
        </w:rPr>
        <w:t>Operational risk is the risk of loss arising from systems failure, human error, fraud or external events. NBU manages operational risk through a control framework that includes segregation of duties, access and authorisation controls, reconciliation procedures, staff training and assessment, and an independent internal-audit function, consistent with the operational-risk framework described in its audited consolidated financial statements.</w:t>
      </w:r>
    </w:p>
    <w:p w:rsidR="0059742E" w:rsidRDefault="00C764C0">
      <w:pPr>
        <w:spacing w:before="60" w:after="80"/>
      </w:pPr>
      <w:r>
        <w:rPr>
          <w:b/>
          <w:bCs/>
          <w:color w:val="1A1A1A"/>
        </w:rPr>
        <w:t xml:space="preserve">Sovereign / Political Risk: </w:t>
      </w:r>
      <w:r>
        <w:rPr>
          <w:color w:val="1A1A1A"/>
        </w:rPr>
        <w:t>As a 100% state-owned institution, NBU’s credit profile is intrinsically linked to the Uzbekistan sovereign. The rating agencies align NBU’s external ratings with the sovereign (BB-/BB, Stable/Positive outlooks), reflecting a near-certainty of state support in a stress scenario. Uzbekistan’s sovereign ratings have been on a stable-to-positive trajectory, supported by strong reform momentum and improving macroeconomic fundamentals.</w:t>
      </w:r>
    </w:p>
    <w:p w14:paraId="478318F6" w14:textId="77777777" w:rsidR="0059742E" w:rsidRDefault="00C764C0">
      <w:r>
        <w:br w:type="page"/>
      </w:r>
    </w:p>
    <w:p w14:paraId="7270A354" w14:textId="77777777" w:rsidR="0059742E" w:rsidRDefault="00C764C0">
      <w:pPr>
        <w:spacing w:before="280" w:after="120"/>
      </w:pPr>
      <w:r>
        <w:rPr>
          <w:b/>
          <w:bCs/>
          <w:color w:val="1A3A5C"/>
          <w:sz w:val="26"/>
          <w:szCs w:val="26"/>
        </w:rPr>
        <w:t>Part 4 - Historical Banking Relationship and Plan</w:t>
      </w:r>
    </w:p>
    <w:p w14:paraId="6636C94C" w14:textId="77777777" w:rsidR="0059742E" w:rsidRDefault="00C764C0">
      <w:pPr>
        <w:pStyle w:val="ListParagraph"/>
        <w:numPr>
          <w:ilvl w:val="0"/>
          <w:numId w:val="2"/>
        </w:numPr>
        <w:spacing w:before="40" w:after="40"/>
      </w:pPr>
      <w:r>
        <w:rPr>
          <w:color w:val="1A1A1A"/>
        </w:rPr>
        <w:lastRenderedPageBreak/>
        <w:t>NBU is the largest bank in Uzbekistan and a key correspondent for cross-border transactions and trade finance in the Central Asian market.</w:t>
      </w:r>
    </w:p>
    <w:p w14:paraId="5ED54525" w14:textId="77777777" w:rsidR="0059742E" w:rsidRDefault="00C764C0">
      <w:pPr>
        <w:pStyle w:val="ListParagraph"/>
        <w:numPr>
          <w:ilvl w:val="0"/>
          <w:numId w:val="2"/>
        </w:numPr>
        <w:spacing w:before="40" w:after="40"/>
      </w:pPr>
      <w:r>
        <w:rPr>
          <w:color w:val="1A1A1A"/>
        </w:rPr>
        <w:t>The bank has an established track record of timely service on all bilateral financial obligations, with no history of default on any foreign debt instruments.</w:t>
      </w:r>
    </w:p>
    <w:p w14:paraId="36CA82CB" w14:textId="77777777" w:rsidR="0059742E" w:rsidRDefault="00C764C0">
      <w:pPr>
        <w:pStyle w:val="ListParagraph"/>
        <w:numPr>
          <w:ilvl w:val="0"/>
          <w:numId w:val="2"/>
        </w:numPr>
        <w:spacing w:before="40" w:after="40"/>
      </w:pPr>
      <w:r>
        <w:rPr>
          <w:color w:val="1A1A1A"/>
        </w:rPr>
        <w:t>NBU successfully issued a USD 300 million, 5-year Eurobond in July 2025 at 7.2% and a UZS 1.5 trillion local-currency bond at 17.95% coupon, with both tranches heavily oversubscribed, confirming strong international investor confidence.</w:t>
      </w:r>
    </w:p>
    <w:p w14:paraId="1208843C" w14:textId="77777777" w:rsidR="0059742E" w:rsidRDefault="00C764C0">
      <w:pPr>
        <w:pStyle w:val="ListParagraph"/>
        <w:numPr>
          <w:ilvl w:val="0"/>
          <w:numId w:val="2"/>
        </w:numPr>
        <w:spacing w:before="40" w:after="40"/>
      </w:pPr>
      <w:r>
        <w:rPr>
          <w:color w:val="1A1A1A"/>
        </w:rPr>
        <w:t>NBU's S&amp;P rating was upgraded to BB in 2025, and its Fitch rating was upgraded from BB- to BB in 2026, reflecting continued improvements in financial strength and the government's commitment to the institution.</w:t>
      </w:r>
    </w:p>
    <w:p w14:paraId="6BC5A725" w14:textId="77777777" w:rsidR="0059742E" w:rsidRDefault="00C764C0">
      <w:pPr>
        <w:pStyle w:val="ListParagraph"/>
        <w:numPr>
          <w:ilvl w:val="0"/>
          <w:numId w:val="2"/>
        </w:numPr>
        <w:spacing w:before="40" w:after="40"/>
      </w:pPr>
      <w:r>
        <w:rPr>
          <w:color w:val="1A1A1A"/>
        </w:rPr>
        <w:t>We view NBU as a strategically important relationship bank for our Uzbekistan and Central Asia franchise, with opportunities in trade finance confirmation, bilateral lending, and bond investment.</w:t>
      </w:r>
    </w:p>
    <w:p w14:paraId="18AA1CDF" w14:textId="77777777" w:rsidR="0059742E" w:rsidRDefault="00C764C0">
      <w:r>
        <w:br w:type="page"/>
      </w:r>
    </w:p>
    <w:p w14:paraId="0B6169D1" w14:textId="77777777" w:rsidR="0059742E" w:rsidRDefault="00C764C0">
      <w:pPr>
        <w:spacing w:before="280" w:after="120"/>
      </w:pPr>
      <w:r>
        <w:rPr>
          <w:b/>
          <w:bCs/>
          <w:color w:val="1A3A5C"/>
          <w:sz w:val="26"/>
          <w:szCs w:val="26"/>
        </w:rPr>
        <w:lastRenderedPageBreak/>
        <w:t>Part 5 - Internal and External Rating of NBU</w:t>
      </w:r>
    </w:p>
    <w:p w14:paraId="33251F3D" w14:textId="77777777" w:rsidR="0059742E" w:rsidRDefault="00C764C0">
      <w:pPr>
        <w:pBdr>
          <w:bottom w:val="single" w:sz="4" w:space="2" w:color="2E6DA4"/>
        </w:pBdr>
        <w:spacing w:before="200" w:after="80"/>
      </w:pPr>
      <w:r>
        <w:rPr>
          <w:b/>
          <w:bCs/>
          <w:color w:val="2E6DA4"/>
          <w:sz w:val="22"/>
          <w:szCs w:val="22"/>
        </w:rPr>
        <w:t>5.1 Credit rating review</w:t>
      </w:r>
    </w:p>
    <w:p w14:paraId="322C365C" w14:textId="77777777" w:rsidR="0059742E" w:rsidRDefault="00C764C0">
      <w:pPr>
        <w:spacing w:before="60" w:after="80"/>
      </w:pPr>
      <w:r>
        <w:rPr>
          <w:color w:val="1A1A1A"/>
        </w:rPr>
        <w:t>External Credit Ratings by Public Rating Agencies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59742E" w14:paraId="5557054A" w14:textId="77777777">
        <w:tc>
          <w:tcPr>
            <w:tcW w:w="2520"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652E4109" w14:textId="77777777" w:rsidR="0059742E" w:rsidRDefault="00C764C0">
            <w:pPr>
              <w:jc w:val="center"/>
            </w:pPr>
            <w:r>
              <w:rPr>
                <w:b/>
                <w:bCs/>
                <w:color w:val="FFFFFF"/>
                <w:sz w:val="18"/>
                <w:szCs w:val="18"/>
              </w:rPr>
              <w:t>Rating Agency</w:t>
            </w:r>
          </w:p>
        </w:tc>
        <w:tc>
          <w:tcPr>
            <w:tcW w:w="2520"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3A81D966" w14:textId="77777777" w:rsidR="0059742E" w:rsidRDefault="00C764C0">
            <w:pPr>
              <w:jc w:val="center"/>
            </w:pPr>
            <w:r>
              <w:rPr>
                <w:b/>
                <w:bCs/>
                <w:color w:val="FFFFFF"/>
                <w:sz w:val="18"/>
                <w:szCs w:val="18"/>
              </w:rPr>
              <w:t>Rating</w:t>
            </w:r>
          </w:p>
        </w:tc>
        <w:tc>
          <w:tcPr>
            <w:tcW w:w="2520"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227E03CF" w14:textId="77777777" w:rsidR="0059742E" w:rsidRDefault="00C764C0">
            <w:pPr>
              <w:jc w:val="center"/>
            </w:pPr>
            <w:r>
              <w:rPr>
                <w:b/>
                <w:bCs/>
                <w:color w:val="FFFFFF"/>
                <w:sz w:val="18"/>
                <w:szCs w:val="18"/>
              </w:rPr>
              <w:t>Outlook</w:t>
            </w:r>
          </w:p>
        </w:tc>
        <w:tc>
          <w:tcPr>
            <w:tcW w:w="2520"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5764E94D" w14:textId="77777777" w:rsidR="0059742E" w:rsidRDefault="00C764C0">
            <w:pPr>
              <w:jc w:val="center"/>
            </w:pPr>
            <w:r>
              <w:rPr>
                <w:b/>
                <w:bCs/>
                <w:color w:val="FFFFFF"/>
                <w:sz w:val="18"/>
                <w:szCs w:val="18"/>
              </w:rPr>
              <w:t>Last Confirmed</w:t>
            </w:r>
          </w:p>
        </w:tc>
      </w:tr>
      <w:tr w:rsidR="0059742E" w14:paraId="4C0474D6" w14:textId="77777777">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0672CB51" w14:textId="77777777" w:rsidR="0059742E" w:rsidRDefault="00C764C0">
            <w:r>
              <w:rPr>
                <w:b/>
                <w:bCs/>
                <w:color w:val="1A1A1A"/>
                <w:sz w:val="18"/>
                <w:szCs w:val="18"/>
              </w:rPr>
              <w:t>Moody's</w:t>
            </w:r>
          </w:p>
        </w:tc>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7CEE9752" w14:textId="77777777" w:rsidR="0059742E" w:rsidRDefault="00C764C0">
            <w:r>
              <w:rPr>
                <w:color w:val="1A1A1A"/>
                <w:sz w:val="18"/>
                <w:szCs w:val="18"/>
              </w:rPr>
              <w:t>Ba3</w:t>
            </w:r>
          </w:p>
        </w:tc>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68302E21" w14:textId="77777777" w:rsidR="0059742E" w:rsidRDefault="00C764C0">
            <w:r>
              <w:rPr>
                <w:color w:val="1A1A1A"/>
                <w:sz w:val="18"/>
                <w:szCs w:val="18"/>
              </w:rPr>
              <w:t>Stable</w:t>
            </w:r>
          </w:p>
        </w:tc>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1B66A63F" w14:textId="77777777" w:rsidR="0059742E" w:rsidRDefault="00C764C0">
            <w:r>
              <w:rPr>
                <w:color w:val="1A1A1A"/>
                <w:sz w:val="18"/>
                <w:szCs w:val="18"/>
              </w:rPr>
              <w:t>September 2023 (last confirmed)</w:t>
            </w:r>
          </w:p>
        </w:tc>
      </w:tr>
      <w:tr w:rsidR="0059742E" w14:paraId="2EDAC104" w14:textId="77777777">
        <w:tc>
          <w:tcPr>
            <w:tcW w:w="252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62030730" w14:textId="77777777" w:rsidR="0059742E" w:rsidRDefault="00C764C0">
            <w:r>
              <w:rPr>
                <w:b/>
                <w:bCs/>
                <w:color w:val="1A1A1A"/>
                <w:sz w:val="18"/>
                <w:szCs w:val="18"/>
              </w:rPr>
              <w:t>S&amp;P Global</w:t>
            </w:r>
          </w:p>
        </w:tc>
        <w:tc>
          <w:tcPr>
            <w:tcW w:w="252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2937A749" w14:textId="77777777" w:rsidR="0059742E" w:rsidRDefault="00C764C0">
            <w:r>
              <w:rPr>
                <w:color w:val="1A1A1A"/>
                <w:sz w:val="18"/>
                <w:szCs w:val="18"/>
              </w:rPr>
              <w:t>BB/B</w:t>
            </w:r>
          </w:p>
        </w:tc>
        <w:tc>
          <w:tcPr>
            <w:tcW w:w="252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5719761B" w14:textId="77777777" w:rsidR="0059742E" w:rsidRDefault="00C764C0">
            <w:r>
              <w:rPr>
                <w:color w:val="1A1A1A"/>
                <w:sz w:val="18"/>
                <w:szCs w:val="18"/>
              </w:rPr>
              <w:t>Stable</w:t>
            </w:r>
          </w:p>
        </w:tc>
        <w:tc>
          <w:tcPr>
            <w:tcW w:w="252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06D4DACE" w14:textId="77777777" w:rsidR="0059742E" w:rsidRDefault="00C764C0">
            <w:r>
              <w:rPr>
                <w:color w:val="1A1A1A"/>
                <w:sz w:val="18"/>
                <w:szCs w:val="18"/>
              </w:rPr>
              <w:t>2025 (upgraded to BB)</w:t>
            </w:r>
          </w:p>
        </w:tc>
      </w:tr>
      <w:tr w:rsidR="0059742E" w14:paraId="32DAF32F" w14:textId="77777777">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192B886D" w14:textId="77777777" w:rsidR="0059742E" w:rsidRDefault="00C764C0">
            <w:r>
              <w:rPr>
                <w:b/>
                <w:bCs/>
                <w:color w:val="1A1A1A"/>
                <w:sz w:val="18"/>
                <w:szCs w:val="18"/>
              </w:rPr>
              <w:t>Fitch Ratings</w:t>
            </w:r>
          </w:p>
        </w:tc>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361D8C80" w14:textId="77777777" w:rsidR="0059742E" w:rsidRDefault="00C764C0">
            <w:r>
              <w:rPr>
                <w:color w:val="1A1A1A"/>
                <w:sz w:val="18"/>
                <w:szCs w:val="18"/>
              </w:rPr>
              <w:t>BB (IDR, Issuer Default Rating)</w:t>
            </w:r>
          </w:p>
        </w:tc>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26A3C83E" w14:textId="77777777" w:rsidR="0059742E" w:rsidRDefault="00C764C0">
            <w:r>
              <w:rPr>
                <w:color w:val="1A1A1A"/>
                <w:sz w:val="18"/>
                <w:szCs w:val="18"/>
              </w:rPr>
              <w:t>Stable</w:t>
            </w:r>
          </w:p>
        </w:tc>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7445BFC6" w14:textId="77777777" w:rsidR="0059742E" w:rsidRDefault="00C764C0">
            <w:r>
              <w:rPr>
                <w:color w:val="1A1A1A"/>
                <w:sz w:val="18"/>
                <w:szCs w:val="18"/>
              </w:rPr>
              <w:t>March 2026 (affirmed)</w:t>
            </w:r>
          </w:p>
        </w:tc>
      </w:tr>
    </w:tbl>
    <w:p w14:paraId="14B02D6A" w14:textId="77777777" w:rsidR="0059742E" w:rsidRDefault="00C764C0">
      <w:pPr>
        <w:spacing w:before="60" w:after="80"/>
      </w:pPr>
      <w:r>
        <w:rPr>
          <w:color w:val="1A1A1A"/>
        </w:rPr>
        <w:t>In March 2026, Fitch Ratings affirmed NBU's Long-Term Issuer Default Ratings at 'BB' in both foreign and local currencies with a Stable outlook. The IDRs reflect Fitch's assessment that state support is virtually certain given NBU's full state ownership, systemic importance (largest bank, ~16% of sector assets), and its role as an instrument of government economic policy. The Viability Rating was maintained at 'B+', exceeding the operating environment score by one notch, supported by NBU's dominant market position, strong profitability, adequate capitalization, and liquidity. All three agencies align NBU's ratings with Uzbekistan's sovereign level, consistent with the bank's quasi-sovereign status.</w:t>
      </w:r>
    </w:p>
    <w:p w14:paraId="45CAFF18" w14:textId="77777777" w:rsidR="00BA183A" w:rsidRDefault="00000000">
      <w:pPr>
        <w:spacing w:before="60" w:after="80"/>
      </w:pPr>
      <w:r>
        <w:rPr>
          <w:color w:val="1A1A1A"/>
        </w:rPr>
        <w:t>Separately, in June 2026 Fitch Ratings revised the Republic of Uzbekistan's sovereign Outlook to Positive while affirming the sovereign Long-Term IDR at 'BB'. As NBU's ratings are aligned with the sovereign, a future sovereign upgrade would be positive for NBU's ratings; however, no bank-specific rating action had been taken as of the date of this report.</w:t>
      </w:r>
    </w:p>
    <w:p w14:paraId="17A90F6B" w14:textId="77777777" w:rsidR="0059742E" w:rsidRDefault="00C764C0">
      <w:pPr>
        <w:spacing w:before="60" w:after="80"/>
      </w:pPr>
      <w:r>
        <w:rPr>
          <w:color w:val="1A1A1A"/>
        </w:rPr>
        <w:t>Internally, the bank's GCMS-derived rating is expected to be classified at sA+ (investment-grade internal band), pending final approval, reflecting its sovereign link, stable financial trajectory, and systemic importance.</w:t>
      </w:r>
    </w:p>
    <w:p w14:paraId="4BC12B3A" w14:textId="77777777" w:rsidR="0059742E" w:rsidRDefault="00C764C0">
      <w:pPr>
        <w:pBdr>
          <w:bottom w:val="single" w:sz="4" w:space="2" w:color="2E6DA4"/>
        </w:pBdr>
        <w:spacing w:before="200" w:after="80"/>
      </w:pPr>
      <w:r>
        <w:rPr>
          <w:b/>
          <w:bCs/>
          <w:color w:val="2E6DA4"/>
          <w:sz w:val="22"/>
          <w:szCs w:val="22"/>
        </w:rPr>
        <w:t>5.2 Credit limit availability</w:t>
      </w:r>
    </w:p>
    <w:p w14:paraId="4CA4221E" w14:textId="77777777" w:rsidR="0059742E" w:rsidRDefault="00C764C0">
      <w:pPr>
        <w:spacing w:before="60" w:after="80"/>
      </w:pPr>
      <w:r>
        <w:rPr>
          <w:color w:val="1A1A1A"/>
        </w:rPr>
        <w:t>As of the date of this report, our institution holds existing exposure to NBU through interbank placements and trade finance facilities. NBU has a well-established bilateral relationship with our institution, including correspondent banking, trade finance confirmations, and Eurobond participation. NBU was an active Eurobond issuer in 2025 — the dual-tranche bond attracted strong demand from international investors, reflecting market confidence in the credit.</w:t>
      </w:r>
    </w:p>
    <w:p w14:paraId="4FBDAEC4" w14:textId="77777777" w:rsidR="0059742E" w:rsidRDefault="00C764C0">
      <w:pPr>
        <w:spacing w:before="60" w:after="80"/>
      </w:pPr>
      <w:r>
        <w:rPr>
          <w:color w:val="1A1A1A"/>
        </w:rPr>
        <w:t>Given NBU's quasi-sovereign status, its dominant position in Uzbekistan's banking sector, its improving financial profile, and active engagement with international capital markets, we recommend the maintenance and selective expansion of credit facilities.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512"/>
        <w:gridCol w:w="1512"/>
        <w:gridCol w:w="1512"/>
        <w:gridCol w:w="1512"/>
        <w:gridCol w:w="1512"/>
      </w:tblGrid>
      <w:tr w:rsidR="0059742E" w14:paraId="07E95CFD" w14:textId="77777777">
        <w:tc>
          <w:tcPr>
            <w:tcW w:w="2520"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3AE67530" w14:textId="77777777" w:rsidR="0059742E" w:rsidRDefault="00C764C0">
            <w:pPr>
              <w:jc w:val="center"/>
            </w:pPr>
            <w:r>
              <w:rPr>
                <w:b/>
                <w:bCs/>
                <w:color w:val="FFFFFF"/>
                <w:sz w:val="18"/>
                <w:szCs w:val="18"/>
              </w:rPr>
              <w:t>USD Million</w:t>
            </w:r>
          </w:p>
        </w:tc>
        <w:tc>
          <w:tcPr>
            <w:tcW w:w="1512"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362A8010" w14:textId="77777777" w:rsidR="0059742E" w:rsidRDefault="00C764C0">
            <w:pPr>
              <w:jc w:val="center"/>
            </w:pPr>
            <w:r>
              <w:rPr>
                <w:b/>
                <w:bCs/>
                <w:color w:val="FFFFFF"/>
                <w:sz w:val="18"/>
                <w:szCs w:val="18"/>
              </w:rPr>
              <w:t>Maximum Credit Line</w:t>
            </w:r>
          </w:p>
        </w:tc>
        <w:tc>
          <w:tcPr>
            <w:tcW w:w="1512"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177FC68C" w14:textId="77777777" w:rsidR="0059742E" w:rsidRDefault="00C764C0">
            <w:pPr>
              <w:jc w:val="center"/>
            </w:pPr>
            <w:r>
              <w:rPr>
                <w:b/>
                <w:bCs/>
                <w:color w:val="FFFFFF"/>
                <w:sz w:val="18"/>
                <w:szCs w:val="18"/>
              </w:rPr>
              <w:t>Interbank Finance &lt;=1 Year</w:t>
            </w:r>
          </w:p>
        </w:tc>
        <w:tc>
          <w:tcPr>
            <w:tcW w:w="1512"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1BF0AF72" w14:textId="77777777" w:rsidR="0059742E" w:rsidRDefault="00C764C0">
            <w:pPr>
              <w:jc w:val="center"/>
            </w:pPr>
            <w:r>
              <w:rPr>
                <w:b/>
                <w:bCs/>
                <w:color w:val="FFFFFF"/>
                <w:sz w:val="18"/>
                <w:szCs w:val="18"/>
              </w:rPr>
              <w:t>Interbank Finance &gt;1 Year</w:t>
            </w:r>
          </w:p>
        </w:tc>
        <w:tc>
          <w:tcPr>
            <w:tcW w:w="1512"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7B875FEF" w14:textId="77777777" w:rsidR="0059742E" w:rsidRDefault="00C764C0">
            <w:pPr>
              <w:jc w:val="center"/>
            </w:pPr>
            <w:r>
              <w:rPr>
                <w:b/>
                <w:bCs/>
                <w:color w:val="FFFFFF"/>
                <w:sz w:val="18"/>
                <w:szCs w:val="18"/>
              </w:rPr>
              <w:t>Bond Investment</w:t>
            </w:r>
          </w:p>
        </w:tc>
        <w:tc>
          <w:tcPr>
            <w:tcW w:w="1512"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13784485" w14:textId="77777777" w:rsidR="0059742E" w:rsidRDefault="00C764C0">
            <w:pPr>
              <w:jc w:val="center"/>
            </w:pPr>
            <w:r>
              <w:rPr>
                <w:b/>
                <w:bCs/>
                <w:color w:val="FFFFFF"/>
                <w:sz w:val="18"/>
                <w:szCs w:val="18"/>
              </w:rPr>
              <w:t>Derivatives</w:t>
            </w:r>
          </w:p>
        </w:tc>
      </w:tr>
      <w:tr w:rsidR="0059742E" w14:paraId="0FEEB4AE" w14:textId="77777777">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1EA11201" w14:textId="77777777" w:rsidR="0059742E" w:rsidRDefault="00C764C0">
            <w:r>
              <w:rPr>
                <w:b/>
                <w:bCs/>
                <w:color w:val="1A1A1A"/>
                <w:sz w:val="18"/>
                <w:szCs w:val="18"/>
              </w:rPr>
              <w:t>Current Outstanding</w:t>
            </w:r>
          </w:p>
        </w:tc>
        <w:tc>
          <w:tcPr>
            <w:tcW w:w="1512"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243C7DC4" w14:textId="77777777" w:rsidR="0059742E" w:rsidRDefault="00C764C0">
            <w:pPr>
              <w:jc w:val="right"/>
            </w:pPr>
            <w:r>
              <w:rPr>
                <w:color w:val="1A1A1A"/>
                <w:sz w:val="18"/>
                <w:szCs w:val="18"/>
              </w:rPr>
              <w:t>—</w:t>
            </w:r>
          </w:p>
        </w:tc>
        <w:tc>
          <w:tcPr>
            <w:tcW w:w="1512"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3FB19408" w14:textId="77777777" w:rsidR="0059742E" w:rsidRDefault="00C764C0">
            <w:pPr>
              <w:jc w:val="right"/>
            </w:pPr>
            <w:r>
              <w:rPr>
                <w:color w:val="1A1A1A"/>
                <w:sz w:val="18"/>
                <w:szCs w:val="18"/>
              </w:rPr>
              <w:t>—</w:t>
            </w:r>
          </w:p>
        </w:tc>
        <w:tc>
          <w:tcPr>
            <w:tcW w:w="1512"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1A88C9DB" w14:textId="77777777" w:rsidR="0059742E" w:rsidRDefault="00C764C0">
            <w:pPr>
              <w:jc w:val="right"/>
            </w:pPr>
            <w:r>
              <w:rPr>
                <w:color w:val="1A1A1A"/>
                <w:sz w:val="18"/>
                <w:szCs w:val="18"/>
              </w:rPr>
              <w:t>—</w:t>
            </w:r>
          </w:p>
        </w:tc>
        <w:tc>
          <w:tcPr>
            <w:tcW w:w="1512"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0CB48CF6" w14:textId="77777777" w:rsidR="0059742E" w:rsidRDefault="00C764C0">
            <w:pPr>
              <w:jc w:val="right"/>
            </w:pPr>
            <w:r>
              <w:rPr>
                <w:color w:val="1A1A1A"/>
                <w:sz w:val="18"/>
                <w:szCs w:val="18"/>
              </w:rPr>
              <w:t>—</w:t>
            </w:r>
          </w:p>
        </w:tc>
        <w:tc>
          <w:tcPr>
            <w:tcW w:w="1512"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059067E7" w14:textId="77777777" w:rsidR="0059742E" w:rsidRDefault="00C764C0">
            <w:pPr>
              <w:jc w:val="right"/>
            </w:pPr>
            <w:r>
              <w:rPr>
                <w:color w:val="1A1A1A"/>
                <w:sz w:val="18"/>
                <w:szCs w:val="18"/>
              </w:rPr>
              <w:t>—</w:t>
            </w:r>
          </w:p>
        </w:tc>
      </w:tr>
      <w:tr w:rsidR="0059742E" w14:paraId="00DA399E" w14:textId="77777777">
        <w:tc>
          <w:tcPr>
            <w:tcW w:w="252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53962DAF" w14:textId="77777777" w:rsidR="0059742E" w:rsidRDefault="00C764C0">
            <w:r>
              <w:rPr>
                <w:b/>
                <w:bCs/>
                <w:color w:val="1A1A1A"/>
                <w:sz w:val="18"/>
                <w:szCs w:val="18"/>
              </w:rPr>
              <w:t>Current Limit</w:t>
            </w:r>
          </w:p>
        </w:tc>
        <w:tc>
          <w:tcPr>
            <w:tcW w:w="1512"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43636E70" w14:textId="77777777" w:rsidR="0059742E" w:rsidRDefault="00C764C0">
            <w:pPr>
              <w:jc w:val="right"/>
            </w:pPr>
            <w:r>
              <w:rPr>
                <w:color w:val="1A1A1A"/>
                <w:sz w:val="18"/>
                <w:szCs w:val="18"/>
              </w:rPr>
              <w:t>—</w:t>
            </w:r>
          </w:p>
        </w:tc>
        <w:tc>
          <w:tcPr>
            <w:tcW w:w="1512"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58908CB0" w14:textId="77777777" w:rsidR="0059742E" w:rsidRDefault="00C764C0">
            <w:pPr>
              <w:jc w:val="right"/>
            </w:pPr>
            <w:r>
              <w:rPr>
                <w:color w:val="1A1A1A"/>
                <w:sz w:val="18"/>
                <w:szCs w:val="18"/>
              </w:rPr>
              <w:t>—</w:t>
            </w:r>
          </w:p>
        </w:tc>
        <w:tc>
          <w:tcPr>
            <w:tcW w:w="1512"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3C721926" w14:textId="77777777" w:rsidR="0059742E" w:rsidRDefault="00C764C0">
            <w:pPr>
              <w:jc w:val="right"/>
            </w:pPr>
            <w:r>
              <w:rPr>
                <w:color w:val="1A1A1A"/>
                <w:sz w:val="18"/>
                <w:szCs w:val="18"/>
              </w:rPr>
              <w:t>—</w:t>
            </w:r>
          </w:p>
        </w:tc>
        <w:tc>
          <w:tcPr>
            <w:tcW w:w="1512"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003B9F26" w14:textId="77777777" w:rsidR="0059742E" w:rsidRDefault="00C764C0">
            <w:pPr>
              <w:jc w:val="right"/>
            </w:pPr>
            <w:r>
              <w:rPr>
                <w:color w:val="1A1A1A"/>
                <w:sz w:val="18"/>
                <w:szCs w:val="18"/>
              </w:rPr>
              <w:t>—</w:t>
            </w:r>
          </w:p>
        </w:tc>
        <w:tc>
          <w:tcPr>
            <w:tcW w:w="1512"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0A552E34" w14:textId="77777777" w:rsidR="0059742E" w:rsidRDefault="00C764C0">
            <w:pPr>
              <w:jc w:val="right"/>
            </w:pPr>
            <w:r>
              <w:rPr>
                <w:color w:val="1A1A1A"/>
                <w:sz w:val="18"/>
                <w:szCs w:val="18"/>
              </w:rPr>
              <w:t>—</w:t>
            </w:r>
          </w:p>
        </w:tc>
      </w:tr>
      <w:tr w:rsidR="0059742E" w14:paraId="4AB185A3" w14:textId="77777777">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4EE11125" w14:textId="77777777" w:rsidR="0059742E" w:rsidRDefault="00C764C0">
            <w:r>
              <w:rPr>
                <w:b/>
                <w:bCs/>
                <w:color w:val="1A1A1A"/>
                <w:sz w:val="18"/>
                <w:szCs w:val="18"/>
              </w:rPr>
              <w:t>Recommended Limit</w:t>
            </w:r>
          </w:p>
        </w:tc>
        <w:tc>
          <w:tcPr>
            <w:tcW w:w="1512"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2B5B9037" w14:textId="77777777" w:rsidR="0059742E" w:rsidRDefault="00C764C0">
            <w:pPr>
              <w:jc w:val="right"/>
            </w:pPr>
            <w:r>
              <w:rPr>
                <w:color w:val="1A1A1A"/>
                <w:sz w:val="18"/>
                <w:szCs w:val="18"/>
              </w:rPr>
              <w:t>[FID to confirm]</w:t>
            </w:r>
          </w:p>
        </w:tc>
        <w:tc>
          <w:tcPr>
            <w:tcW w:w="1512"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72B848DF" w14:textId="77777777" w:rsidR="0059742E" w:rsidRDefault="00C764C0">
            <w:pPr>
              <w:jc w:val="right"/>
            </w:pPr>
            <w:r>
              <w:rPr>
                <w:color w:val="1A1A1A"/>
                <w:sz w:val="18"/>
                <w:szCs w:val="18"/>
              </w:rPr>
              <w:t>[FID to confirm]</w:t>
            </w:r>
          </w:p>
        </w:tc>
        <w:tc>
          <w:tcPr>
            <w:tcW w:w="1512"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22D08A60" w14:textId="77777777" w:rsidR="0059742E" w:rsidRDefault="00C764C0">
            <w:pPr>
              <w:jc w:val="right"/>
            </w:pPr>
            <w:r>
              <w:rPr>
                <w:color w:val="1A1A1A"/>
                <w:sz w:val="18"/>
                <w:szCs w:val="18"/>
              </w:rPr>
              <w:t>[FID to confirm]</w:t>
            </w:r>
          </w:p>
        </w:tc>
        <w:tc>
          <w:tcPr>
            <w:tcW w:w="1512"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355945FD" w14:textId="77777777" w:rsidR="0059742E" w:rsidRDefault="00C764C0">
            <w:pPr>
              <w:jc w:val="right"/>
            </w:pPr>
            <w:r>
              <w:rPr>
                <w:color w:val="1A1A1A"/>
                <w:sz w:val="18"/>
                <w:szCs w:val="18"/>
              </w:rPr>
              <w:t>[FID to confirm]</w:t>
            </w:r>
          </w:p>
        </w:tc>
        <w:tc>
          <w:tcPr>
            <w:tcW w:w="1512"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3CDECED5" w14:textId="77777777" w:rsidR="0059742E" w:rsidRDefault="00C764C0">
            <w:pPr>
              <w:jc w:val="right"/>
            </w:pPr>
            <w:r>
              <w:rPr>
                <w:color w:val="1A1A1A"/>
                <w:sz w:val="18"/>
                <w:szCs w:val="18"/>
              </w:rPr>
              <w:t>[FID to confirm]</w:t>
            </w:r>
          </w:p>
        </w:tc>
      </w:tr>
    </w:tbl>
    <w:p w14:paraId="1760AA44" w14:textId="77777777" w:rsidR="0059742E" w:rsidRDefault="00C764C0">
      <w:pPr>
        <w:spacing w:before="60" w:after="80"/>
      </w:pPr>
      <w:r>
        <w:rPr>
          <w:color w:val="1A1A1A"/>
        </w:rPr>
        <w:t>Note: The specific current outstanding and limit fields above are to be completed by FID based on internal system records. The credit limit recommendation below (Section 6) reflects the maximum supportable exposure derived from the standard credit methodology.</w:t>
      </w:r>
    </w:p>
    <w:p w14:paraId="5122562D" w14:textId="77777777" w:rsidR="0059742E" w:rsidRDefault="00C764C0">
      <w:pPr>
        <w:spacing w:before="280" w:after="120"/>
      </w:pPr>
      <w:r>
        <w:rPr>
          <w:b/>
          <w:bCs/>
          <w:color w:val="1A3A5C"/>
          <w:sz w:val="26"/>
          <w:szCs w:val="26"/>
        </w:rPr>
        <w:lastRenderedPageBreak/>
        <w:t>Part 6 - Evaluation of Credit Risk and Calculation of Reference Value of Credit Line</w:t>
      </w:r>
    </w:p>
    <w:p w14:paraId="2D50DAE9" w14:textId="77777777" w:rsidR="0059742E" w:rsidRDefault="00C764C0">
      <w:pPr>
        <w:pBdr>
          <w:bottom w:val="single" w:sz="4" w:space="2" w:color="2E6DA4"/>
        </w:pBdr>
        <w:spacing w:before="200" w:after="80"/>
      </w:pPr>
      <w:r>
        <w:rPr>
          <w:b/>
          <w:bCs/>
          <w:color w:val="2E6DA4"/>
          <w:sz w:val="22"/>
          <w:szCs w:val="22"/>
        </w:rPr>
        <w:t>6.1 Maximum Credit limit</w:t>
      </w:r>
    </w:p>
    <w:p w14:paraId="11EAD8F7" w14:textId="77777777" w:rsidR="0059742E" w:rsidRDefault="00C764C0">
      <w:pPr>
        <w:spacing w:before="60" w:after="80"/>
      </w:pPr>
      <w:r>
        <w:rPr>
          <w:color w:val="1A1A1A"/>
        </w:rPr>
        <w:t>For the maximum limit calculation, we apply the standard internal credit methodology to NBU. The process and results are set out below (USD/UZS = 12,150):</w:t>
      </w:r>
    </w:p>
    <w:p w14:paraId="799237AB" w14:textId="77777777" w:rsidR="0059742E" w:rsidRDefault="00C764C0">
      <w:pPr>
        <w:spacing w:before="60" w:after="80"/>
      </w:pPr>
      <w:r>
        <w:rPr>
          <w:color w:val="1A1A1A"/>
        </w:rPr>
        <w:t>CTA = min(CTA1, CTA2) × adj1 × adj2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840"/>
      </w:tblGrid>
      <w:tr w:rsidR="0059742E" w14:paraId="444AD67E" w14:textId="77777777">
        <w:tc>
          <w:tcPr>
            <w:tcW w:w="3240"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796EA74F" w14:textId="77777777" w:rsidR="0059742E" w:rsidRDefault="00C764C0">
            <w:pPr>
              <w:jc w:val="center"/>
            </w:pPr>
            <w:r>
              <w:rPr>
                <w:b/>
                <w:bCs/>
                <w:color w:val="FFFFFF"/>
                <w:sz w:val="18"/>
                <w:szCs w:val="18"/>
              </w:rPr>
              <w:t>Parameter</w:t>
            </w:r>
          </w:p>
        </w:tc>
        <w:tc>
          <w:tcPr>
            <w:tcW w:w="6840"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25157C35" w14:textId="77777777" w:rsidR="0059742E" w:rsidRDefault="00C764C0">
            <w:pPr>
              <w:jc w:val="center"/>
            </w:pPr>
            <w:r>
              <w:rPr>
                <w:b/>
                <w:bCs/>
                <w:color w:val="FFFFFF"/>
                <w:sz w:val="18"/>
                <w:szCs w:val="18"/>
              </w:rPr>
              <w:t>Calculation</w:t>
            </w:r>
          </w:p>
        </w:tc>
      </w:tr>
      <w:tr w:rsidR="0059742E" w14:paraId="7213AD72" w14:textId="77777777">
        <w:tc>
          <w:tcPr>
            <w:tcW w:w="32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0613866E" w14:textId="77777777" w:rsidR="0059742E" w:rsidRDefault="00C764C0">
            <w:r>
              <w:rPr>
                <w:b/>
                <w:bCs/>
                <w:color w:val="1A1A1A"/>
                <w:sz w:val="18"/>
                <w:szCs w:val="18"/>
              </w:rPr>
              <w:t>CTA1</w:t>
            </w:r>
          </w:p>
        </w:tc>
        <w:tc>
          <w:tcPr>
            <w:tcW w:w="68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3618D798" w14:textId="77777777" w:rsidR="0059742E" w:rsidRDefault="00C764C0">
            <w:r>
              <w:rPr>
                <w:color w:val="1A1A1A"/>
                <w:sz w:val="18"/>
                <w:szCs w:val="18"/>
              </w:rPr>
              <w:t>= a (risk factor weight) × CT0 = 18% × USD 200 billion = USD 36 billion</w:t>
            </w:r>
          </w:p>
        </w:tc>
      </w:tr>
      <w:tr w:rsidR="0059742E" w14:paraId="2CBA684D" w14:textId="77777777">
        <w:tc>
          <w:tcPr>
            <w:tcW w:w="32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77F1D656" w14:textId="77777777" w:rsidR="0059742E" w:rsidRDefault="00C764C0">
            <w:r>
              <w:rPr>
                <w:color w:val="1A1A1A"/>
                <w:sz w:val="18"/>
                <w:szCs w:val="18"/>
              </w:rPr>
              <w:t>Risk factor weight (a)</w:t>
            </w:r>
          </w:p>
        </w:tc>
        <w:tc>
          <w:tcPr>
            <w:tcW w:w="68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13B89F0D" w14:textId="77777777" w:rsidR="0059742E" w:rsidRDefault="00C764C0">
            <w:r>
              <w:rPr>
                <w:color w:val="1A1A1A"/>
                <w:sz w:val="18"/>
                <w:szCs w:val="18"/>
              </w:rPr>
              <w:t>Ba3 / BB corresponds to an internal rating of sA+ (pending final approval). Per ICBC internal rule, risk factor weight a = 18%.</w:t>
            </w:r>
          </w:p>
        </w:tc>
      </w:tr>
      <w:tr w:rsidR="0059742E" w14:paraId="49765F2A" w14:textId="77777777">
        <w:tc>
          <w:tcPr>
            <w:tcW w:w="32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06401CC1" w14:textId="77777777" w:rsidR="0059742E" w:rsidRDefault="00C764C0">
            <w:r>
              <w:rPr>
                <w:color w:val="1A1A1A"/>
                <w:sz w:val="18"/>
                <w:szCs w:val="18"/>
              </w:rPr>
              <w:t>CT0</w:t>
            </w:r>
          </w:p>
        </w:tc>
        <w:tc>
          <w:tcPr>
            <w:tcW w:w="68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649BD63A" w14:textId="77777777" w:rsidR="0059742E" w:rsidRDefault="00C764C0">
            <w:r>
              <w:rPr>
                <w:color w:val="1A1A1A"/>
                <w:sz w:val="18"/>
                <w:szCs w:val="18"/>
              </w:rPr>
              <w:t>Per ICBC internal rule, CT0 = USD 200 billion.</w:t>
            </w:r>
          </w:p>
        </w:tc>
      </w:tr>
      <w:tr w:rsidR="0059742E" w14:paraId="0606BC60" w14:textId="77777777">
        <w:tc>
          <w:tcPr>
            <w:tcW w:w="32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5D2D9DE8" w14:textId="77777777" w:rsidR="0059742E" w:rsidRDefault="00C764C0">
            <w:r>
              <w:rPr>
                <w:b/>
                <w:bCs/>
                <w:color w:val="1A1A1A"/>
                <w:sz w:val="18"/>
                <w:szCs w:val="18"/>
              </w:rPr>
              <w:t>CTA2</w:t>
            </w:r>
          </w:p>
        </w:tc>
        <w:tc>
          <w:tcPr>
            <w:tcW w:w="68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3A0FAA58" w14:textId="77777777" w:rsidR="0059742E" w:rsidRDefault="00C764C0">
            <w:r>
              <w:rPr>
                <w:color w:val="1A1A1A"/>
                <w:sz w:val="18"/>
                <w:szCs w:val="18"/>
              </w:rPr>
              <w:t>= b (concentration factor weight) × Total Liabilities = 0.5% × USD 10,270 million = USD 51.4 million</w:t>
            </w:r>
          </w:p>
        </w:tc>
      </w:tr>
      <w:tr w:rsidR="0059742E" w14:paraId="4BBD64DF" w14:textId="77777777">
        <w:tc>
          <w:tcPr>
            <w:tcW w:w="32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4B757083" w14:textId="77777777" w:rsidR="0059742E" w:rsidRDefault="00C764C0">
            <w:r>
              <w:rPr>
                <w:color w:val="1A1A1A"/>
                <w:sz w:val="18"/>
                <w:szCs w:val="18"/>
              </w:rPr>
              <w:t>Concentration factor (b)</w:t>
            </w:r>
          </w:p>
        </w:tc>
        <w:tc>
          <w:tcPr>
            <w:tcW w:w="68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736A2FEC" w14:textId="77777777" w:rsidR="0059742E" w:rsidRDefault="00C764C0">
            <w:r>
              <w:rPr>
                <w:color w:val="1A1A1A"/>
                <w:sz w:val="18"/>
                <w:szCs w:val="18"/>
              </w:rPr>
              <w:t>NBU is a commercial bank with total assets USD 11.9 billion (between USD 10 billion and USD 50 billion threshold). Per ICBC rule, b = 0.5%.</w:t>
            </w:r>
          </w:p>
        </w:tc>
      </w:tr>
      <w:tr w:rsidR="0059742E" w14:paraId="707A536C" w14:textId="77777777">
        <w:tc>
          <w:tcPr>
            <w:tcW w:w="32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3BD3ADD5" w14:textId="77777777" w:rsidR="0059742E" w:rsidRDefault="00C764C0">
            <w:r>
              <w:rPr>
                <w:color w:val="1A1A1A"/>
                <w:sz w:val="18"/>
                <w:szCs w:val="18"/>
              </w:rPr>
              <w:t>Total Liabilities (USD)</w:t>
            </w:r>
          </w:p>
        </w:tc>
        <w:tc>
          <w:tcPr>
            <w:tcW w:w="68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42C090A8" w14:textId="77777777" w:rsidR="0059742E" w:rsidRDefault="00C764C0">
            <w:r>
              <w:rPr>
                <w:color w:val="1A1A1A"/>
                <w:sz w:val="18"/>
                <w:szCs w:val="18"/>
              </w:rPr>
              <w:t>UZS 124,777.0 billion ÷ 12,150 × 1,000 = approximately USD 10,270 million.</w:t>
            </w:r>
          </w:p>
        </w:tc>
      </w:tr>
      <w:tr w:rsidR="0059742E" w14:paraId="1285BCA2" w14:textId="77777777">
        <w:tc>
          <w:tcPr>
            <w:tcW w:w="32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1FDF40A3" w14:textId="77777777" w:rsidR="0059742E" w:rsidRDefault="00C764C0">
            <w:r>
              <w:rPr>
                <w:color w:val="1A1A1A"/>
                <w:sz w:val="18"/>
                <w:szCs w:val="18"/>
              </w:rPr>
              <w:t>Client importance factor (adj1)</w:t>
            </w:r>
          </w:p>
        </w:tc>
        <w:tc>
          <w:tcPr>
            <w:tcW w:w="68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52BF5DFE" w14:textId="77777777" w:rsidR="0059742E" w:rsidRDefault="00C764C0">
            <w:r>
              <w:rPr>
                <w:color w:val="1A1A1A"/>
                <w:sz w:val="18"/>
                <w:szCs w:val="18"/>
              </w:rPr>
              <w:t>NBU is the largest bank in Uzbekistan and a key correspondent in Central Asia. adj1 = 1.0</w:t>
            </w:r>
          </w:p>
        </w:tc>
      </w:tr>
      <w:tr w:rsidR="0059742E" w14:paraId="467B2CEB" w14:textId="77777777">
        <w:tc>
          <w:tcPr>
            <w:tcW w:w="32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2FA240C9" w14:textId="77777777" w:rsidR="0059742E" w:rsidRDefault="00C764C0">
            <w:r>
              <w:rPr>
                <w:color w:val="1A1A1A"/>
                <w:sz w:val="18"/>
                <w:szCs w:val="18"/>
              </w:rPr>
              <w:t>Client relationship factor (adj2)</w:t>
            </w:r>
          </w:p>
        </w:tc>
        <w:tc>
          <w:tcPr>
            <w:tcW w:w="68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7E9C1FC1" w14:textId="77777777" w:rsidR="0059742E" w:rsidRDefault="00C764C0">
            <w:r>
              <w:rPr>
                <w:color w:val="1A1A1A"/>
                <w:sz w:val="18"/>
                <w:szCs w:val="18"/>
              </w:rPr>
              <w:t>Our institution does not have a local branch in Uzbekistan. adj2 = 1.0</w:t>
            </w:r>
          </w:p>
        </w:tc>
      </w:tr>
      <w:tr w:rsidR="0059742E" w14:paraId="440BD3BC" w14:textId="77777777">
        <w:tc>
          <w:tcPr>
            <w:tcW w:w="32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7E770C4F" w14:textId="77777777" w:rsidR="0059742E" w:rsidRDefault="00C764C0">
            <w:r>
              <w:rPr>
                <w:b/>
                <w:bCs/>
                <w:color w:val="1A1A1A"/>
                <w:sz w:val="18"/>
                <w:szCs w:val="18"/>
              </w:rPr>
              <w:t>CTA = max supportable credit line</w:t>
            </w:r>
          </w:p>
        </w:tc>
        <w:tc>
          <w:tcPr>
            <w:tcW w:w="68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382023D7" w14:textId="77777777" w:rsidR="0059742E" w:rsidRDefault="00C764C0">
            <w:r>
              <w:rPr>
                <w:b/>
                <w:bCs/>
                <w:color w:val="1A1A1A"/>
                <w:sz w:val="18"/>
                <w:szCs w:val="18"/>
              </w:rPr>
              <w:t>= min(USD 36 billion, USD 51.4 million) × 1.0 × 1.0 = USD 51.4 million</w:t>
            </w:r>
          </w:p>
        </w:tc>
      </w:tr>
    </w:tbl>
    <w:p w14:paraId="14C6AAF7" w14:textId="77777777" w:rsidR="0059742E" w:rsidRDefault="00C764C0">
      <w:pPr>
        <w:pBdr>
          <w:bottom w:val="single" w:sz="4" w:space="2" w:color="2E6DA4"/>
        </w:pBdr>
        <w:spacing w:before="200" w:after="80"/>
      </w:pPr>
      <w:r>
        <w:rPr>
          <w:b/>
          <w:bCs/>
          <w:color w:val="2E6DA4"/>
          <w:sz w:val="22"/>
          <w:szCs w:val="22"/>
        </w:rPr>
        <w:t>6.2 Summary</w:t>
      </w:r>
    </w:p>
    <w:p w14:paraId="24998D24" w14:textId="77777777" w:rsidR="0059742E" w:rsidRDefault="00C764C0">
      <w:pPr>
        <w:spacing w:before="60" w:after="80"/>
      </w:pPr>
      <w:r>
        <w:rPr>
          <w:color w:val="1A1A1A"/>
        </w:rPr>
        <w:t>Based on the credit assessment conducted above, including analysis of NBU's financial position, ownership structure, sovereign linkage, external credit ratings, and the standard internal credit methodology, FID would recommend and seek approval for a credit limit and ICBC (DIFC Branch) commitment of CNH 300 million (approximately USD 42 million) for participation in the proposed Facility, within the maximum supportable credit line of USD 51.4 million derived above. The product-level credit-line structure is set out in Section 5.2.</w:t>
      </w:r>
    </w:p>
    <w:p w14:paraId="31C85587" w14:textId="77777777" w:rsidR="0059742E" w:rsidRDefault="00C764C0">
      <w:pPr>
        <w:spacing w:before="60" w:after="80"/>
      </w:pPr>
      <w:r>
        <w:rPr>
          <w:color w:val="1A1A1A"/>
        </w:rPr>
        <w:t>The credit profile of NBU is supported by: (1) quasi-sovereign status as a 100% government-owned institution; (2) position as Uzbekistan's largest bank (~16% of sector assets); (3) Ba3/BB/BB- investment-adjacent ratings from all three major agencies; (4) improving financial performance with net profit growth of 11.4% YoY in 2025; (5) active access to international capital markets evidenced by the successful 2025 dual-tranche Eurobond; and (6) strong government commitment to the institution as demonstrated by recurring authorized capital injections.</w:t>
      </w:r>
    </w:p>
    <w:p w14:paraId="6D85DF67" w14:textId="77777777" w:rsidR="0059742E" w:rsidRDefault="00C764C0">
      <w:pPr>
        <w:spacing w:before="60" w:after="80"/>
      </w:pPr>
      <w:r>
        <w:rPr>
          <w:color w:val="1A1A1A"/>
        </w:rPr>
        <w:t>Notwithstanding these positives, risk considerations include: (1) operating environment constraints (Uzbekistan sovereign rated Ba3/BB); (2) high foreign currency concentration (~60% of balance sheet in FCY) creating structural FX and credit risk; (3) heavy dependence on wholesale foreign borrowings, though this is being partially offset by the growing domestic deposit base; and (4) ongoing state bank governance and transparency considerations in the context of a transitioning economy.</w:t>
      </w:r>
    </w:p>
    <w:p w14:paraId="43D85792" w14:textId="77777777" w:rsidR="0059742E" w:rsidRDefault="0059742E">
      <w:pPr>
        <w:spacing w:before="360" w:after="60"/>
      </w:pPr>
    </w:p>
    <w:p w14:paraId="5DA45E45" w14:textId="77777777" w:rsidR="00BA183A" w:rsidRDefault="00000000">
      <w:pPr>
        <w:spacing w:before="280" w:after="120"/>
      </w:pPr>
      <w:r>
        <w:rPr>
          <w:b/>
          <w:bCs/>
          <w:color w:val="1A3A5C"/>
          <w:sz w:val="26"/>
          <w:szCs w:val="26"/>
        </w:rPr>
        <w:t>Part 7 - Proposed Key Transaction Terms, Financial Covenants and Risk Mitigants</w:t>
      </w:r>
    </w:p>
    <w:p w14:paraId="05C15BEE" w14:textId="77777777" w:rsidR="00BA183A" w:rsidRDefault="00000000">
      <w:pPr>
        <w:spacing w:before="60" w:after="80"/>
      </w:pPr>
      <w:r>
        <w:rPr>
          <w:color w:val="1A1A1A"/>
        </w:rPr>
        <w:lastRenderedPageBreak/>
        <w:t>This section sets out the proposed key terms, financial covenants and risk-mitigation features for the recommended uncommitted credit lines to NBU (interbank money-market, trade-finance and treasury/derivative lines, together with senior unsecured bond investment), as referenced in Sections 5.2 and 6. Because these are uncommitted, on-demand facilities rather than committed term debt, the covenants below are framed as monitoring triggers and review events rather than hard contractual maintenance covenants; where a specific exposure is documented as committed or term lending, the financial covenants should be incorporated as binding maintenance covenants and the trigger levels confirmed by FID/Risk.</w:t>
      </w:r>
    </w:p>
    <w:p w14:paraId="65F06B49" w14:textId="77777777" w:rsidR="00BA183A" w:rsidRDefault="00000000">
      <w:pPr>
        <w:pBdr>
          <w:bottom w:val="single" w:sz="4" w:space="2" w:color="2E6DA4"/>
        </w:pBdr>
        <w:spacing w:before="200" w:after="80"/>
      </w:pPr>
      <w:r>
        <w:rPr>
          <w:b/>
          <w:bCs/>
          <w:color w:val="2E6DA4"/>
          <w:sz w:val="22"/>
          <w:szCs w:val="22"/>
        </w:rPr>
        <w:t>7.1 Key Transaction Terms</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3360"/>
        <w:gridCol w:w="6720"/>
      </w:tblGrid>
      <w:tr w:rsidR="00BA183A" w14:paraId="6A3BF7D3" w14:textId="77777777">
        <w:tc>
          <w:tcPr>
            <w:tcW w:w="3360" w:type="dxa"/>
            <w:shd w:val="clear" w:color="auto" w:fill="2E4057"/>
            <w:tcMar>
              <w:top w:w="40" w:type="dxa"/>
              <w:left w:w="100" w:type="dxa"/>
              <w:bottom w:w="40" w:type="dxa"/>
              <w:right w:w="100" w:type="dxa"/>
            </w:tcMar>
            <w:vAlign w:val="center"/>
          </w:tcPr>
          <w:p w14:paraId="5350C7B4" w14:textId="77777777" w:rsidR="00BA183A" w:rsidRDefault="00000000">
            <w:pPr>
              <w:spacing w:before="20" w:after="20"/>
            </w:pPr>
            <w:r>
              <w:rPr>
                <w:b/>
                <w:bCs/>
                <w:color w:val="FFFFFF"/>
                <w:sz w:val="18"/>
                <w:szCs w:val="18"/>
              </w:rPr>
              <w:t>Item</w:t>
            </w:r>
          </w:p>
        </w:tc>
        <w:tc>
          <w:tcPr>
            <w:tcW w:w="6720" w:type="dxa"/>
            <w:shd w:val="clear" w:color="auto" w:fill="2E4057"/>
            <w:tcMar>
              <w:top w:w="40" w:type="dxa"/>
              <w:left w:w="100" w:type="dxa"/>
              <w:bottom w:w="40" w:type="dxa"/>
              <w:right w:w="100" w:type="dxa"/>
            </w:tcMar>
            <w:vAlign w:val="center"/>
          </w:tcPr>
          <w:p w14:paraId="5D0A2BB7" w14:textId="77777777" w:rsidR="00BA183A" w:rsidRDefault="00000000">
            <w:pPr>
              <w:spacing w:before="20" w:after="20"/>
            </w:pPr>
            <w:r>
              <w:rPr>
                <w:b/>
                <w:bCs/>
                <w:color w:val="FFFFFF"/>
                <w:sz w:val="18"/>
                <w:szCs w:val="18"/>
              </w:rPr>
              <w:t>Detail</w:t>
            </w:r>
          </w:p>
        </w:tc>
      </w:tr>
      <w:tr w:rsidR="00BA183A" w14:paraId="3DB82849" w14:textId="77777777">
        <w:tc>
          <w:tcPr>
            <w:tcW w:w="3360" w:type="dxa"/>
            <w:shd w:val="clear" w:color="auto" w:fill="FFFFFF"/>
            <w:tcMar>
              <w:top w:w="40" w:type="dxa"/>
              <w:left w:w="100" w:type="dxa"/>
              <w:bottom w:w="40" w:type="dxa"/>
              <w:right w:w="100" w:type="dxa"/>
            </w:tcMar>
            <w:vAlign w:val="center"/>
          </w:tcPr>
          <w:p w14:paraId="199F4C85" w14:textId="77777777" w:rsidR="00BA183A" w:rsidRDefault="00000000">
            <w:pPr>
              <w:spacing w:before="20" w:after="20"/>
            </w:pPr>
            <w:r>
              <w:rPr>
                <w:b/>
                <w:bCs/>
                <w:color w:val="1A1A1A"/>
                <w:sz w:val="18"/>
                <w:szCs w:val="18"/>
              </w:rPr>
              <w:t>Borrower / Obligor</w:t>
            </w:r>
          </w:p>
        </w:tc>
        <w:tc>
          <w:tcPr>
            <w:tcW w:w="6720" w:type="dxa"/>
            <w:shd w:val="clear" w:color="auto" w:fill="FFFFFF"/>
            <w:tcMar>
              <w:top w:w="40" w:type="dxa"/>
              <w:left w:w="100" w:type="dxa"/>
              <w:bottom w:w="40" w:type="dxa"/>
              <w:right w:w="100" w:type="dxa"/>
            </w:tcMar>
            <w:vAlign w:val="center"/>
          </w:tcPr>
          <w:p w14:paraId="0F474F41" w14:textId="77777777" w:rsidR="00BA183A" w:rsidRDefault="00000000">
            <w:pPr>
              <w:spacing w:before="20" w:after="20"/>
            </w:pPr>
            <w:r>
              <w:rPr>
                <w:color w:val="1A1A1A"/>
                <w:sz w:val="18"/>
                <w:szCs w:val="18"/>
              </w:rPr>
              <w:t>JSC National Bank for Foreign Economic Activity of the Republic of Uzbekistan ("NBU")</w:t>
            </w:r>
          </w:p>
        </w:tc>
      </w:tr>
      <w:tr w:rsidR="00BA183A" w14:paraId="729E7367" w14:textId="77777777">
        <w:tc>
          <w:tcPr>
            <w:tcW w:w="3360" w:type="dxa"/>
            <w:shd w:val="clear" w:color="auto" w:fill="FFFFFF"/>
            <w:tcMar>
              <w:top w:w="40" w:type="dxa"/>
              <w:left w:w="100" w:type="dxa"/>
              <w:bottom w:w="40" w:type="dxa"/>
              <w:right w:w="100" w:type="dxa"/>
            </w:tcMar>
            <w:vAlign w:val="center"/>
          </w:tcPr>
          <w:p w14:paraId="5CEE50C9" w14:textId="77777777" w:rsidR="00BA183A" w:rsidRDefault="00000000">
            <w:pPr>
              <w:spacing w:before="20" w:after="20"/>
            </w:pPr>
            <w:r>
              <w:rPr>
                <w:b/>
                <w:bCs/>
                <w:color w:val="1A1A1A"/>
                <w:sz w:val="18"/>
                <w:szCs w:val="18"/>
              </w:rPr>
              <w:t>Facility type</w:t>
            </w:r>
          </w:p>
        </w:tc>
        <w:tc>
          <w:tcPr>
            <w:tcW w:w="6720" w:type="dxa"/>
            <w:shd w:val="clear" w:color="auto" w:fill="FFFFFF"/>
            <w:tcMar>
              <w:top w:w="40" w:type="dxa"/>
              <w:left w:w="100" w:type="dxa"/>
              <w:bottom w:w="40" w:type="dxa"/>
              <w:right w:w="100" w:type="dxa"/>
            </w:tcMar>
            <w:vAlign w:val="center"/>
          </w:tcPr>
          <w:p w14:paraId="3D9E07CF" w14:textId="77777777" w:rsidR="00BA183A" w:rsidRDefault="00000000">
            <w:pPr>
              <w:spacing w:before="20" w:after="20"/>
            </w:pPr>
            <w:r>
              <w:rPr>
                <w:color w:val="1A1A1A"/>
                <w:sz w:val="18"/>
                <w:szCs w:val="18"/>
              </w:rPr>
              <w:t>Senior unsecured; uncommitted interbank, trade-finance and treasury/derivative lines, and senior unsecured bond investment</w:t>
            </w:r>
          </w:p>
        </w:tc>
      </w:tr>
      <w:tr w:rsidR="00BA183A" w14:paraId="50A12703" w14:textId="77777777">
        <w:tc>
          <w:tcPr>
            <w:tcW w:w="3360" w:type="dxa"/>
            <w:shd w:val="clear" w:color="auto" w:fill="FFFFFF"/>
            <w:tcMar>
              <w:top w:w="40" w:type="dxa"/>
              <w:left w:w="100" w:type="dxa"/>
              <w:bottom w:w="40" w:type="dxa"/>
              <w:right w:w="100" w:type="dxa"/>
            </w:tcMar>
            <w:vAlign w:val="center"/>
          </w:tcPr>
          <w:p w14:paraId="43BE2324" w14:textId="77777777" w:rsidR="00BA183A" w:rsidRDefault="00000000">
            <w:pPr>
              <w:spacing w:before="20" w:after="20"/>
            </w:pPr>
            <w:r>
              <w:rPr>
                <w:b/>
                <w:bCs/>
                <w:color w:val="1A1A1A"/>
                <w:sz w:val="18"/>
                <w:szCs w:val="18"/>
              </w:rPr>
              <w:t>Recommended aggregate limit</w:t>
            </w:r>
          </w:p>
        </w:tc>
        <w:tc>
          <w:tcPr>
            <w:tcW w:w="6720" w:type="dxa"/>
            <w:shd w:val="clear" w:color="auto" w:fill="FFFFFF"/>
            <w:tcMar>
              <w:top w:w="40" w:type="dxa"/>
              <w:left w:w="100" w:type="dxa"/>
              <w:bottom w:w="40" w:type="dxa"/>
              <w:right w:w="100" w:type="dxa"/>
            </w:tcMar>
            <w:vAlign w:val="center"/>
          </w:tcPr>
          <w:p w14:paraId="7056E521" w14:textId="77777777" w:rsidR="00BA183A" w:rsidRDefault="00000000">
            <w:pPr>
              <w:spacing w:before="20" w:after="20"/>
            </w:pPr>
            <w:r>
              <w:rPr>
                <w:color w:val="1A1A1A"/>
                <w:sz w:val="18"/>
                <w:szCs w:val="18"/>
              </w:rPr>
              <w:t>CNH 300 million (see Section 6.1), subject to FID approval; within the maximum supportable limit of USD 51.4 million</w:t>
            </w:r>
          </w:p>
        </w:tc>
      </w:tr>
      <w:tr w:rsidR="00BA183A" w14:paraId="1EF501AF" w14:textId="77777777">
        <w:tc>
          <w:tcPr>
            <w:tcW w:w="3360" w:type="dxa"/>
            <w:shd w:val="clear" w:color="auto" w:fill="FFFFFF"/>
            <w:tcMar>
              <w:top w:w="40" w:type="dxa"/>
              <w:left w:w="100" w:type="dxa"/>
              <w:bottom w:w="40" w:type="dxa"/>
              <w:right w:w="100" w:type="dxa"/>
            </w:tcMar>
            <w:vAlign w:val="center"/>
          </w:tcPr>
          <w:p w14:paraId="51627A07" w14:textId="77777777" w:rsidR="00BA183A" w:rsidRDefault="00000000">
            <w:pPr>
              <w:spacing w:before="20" w:after="20"/>
            </w:pPr>
            <w:r>
              <w:rPr>
                <w:b/>
                <w:bCs/>
                <w:color w:val="1A1A1A"/>
                <w:sz w:val="18"/>
                <w:szCs w:val="18"/>
              </w:rPr>
              <w:t>Ranking</w:t>
            </w:r>
          </w:p>
        </w:tc>
        <w:tc>
          <w:tcPr>
            <w:tcW w:w="6720" w:type="dxa"/>
            <w:shd w:val="clear" w:color="auto" w:fill="FFFFFF"/>
            <w:tcMar>
              <w:top w:w="40" w:type="dxa"/>
              <w:left w:w="100" w:type="dxa"/>
              <w:bottom w:w="40" w:type="dxa"/>
              <w:right w:w="100" w:type="dxa"/>
            </w:tcMar>
            <w:vAlign w:val="center"/>
          </w:tcPr>
          <w:p w14:paraId="49F03383" w14:textId="77777777" w:rsidR="00BA183A" w:rsidRDefault="00000000">
            <w:pPr>
              <w:spacing w:before="20" w:after="20"/>
            </w:pPr>
            <w:r>
              <w:rPr>
                <w:color w:val="1A1A1A"/>
                <w:sz w:val="18"/>
                <w:szCs w:val="18"/>
              </w:rPr>
              <w:t>Senior unsecured; pari passu with NBU's other senior unsecured obligations</w:t>
            </w:r>
          </w:p>
        </w:tc>
      </w:tr>
      <w:tr w:rsidR="00BA183A" w14:paraId="628B15B8" w14:textId="77777777">
        <w:tc>
          <w:tcPr>
            <w:tcW w:w="3360" w:type="dxa"/>
            <w:shd w:val="clear" w:color="auto" w:fill="FFFFFF"/>
            <w:tcMar>
              <w:top w:w="40" w:type="dxa"/>
              <w:left w:w="100" w:type="dxa"/>
              <w:bottom w:w="40" w:type="dxa"/>
              <w:right w:w="100" w:type="dxa"/>
            </w:tcMar>
            <w:vAlign w:val="center"/>
          </w:tcPr>
          <w:p w14:paraId="384E48ED" w14:textId="77777777" w:rsidR="00BA183A" w:rsidRDefault="00000000">
            <w:pPr>
              <w:spacing w:before="20" w:after="20"/>
            </w:pPr>
            <w:r>
              <w:rPr>
                <w:b/>
                <w:bCs/>
                <w:color w:val="1A1A1A"/>
                <w:sz w:val="18"/>
                <w:szCs w:val="18"/>
              </w:rPr>
              <w:t>Tenor</w:t>
            </w:r>
          </w:p>
        </w:tc>
        <w:tc>
          <w:tcPr>
            <w:tcW w:w="6720" w:type="dxa"/>
            <w:shd w:val="clear" w:color="auto" w:fill="FFFFFF"/>
            <w:tcMar>
              <w:top w:w="40" w:type="dxa"/>
              <w:left w:w="100" w:type="dxa"/>
              <w:bottom w:w="40" w:type="dxa"/>
              <w:right w:w="100" w:type="dxa"/>
            </w:tcMar>
            <w:vAlign w:val="center"/>
          </w:tcPr>
          <w:p w14:paraId="2E508856" w14:textId="77777777" w:rsidR="00BA183A" w:rsidRDefault="00000000">
            <w:pPr>
              <w:spacing w:before="20" w:after="20"/>
            </w:pPr>
            <w:r>
              <w:rPr>
                <w:color w:val="1A1A1A"/>
                <w:sz w:val="18"/>
                <w:szCs w:val="18"/>
              </w:rPr>
              <w:t>Interbank / trade finance generally up to 1 year (with a separate over-1-year sub-limit); bond investment per the relevant instrument</w:t>
            </w:r>
          </w:p>
        </w:tc>
      </w:tr>
      <w:tr w:rsidR="00BA183A" w14:paraId="60102371" w14:textId="77777777">
        <w:tc>
          <w:tcPr>
            <w:tcW w:w="3360" w:type="dxa"/>
            <w:shd w:val="clear" w:color="auto" w:fill="FFFFFF"/>
            <w:tcMar>
              <w:top w:w="40" w:type="dxa"/>
              <w:left w:w="100" w:type="dxa"/>
              <w:bottom w:w="40" w:type="dxa"/>
              <w:right w:w="100" w:type="dxa"/>
            </w:tcMar>
            <w:vAlign w:val="center"/>
          </w:tcPr>
          <w:p w14:paraId="0CCD22D1" w14:textId="77777777" w:rsidR="00BA183A" w:rsidRDefault="00000000">
            <w:pPr>
              <w:spacing w:before="20" w:after="20"/>
            </w:pPr>
            <w:r>
              <w:rPr>
                <w:b/>
                <w:bCs/>
                <w:color w:val="1A1A1A"/>
                <w:sz w:val="18"/>
                <w:szCs w:val="18"/>
              </w:rPr>
              <w:t>Currency</w:t>
            </w:r>
          </w:p>
        </w:tc>
        <w:tc>
          <w:tcPr>
            <w:tcW w:w="6720" w:type="dxa"/>
            <w:shd w:val="clear" w:color="auto" w:fill="FFFFFF"/>
            <w:tcMar>
              <w:top w:w="40" w:type="dxa"/>
              <w:left w:w="100" w:type="dxa"/>
              <w:bottom w:w="40" w:type="dxa"/>
              <w:right w:w="100" w:type="dxa"/>
            </w:tcMar>
            <w:vAlign w:val="center"/>
          </w:tcPr>
          <w:p w14:paraId="34BD5FC7" w14:textId="77777777" w:rsidR="00BA183A" w:rsidRDefault="00000000">
            <w:pPr>
              <w:spacing w:before="20" w:after="20"/>
            </w:pPr>
            <w:r>
              <w:rPr>
                <w:color w:val="1A1A1A"/>
                <w:sz w:val="18"/>
                <w:szCs w:val="18"/>
              </w:rPr>
              <w:t>Primarily USD; UZS where applicable</w:t>
            </w:r>
          </w:p>
        </w:tc>
      </w:tr>
      <w:tr w:rsidR="00BA183A" w14:paraId="49D5D7A2" w14:textId="77777777">
        <w:tc>
          <w:tcPr>
            <w:tcW w:w="3360" w:type="dxa"/>
            <w:shd w:val="clear" w:color="auto" w:fill="FFFFFF"/>
            <w:tcMar>
              <w:top w:w="40" w:type="dxa"/>
              <w:left w:w="100" w:type="dxa"/>
              <w:bottom w:w="40" w:type="dxa"/>
              <w:right w:w="100" w:type="dxa"/>
            </w:tcMar>
            <w:vAlign w:val="center"/>
          </w:tcPr>
          <w:p w14:paraId="662C9132" w14:textId="77777777" w:rsidR="00BA183A" w:rsidRDefault="00000000">
            <w:pPr>
              <w:spacing w:before="20" w:after="20"/>
            </w:pPr>
            <w:r>
              <w:rPr>
                <w:b/>
                <w:bCs/>
                <w:color w:val="1A1A1A"/>
                <w:sz w:val="18"/>
                <w:szCs w:val="18"/>
              </w:rPr>
              <w:t>Documentation</w:t>
            </w:r>
          </w:p>
        </w:tc>
        <w:tc>
          <w:tcPr>
            <w:tcW w:w="6720" w:type="dxa"/>
            <w:shd w:val="clear" w:color="auto" w:fill="FFFFFF"/>
            <w:tcMar>
              <w:top w:w="40" w:type="dxa"/>
              <w:left w:w="100" w:type="dxa"/>
              <w:bottom w:w="40" w:type="dxa"/>
              <w:right w:w="100" w:type="dxa"/>
            </w:tcMar>
            <w:vAlign w:val="center"/>
          </w:tcPr>
          <w:p w14:paraId="56CB21A0" w14:textId="77777777" w:rsidR="00BA183A" w:rsidRDefault="00000000">
            <w:pPr>
              <w:spacing w:before="20" w:after="20"/>
            </w:pPr>
            <w:r>
              <w:rPr>
                <w:color w:val="1A1A1A"/>
                <w:sz w:val="18"/>
                <w:szCs w:val="18"/>
              </w:rPr>
              <w:t>Treasury / derivatives under ISDA Master Agreement and Credit Support Annex (CSA); repo / securities financing under GMRA; trade finance under ICC standards (UCP 600 / URDG 758); bonds under the relevant Eurobond / MTN programme documentation</w:t>
            </w:r>
          </w:p>
        </w:tc>
      </w:tr>
      <w:tr w:rsidR="00BA183A" w14:paraId="47B82A78" w14:textId="77777777">
        <w:tc>
          <w:tcPr>
            <w:tcW w:w="3360" w:type="dxa"/>
            <w:shd w:val="clear" w:color="auto" w:fill="FFFFFF"/>
            <w:tcMar>
              <w:top w:w="40" w:type="dxa"/>
              <w:left w:w="100" w:type="dxa"/>
              <w:bottom w:w="40" w:type="dxa"/>
              <w:right w:w="100" w:type="dxa"/>
            </w:tcMar>
            <w:vAlign w:val="center"/>
          </w:tcPr>
          <w:p w14:paraId="2BBE39E5" w14:textId="77777777" w:rsidR="00BA183A" w:rsidRDefault="00000000">
            <w:pPr>
              <w:spacing w:before="20" w:after="20"/>
            </w:pPr>
            <w:r>
              <w:rPr>
                <w:b/>
                <w:bCs/>
                <w:color w:val="1A1A1A"/>
                <w:sz w:val="18"/>
                <w:szCs w:val="18"/>
              </w:rPr>
              <w:t>Governing law</w:t>
            </w:r>
          </w:p>
        </w:tc>
        <w:tc>
          <w:tcPr>
            <w:tcW w:w="6720" w:type="dxa"/>
            <w:shd w:val="clear" w:color="auto" w:fill="FFFFFF"/>
            <w:tcMar>
              <w:top w:w="40" w:type="dxa"/>
              <w:left w:w="100" w:type="dxa"/>
              <w:bottom w:w="40" w:type="dxa"/>
              <w:right w:w="100" w:type="dxa"/>
            </w:tcMar>
            <w:vAlign w:val="center"/>
          </w:tcPr>
          <w:p w14:paraId="3BBFCA14" w14:textId="77777777" w:rsidR="00BA183A" w:rsidRDefault="00000000">
            <w:pPr>
              <w:spacing w:before="20" w:after="20"/>
            </w:pPr>
            <w:r>
              <w:rPr>
                <w:color w:val="1A1A1A"/>
                <w:sz w:val="18"/>
                <w:szCs w:val="18"/>
              </w:rPr>
              <w:t>English law for ISDA / GMRA and international facilities; New York law where applicable to bonds</w:t>
            </w:r>
          </w:p>
        </w:tc>
      </w:tr>
      <w:tr w:rsidR="00BA183A" w14:paraId="4A06EE30" w14:textId="77777777">
        <w:tc>
          <w:tcPr>
            <w:tcW w:w="3360" w:type="dxa"/>
            <w:shd w:val="clear" w:color="auto" w:fill="FFFFFF"/>
            <w:tcMar>
              <w:top w:w="40" w:type="dxa"/>
              <w:left w:w="100" w:type="dxa"/>
              <w:bottom w:w="40" w:type="dxa"/>
              <w:right w:w="100" w:type="dxa"/>
            </w:tcMar>
            <w:vAlign w:val="center"/>
          </w:tcPr>
          <w:p w14:paraId="7F422930" w14:textId="77777777" w:rsidR="00BA183A" w:rsidRDefault="00000000">
            <w:pPr>
              <w:spacing w:before="20" w:after="20"/>
            </w:pPr>
            <w:r>
              <w:rPr>
                <w:b/>
                <w:bCs/>
                <w:color w:val="1A1A1A"/>
                <w:sz w:val="18"/>
                <w:szCs w:val="18"/>
              </w:rPr>
              <w:t>Pricing</w:t>
            </w:r>
          </w:p>
        </w:tc>
        <w:tc>
          <w:tcPr>
            <w:tcW w:w="6720" w:type="dxa"/>
            <w:shd w:val="clear" w:color="auto" w:fill="FFFFFF"/>
            <w:tcMar>
              <w:top w:w="40" w:type="dxa"/>
              <w:left w:w="100" w:type="dxa"/>
              <w:bottom w:w="40" w:type="dxa"/>
              <w:right w:w="100" w:type="dxa"/>
            </w:tcMar>
            <w:vAlign w:val="center"/>
          </w:tcPr>
          <w:p w14:paraId="28331059" w14:textId="77777777" w:rsidR="00BA183A" w:rsidRDefault="00000000">
            <w:pPr>
              <w:spacing w:before="20" w:after="20"/>
            </w:pPr>
            <w:r>
              <w:rPr>
                <w:color w:val="1A1A1A"/>
                <w:sz w:val="18"/>
                <w:szCs w:val="18"/>
              </w:rPr>
              <w:t>Per transaction (see the Section 8 cost-benefit framework); to be confirmed by Treasury / FID</w:t>
            </w:r>
          </w:p>
        </w:tc>
      </w:tr>
    </w:tbl>
    <w:p w14:paraId="06EC88B3" w14:textId="77777777" w:rsidR="00BA183A" w:rsidRDefault="00000000">
      <w:pPr>
        <w:pBdr>
          <w:bottom w:val="single" w:sz="4" w:space="2" w:color="2E6DA4"/>
        </w:pBdr>
        <w:spacing w:before="200" w:after="80"/>
      </w:pPr>
      <w:r>
        <w:rPr>
          <w:b/>
          <w:bCs/>
          <w:color w:val="2E6DA4"/>
          <w:sz w:val="22"/>
          <w:szCs w:val="22"/>
        </w:rPr>
        <w:t>7.2 Proposed Financial Covenants</w:t>
      </w:r>
    </w:p>
    <w:p w14:paraId="3B44E5AA" w14:textId="77777777" w:rsidR="00BA183A" w:rsidRDefault="00000000">
      <w:pPr>
        <w:spacing w:before="60" w:after="80"/>
      </w:pPr>
      <w:r>
        <w:rPr>
          <w:color w:val="1A1A1A"/>
        </w:rPr>
        <w:t>The following financial covenants are proposed for ongoing monitoring and, where the exposure is committed or term lending, for inclusion as binding maintenance covenants. Trigger levels should be calibrated to NBU's regulatory minima plus an agreed buffer and confirmed by FID/Risk.</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4080"/>
        <w:gridCol w:w="2880"/>
        <w:gridCol w:w="3120"/>
      </w:tblGrid>
      <w:tr w:rsidR="00BA183A" w14:paraId="5A0DA779" w14:textId="77777777">
        <w:tc>
          <w:tcPr>
            <w:tcW w:w="4080" w:type="dxa"/>
            <w:shd w:val="clear" w:color="auto" w:fill="2E4057"/>
            <w:tcMar>
              <w:top w:w="40" w:type="dxa"/>
              <w:left w:w="100" w:type="dxa"/>
              <w:bottom w:w="40" w:type="dxa"/>
              <w:right w:w="100" w:type="dxa"/>
            </w:tcMar>
            <w:vAlign w:val="center"/>
          </w:tcPr>
          <w:p w14:paraId="5D2B6BCB" w14:textId="77777777" w:rsidR="00BA183A" w:rsidRDefault="00000000">
            <w:pPr>
              <w:spacing w:before="20" w:after="20"/>
            </w:pPr>
            <w:r>
              <w:rPr>
                <w:b/>
                <w:bCs/>
                <w:color w:val="FFFFFF"/>
                <w:sz w:val="18"/>
                <w:szCs w:val="18"/>
              </w:rPr>
              <w:t>Covenant</w:t>
            </w:r>
          </w:p>
        </w:tc>
        <w:tc>
          <w:tcPr>
            <w:tcW w:w="2880" w:type="dxa"/>
            <w:shd w:val="clear" w:color="auto" w:fill="2E4057"/>
            <w:tcMar>
              <w:top w:w="40" w:type="dxa"/>
              <w:left w:w="100" w:type="dxa"/>
              <w:bottom w:w="40" w:type="dxa"/>
              <w:right w:w="100" w:type="dxa"/>
            </w:tcMar>
            <w:vAlign w:val="center"/>
          </w:tcPr>
          <w:p w14:paraId="65D33E0F" w14:textId="77777777" w:rsidR="00BA183A" w:rsidRDefault="00000000">
            <w:pPr>
              <w:spacing w:before="20" w:after="20"/>
            </w:pPr>
            <w:r>
              <w:rPr>
                <w:b/>
                <w:bCs/>
                <w:color w:val="FFFFFF"/>
                <w:sz w:val="18"/>
                <w:szCs w:val="18"/>
              </w:rPr>
              <w:t>Proposed level / trigger</w:t>
            </w:r>
          </w:p>
        </w:tc>
        <w:tc>
          <w:tcPr>
            <w:tcW w:w="3120" w:type="dxa"/>
            <w:shd w:val="clear" w:color="auto" w:fill="2E4057"/>
            <w:tcMar>
              <w:top w:w="40" w:type="dxa"/>
              <w:left w:w="100" w:type="dxa"/>
              <w:bottom w:w="40" w:type="dxa"/>
              <w:right w:w="100" w:type="dxa"/>
            </w:tcMar>
            <w:vAlign w:val="center"/>
          </w:tcPr>
          <w:p w14:paraId="7400B431" w14:textId="77777777" w:rsidR="00BA183A" w:rsidRDefault="00000000">
            <w:pPr>
              <w:spacing w:before="20" w:after="20"/>
            </w:pPr>
            <w:r>
              <w:rPr>
                <w:b/>
                <w:bCs/>
                <w:color w:val="FFFFFF"/>
                <w:sz w:val="18"/>
                <w:szCs w:val="18"/>
              </w:rPr>
              <w:t>Basis / reference</w:t>
            </w:r>
          </w:p>
        </w:tc>
      </w:tr>
      <w:tr w:rsidR="00BA183A" w14:paraId="2FF4FFB0" w14:textId="77777777">
        <w:tc>
          <w:tcPr>
            <w:tcW w:w="4080" w:type="dxa"/>
            <w:shd w:val="clear" w:color="auto" w:fill="FFFFFF"/>
            <w:tcMar>
              <w:top w:w="40" w:type="dxa"/>
              <w:left w:w="100" w:type="dxa"/>
              <w:bottom w:w="40" w:type="dxa"/>
              <w:right w:w="100" w:type="dxa"/>
            </w:tcMar>
            <w:vAlign w:val="center"/>
          </w:tcPr>
          <w:p w14:paraId="58DEA78B" w14:textId="77777777" w:rsidR="00BA183A" w:rsidRDefault="00000000">
            <w:pPr>
              <w:spacing w:before="20" w:after="20"/>
            </w:pPr>
            <w:r>
              <w:rPr>
                <w:color w:val="1A1A1A"/>
                <w:sz w:val="18"/>
                <w:szCs w:val="18"/>
              </w:rPr>
              <w:t>Minimum total capital adequacy ratio (CAR)</w:t>
            </w:r>
          </w:p>
        </w:tc>
        <w:tc>
          <w:tcPr>
            <w:tcW w:w="2880" w:type="dxa"/>
            <w:shd w:val="clear" w:color="auto" w:fill="FFFFFF"/>
            <w:tcMar>
              <w:top w:w="40" w:type="dxa"/>
              <w:left w:w="100" w:type="dxa"/>
              <w:bottom w:w="40" w:type="dxa"/>
              <w:right w:w="100" w:type="dxa"/>
            </w:tcMar>
            <w:vAlign w:val="center"/>
          </w:tcPr>
          <w:p w14:paraId="70CE707C" w14:textId="77777777" w:rsidR="00BA183A" w:rsidRDefault="00000000">
            <w:pPr>
              <w:spacing w:before="20" w:after="20"/>
            </w:pPr>
            <w:r>
              <w:rPr>
                <w:b/>
                <w:bCs/>
                <w:color w:val="1A1A1A"/>
                <w:sz w:val="18"/>
                <w:szCs w:val="18"/>
              </w:rPr>
              <w:t>Regulatory minimum + buffer (e.g. &gt;= 13-14%)</w:t>
            </w:r>
          </w:p>
        </w:tc>
        <w:tc>
          <w:tcPr>
            <w:tcW w:w="3120" w:type="dxa"/>
            <w:shd w:val="clear" w:color="auto" w:fill="FFFFFF"/>
            <w:tcMar>
              <w:top w:w="40" w:type="dxa"/>
              <w:left w:w="100" w:type="dxa"/>
              <w:bottom w:w="40" w:type="dxa"/>
              <w:right w:w="100" w:type="dxa"/>
            </w:tcMar>
            <w:vAlign w:val="center"/>
          </w:tcPr>
          <w:p w14:paraId="3ABE41F4" w14:textId="77777777" w:rsidR="00BA183A" w:rsidRDefault="00000000">
            <w:pPr>
              <w:spacing w:before="20" w:after="20"/>
            </w:pPr>
            <w:r>
              <w:rPr>
                <w:color w:val="1A1A1A"/>
                <w:sz w:val="18"/>
                <w:szCs w:val="18"/>
              </w:rPr>
              <w:t>CBU minimum 12%; sector ~18.3%</w:t>
            </w:r>
          </w:p>
        </w:tc>
      </w:tr>
      <w:tr w:rsidR="00BA183A" w14:paraId="60EA68BD" w14:textId="77777777">
        <w:tc>
          <w:tcPr>
            <w:tcW w:w="4080" w:type="dxa"/>
            <w:shd w:val="clear" w:color="auto" w:fill="FFFFFF"/>
            <w:tcMar>
              <w:top w:w="40" w:type="dxa"/>
              <w:left w:w="100" w:type="dxa"/>
              <w:bottom w:w="40" w:type="dxa"/>
              <w:right w:w="100" w:type="dxa"/>
            </w:tcMar>
            <w:vAlign w:val="center"/>
          </w:tcPr>
          <w:p w14:paraId="6501D8CE" w14:textId="77777777" w:rsidR="00BA183A" w:rsidRDefault="00000000">
            <w:pPr>
              <w:spacing w:before="20" w:after="20"/>
            </w:pPr>
            <w:r>
              <w:rPr>
                <w:color w:val="1A1A1A"/>
                <w:sz w:val="18"/>
                <w:szCs w:val="18"/>
              </w:rPr>
              <w:t>Minimum Tier 1 capital ratio</w:t>
            </w:r>
          </w:p>
        </w:tc>
        <w:tc>
          <w:tcPr>
            <w:tcW w:w="2880" w:type="dxa"/>
            <w:shd w:val="clear" w:color="auto" w:fill="FFFFFF"/>
            <w:tcMar>
              <w:top w:w="40" w:type="dxa"/>
              <w:left w:w="100" w:type="dxa"/>
              <w:bottom w:w="40" w:type="dxa"/>
              <w:right w:w="100" w:type="dxa"/>
            </w:tcMar>
            <w:vAlign w:val="center"/>
          </w:tcPr>
          <w:p w14:paraId="12E736D2" w14:textId="77777777" w:rsidR="00BA183A" w:rsidRDefault="00000000">
            <w:pPr>
              <w:spacing w:before="20" w:after="20"/>
            </w:pPr>
            <w:r>
              <w:rPr>
                <w:b/>
                <w:bCs/>
                <w:color w:val="1A1A1A"/>
                <w:sz w:val="18"/>
                <w:szCs w:val="18"/>
              </w:rPr>
              <w:t>Regulatory minimum + buffer (e.g. &gt;= 9-10%)</w:t>
            </w:r>
          </w:p>
        </w:tc>
        <w:tc>
          <w:tcPr>
            <w:tcW w:w="3120" w:type="dxa"/>
            <w:shd w:val="clear" w:color="auto" w:fill="FFFFFF"/>
            <w:tcMar>
              <w:top w:w="40" w:type="dxa"/>
              <w:left w:w="100" w:type="dxa"/>
              <w:bottom w:w="40" w:type="dxa"/>
              <w:right w:w="100" w:type="dxa"/>
            </w:tcMar>
            <w:vAlign w:val="center"/>
          </w:tcPr>
          <w:p w14:paraId="4B2EE3EA" w14:textId="77777777" w:rsidR="00BA183A" w:rsidRDefault="00000000">
            <w:pPr>
              <w:spacing w:before="20" w:after="20"/>
            </w:pPr>
            <w:r>
              <w:rPr>
                <w:color w:val="1A1A1A"/>
                <w:sz w:val="18"/>
                <w:szCs w:val="18"/>
              </w:rPr>
              <w:t>CBU minimum 8%; sector ~15.2%</w:t>
            </w:r>
          </w:p>
        </w:tc>
      </w:tr>
      <w:tr w:rsidR="00BA183A" w14:paraId="6E79E5CE" w14:textId="77777777">
        <w:tc>
          <w:tcPr>
            <w:tcW w:w="4080" w:type="dxa"/>
            <w:shd w:val="clear" w:color="auto" w:fill="FFFFFF"/>
            <w:tcMar>
              <w:top w:w="40" w:type="dxa"/>
              <w:left w:w="100" w:type="dxa"/>
              <w:bottom w:w="40" w:type="dxa"/>
              <w:right w:w="100" w:type="dxa"/>
            </w:tcMar>
            <w:vAlign w:val="center"/>
          </w:tcPr>
          <w:p w14:paraId="1BC1079C" w14:textId="77777777" w:rsidR="00BA183A" w:rsidRDefault="00000000">
            <w:pPr>
              <w:spacing w:before="20" w:after="20"/>
            </w:pPr>
            <w:r>
              <w:rPr>
                <w:color w:val="1A1A1A"/>
                <w:sz w:val="18"/>
                <w:szCs w:val="18"/>
              </w:rPr>
              <w:t>Maximum NPL ratio</w:t>
            </w:r>
          </w:p>
        </w:tc>
        <w:tc>
          <w:tcPr>
            <w:tcW w:w="2880" w:type="dxa"/>
            <w:shd w:val="clear" w:color="auto" w:fill="FFFFFF"/>
            <w:tcMar>
              <w:top w:w="40" w:type="dxa"/>
              <w:left w:w="100" w:type="dxa"/>
              <w:bottom w:w="40" w:type="dxa"/>
              <w:right w:w="100" w:type="dxa"/>
            </w:tcMar>
            <w:vAlign w:val="center"/>
          </w:tcPr>
          <w:p w14:paraId="574DA331" w14:textId="77777777" w:rsidR="00BA183A" w:rsidRDefault="00000000">
            <w:pPr>
              <w:spacing w:before="20" w:after="20"/>
            </w:pPr>
            <w:r>
              <w:rPr>
                <w:b/>
                <w:bCs/>
                <w:color w:val="1A1A1A"/>
                <w:sz w:val="18"/>
                <w:szCs w:val="18"/>
              </w:rPr>
              <w:t>Agreed ceiling (e.g. &lt;= 6-8%)</w:t>
            </w:r>
          </w:p>
        </w:tc>
        <w:tc>
          <w:tcPr>
            <w:tcW w:w="3120" w:type="dxa"/>
            <w:shd w:val="clear" w:color="auto" w:fill="FFFFFF"/>
            <w:tcMar>
              <w:top w:w="40" w:type="dxa"/>
              <w:left w:w="100" w:type="dxa"/>
              <w:bottom w:w="40" w:type="dxa"/>
              <w:right w:w="100" w:type="dxa"/>
            </w:tcMar>
            <w:vAlign w:val="center"/>
          </w:tcPr>
          <w:p w14:paraId="587A7F7E" w14:textId="77777777" w:rsidR="00BA183A" w:rsidRDefault="00000000">
            <w:pPr>
              <w:spacing w:before="20" w:after="20"/>
            </w:pPr>
            <w:r>
              <w:rPr>
                <w:color w:val="1A1A1A"/>
                <w:sz w:val="18"/>
                <w:szCs w:val="18"/>
              </w:rPr>
              <w:t>NBU ~2.8%; sector ~4.1%</w:t>
            </w:r>
          </w:p>
        </w:tc>
      </w:tr>
      <w:tr w:rsidR="00BA183A" w14:paraId="0D61CF15" w14:textId="77777777">
        <w:tc>
          <w:tcPr>
            <w:tcW w:w="4080" w:type="dxa"/>
            <w:shd w:val="clear" w:color="auto" w:fill="FFFFFF"/>
            <w:tcMar>
              <w:top w:w="40" w:type="dxa"/>
              <w:left w:w="100" w:type="dxa"/>
              <w:bottom w:w="40" w:type="dxa"/>
              <w:right w:w="100" w:type="dxa"/>
            </w:tcMar>
            <w:vAlign w:val="center"/>
          </w:tcPr>
          <w:p w14:paraId="5571F24A" w14:textId="77777777" w:rsidR="00BA183A" w:rsidRDefault="00000000">
            <w:pPr>
              <w:spacing w:before="20" w:after="20"/>
            </w:pPr>
            <w:r>
              <w:rPr>
                <w:color w:val="1A1A1A"/>
                <w:sz w:val="18"/>
                <w:szCs w:val="18"/>
              </w:rPr>
              <w:t>Minimum liquidity coverage ratio (LCR)</w:t>
            </w:r>
          </w:p>
        </w:tc>
        <w:tc>
          <w:tcPr>
            <w:tcW w:w="2880" w:type="dxa"/>
            <w:shd w:val="clear" w:color="auto" w:fill="FFFFFF"/>
            <w:tcMar>
              <w:top w:w="40" w:type="dxa"/>
              <w:left w:w="100" w:type="dxa"/>
              <w:bottom w:w="40" w:type="dxa"/>
              <w:right w:w="100" w:type="dxa"/>
            </w:tcMar>
            <w:vAlign w:val="center"/>
          </w:tcPr>
          <w:p w14:paraId="0F68F4CD" w14:textId="77777777" w:rsidR="00BA183A" w:rsidRDefault="00000000">
            <w:pPr>
              <w:spacing w:before="20" w:after="20"/>
            </w:pPr>
            <w:r>
              <w:rPr>
                <w:b/>
                <w:bCs/>
                <w:color w:val="1A1A1A"/>
                <w:sz w:val="18"/>
                <w:szCs w:val="18"/>
              </w:rPr>
              <w:t>&gt;= 100%</w:t>
            </w:r>
          </w:p>
        </w:tc>
        <w:tc>
          <w:tcPr>
            <w:tcW w:w="3120" w:type="dxa"/>
            <w:shd w:val="clear" w:color="auto" w:fill="FFFFFF"/>
            <w:tcMar>
              <w:top w:w="40" w:type="dxa"/>
              <w:left w:w="100" w:type="dxa"/>
              <w:bottom w:w="40" w:type="dxa"/>
              <w:right w:w="100" w:type="dxa"/>
            </w:tcMar>
            <w:vAlign w:val="center"/>
          </w:tcPr>
          <w:p w14:paraId="48840FE0" w14:textId="77777777" w:rsidR="00BA183A" w:rsidRDefault="00000000">
            <w:pPr>
              <w:spacing w:before="20" w:after="20"/>
            </w:pPr>
            <w:r>
              <w:rPr>
                <w:color w:val="1A1A1A"/>
                <w:sz w:val="18"/>
                <w:szCs w:val="18"/>
              </w:rPr>
              <w:t>Basel III / CBU</w:t>
            </w:r>
          </w:p>
        </w:tc>
      </w:tr>
      <w:tr w:rsidR="00BA183A" w14:paraId="3D1BCA02" w14:textId="77777777">
        <w:tc>
          <w:tcPr>
            <w:tcW w:w="4080" w:type="dxa"/>
            <w:shd w:val="clear" w:color="auto" w:fill="FFFFFF"/>
            <w:tcMar>
              <w:top w:w="40" w:type="dxa"/>
              <w:left w:w="100" w:type="dxa"/>
              <w:bottom w:w="40" w:type="dxa"/>
              <w:right w:w="100" w:type="dxa"/>
            </w:tcMar>
            <w:vAlign w:val="center"/>
          </w:tcPr>
          <w:p w14:paraId="7C520FC6" w14:textId="77777777" w:rsidR="00BA183A" w:rsidRDefault="00000000">
            <w:pPr>
              <w:spacing w:before="20" w:after="20"/>
            </w:pPr>
            <w:r>
              <w:rPr>
                <w:color w:val="1A1A1A"/>
                <w:sz w:val="18"/>
                <w:szCs w:val="18"/>
              </w:rPr>
              <w:t>Minimum net stable funding ratio (NSFR)</w:t>
            </w:r>
          </w:p>
        </w:tc>
        <w:tc>
          <w:tcPr>
            <w:tcW w:w="2880" w:type="dxa"/>
            <w:shd w:val="clear" w:color="auto" w:fill="FFFFFF"/>
            <w:tcMar>
              <w:top w:w="40" w:type="dxa"/>
              <w:left w:w="100" w:type="dxa"/>
              <w:bottom w:w="40" w:type="dxa"/>
              <w:right w:w="100" w:type="dxa"/>
            </w:tcMar>
            <w:vAlign w:val="center"/>
          </w:tcPr>
          <w:p w14:paraId="73341324" w14:textId="77777777" w:rsidR="00BA183A" w:rsidRDefault="00000000">
            <w:pPr>
              <w:spacing w:before="20" w:after="20"/>
            </w:pPr>
            <w:r>
              <w:rPr>
                <w:b/>
                <w:bCs/>
                <w:color w:val="1A1A1A"/>
                <w:sz w:val="18"/>
                <w:szCs w:val="18"/>
              </w:rPr>
              <w:t>&gt;= 100%</w:t>
            </w:r>
          </w:p>
        </w:tc>
        <w:tc>
          <w:tcPr>
            <w:tcW w:w="3120" w:type="dxa"/>
            <w:shd w:val="clear" w:color="auto" w:fill="FFFFFF"/>
            <w:tcMar>
              <w:top w:w="40" w:type="dxa"/>
              <w:left w:w="100" w:type="dxa"/>
              <w:bottom w:w="40" w:type="dxa"/>
              <w:right w:w="100" w:type="dxa"/>
            </w:tcMar>
            <w:vAlign w:val="center"/>
          </w:tcPr>
          <w:p w14:paraId="2FCF41CB" w14:textId="77777777" w:rsidR="00BA183A" w:rsidRDefault="00000000">
            <w:pPr>
              <w:spacing w:before="20" w:after="20"/>
            </w:pPr>
            <w:r>
              <w:rPr>
                <w:color w:val="1A1A1A"/>
                <w:sz w:val="18"/>
                <w:szCs w:val="18"/>
              </w:rPr>
              <w:t>Basel III / CBU</w:t>
            </w:r>
          </w:p>
        </w:tc>
      </w:tr>
      <w:tr w:rsidR="00BA183A" w14:paraId="6BF193FF" w14:textId="77777777">
        <w:tc>
          <w:tcPr>
            <w:tcW w:w="4080" w:type="dxa"/>
            <w:shd w:val="clear" w:color="auto" w:fill="FFFFFF"/>
            <w:tcMar>
              <w:top w:w="40" w:type="dxa"/>
              <w:left w:w="100" w:type="dxa"/>
              <w:bottom w:w="40" w:type="dxa"/>
              <w:right w:w="100" w:type="dxa"/>
            </w:tcMar>
            <w:vAlign w:val="center"/>
          </w:tcPr>
          <w:p w14:paraId="6E219095" w14:textId="77777777" w:rsidR="00BA183A" w:rsidRDefault="00000000">
            <w:pPr>
              <w:spacing w:before="20" w:after="20"/>
            </w:pPr>
            <w:r>
              <w:rPr>
                <w:color w:val="1A1A1A"/>
                <w:sz w:val="18"/>
                <w:szCs w:val="18"/>
              </w:rPr>
              <w:t>Maintenance of majority state ownership</w:t>
            </w:r>
          </w:p>
        </w:tc>
        <w:tc>
          <w:tcPr>
            <w:tcW w:w="2880" w:type="dxa"/>
            <w:shd w:val="clear" w:color="auto" w:fill="FFFFFF"/>
            <w:tcMar>
              <w:top w:w="40" w:type="dxa"/>
              <w:left w:w="100" w:type="dxa"/>
              <w:bottom w:w="40" w:type="dxa"/>
              <w:right w:w="100" w:type="dxa"/>
            </w:tcMar>
            <w:vAlign w:val="center"/>
          </w:tcPr>
          <w:p w14:paraId="18B48683" w14:textId="77777777" w:rsidR="00BA183A" w:rsidRDefault="00000000">
            <w:pPr>
              <w:spacing w:before="20" w:after="20"/>
            </w:pPr>
            <w:r>
              <w:rPr>
                <w:b/>
                <w:bCs/>
                <w:color w:val="1A1A1A"/>
                <w:sz w:val="18"/>
                <w:szCs w:val="18"/>
              </w:rPr>
              <w:t>State to retain &gt;= 50% + 1 share; change-of-control review event</w:t>
            </w:r>
          </w:p>
        </w:tc>
        <w:tc>
          <w:tcPr>
            <w:tcW w:w="3120" w:type="dxa"/>
            <w:shd w:val="clear" w:color="auto" w:fill="FFFFFF"/>
            <w:tcMar>
              <w:top w:w="40" w:type="dxa"/>
              <w:left w:w="100" w:type="dxa"/>
              <w:bottom w:w="40" w:type="dxa"/>
              <w:right w:w="100" w:type="dxa"/>
            </w:tcMar>
            <w:vAlign w:val="center"/>
          </w:tcPr>
          <w:p w14:paraId="60991619" w14:textId="77777777" w:rsidR="00BA183A" w:rsidRDefault="00000000">
            <w:pPr>
              <w:spacing w:before="20" w:after="20"/>
            </w:pPr>
            <w:r>
              <w:rPr>
                <w:color w:val="1A1A1A"/>
                <w:sz w:val="18"/>
                <w:szCs w:val="18"/>
              </w:rPr>
              <w:t>Quasi-sovereign support is core to the credit</w:t>
            </w:r>
          </w:p>
        </w:tc>
      </w:tr>
      <w:tr w:rsidR="00BA183A" w14:paraId="538F13DE" w14:textId="77777777">
        <w:tc>
          <w:tcPr>
            <w:tcW w:w="4080" w:type="dxa"/>
            <w:shd w:val="clear" w:color="auto" w:fill="FFFFFF"/>
            <w:tcMar>
              <w:top w:w="40" w:type="dxa"/>
              <w:left w:w="100" w:type="dxa"/>
              <w:bottom w:w="40" w:type="dxa"/>
              <w:right w:w="100" w:type="dxa"/>
            </w:tcMar>
            <w:vAlign w:val="center"/>
          </w:tcPr>
          <w:p w14:paraId="2DC79274" w14:textId="77777777" w:rsidR="00BA183A" w:rsidRDefault="00000000">
            <w:pPr>
              <w:spacing w:before="20" w:after="20"/>
            </w:pPr>
            <w:r>
              <w:rPr>
                <w:color w:val="1A1A1A"/>
                <w:sz w:val="18"/>
                <w:szCs w:val="18"/>
              </w:rPr>
              <w:lastRenderedPageBreak/>
              <w:t>Licence and ratings maintenance</w:t>
            </w:r>
          </w:p>
        </w:tc>
        <w:tc>
          <w:tcPr>
            <w:tcW w:w="2880" w:type="dxa"/>
            <w:shd w:val="clear" w:color="auto" w:fill="FFFFFF"/>
            <w:tcMar>
              <w:top w:w="40" w:type="dxa"/>
              <w:left w:w="100" w:type="dxa"/>
              <w:bottom w:w="40" w:type="dxa"/>
              <w:right w:w="100" w:type="dxa"/>
            </w:tcMar>
            <w:vAlign w:val="center"/>
          </w:tcPr>
          <w:p w14:paraId="5C4A2682" w14:textId="77777777" w:rsidR="00BA183A" w:rsidRDefault="00000000">
            <w:pPr>
              <w:spacing w:before="20" w:after="20"/>
            </w:pPr>
            <w:r>
              <w:rPr>
                <w:b/>
                <w:bCs/>
                <w:color w:val="1A1A1A"/>
                <w:sz w:val="18"/>
                <w:szCs w:val="18"/>
              </w:rPr>
              <w:t>Valid CBU licence; notify on a 2-notch downgrade or loss of internal investment-grade band</w:t>
            </w:r>
          </w:p>
        </w:tc>
        <w:tc>
          <w:tcPr>
            <w:tcW w:w="3120" w:type="dxa"/>
            <w:shd w:val="clear" w:color="auto" w:fill="FFFFFF"/>
            <w:tcMar>
              <w:top w:w="40" w:type="dxa"/>
              <w:left w:w="100" w:type="dxa"/>
              <w:bottom w:w="40" w:type="dxa"/>
              <w:right w:w="100" w:type="dxa"/>
            </w:tcMar>
            <w:vAlign w:val="center"/>
          </w:tcPr>
          <w:p w14:paraId="23B4362D" w14:textId="77777777" w:rsidR="00BA183A" w:rsidRDefault="00000000">
            <w:pPr>
              <w:spacing w:before="20" w:after="20"/>
            </w:pPr>
            <w:r>
              <w:rPr>
                <w:color w:val="1A1A1A"/>
                <w:sz w:val="18"/>
                <w:szCs w:val="18"/>
              </w:rPr>
              <w:t>Franchise / rating linkage</w:t>
            </w:r>
          </w:p>
        </w:tc>
      </w:tr>
      <w:tr w:rsidR="00BA183A" w14:paraId="794B8CE2" w14:textId="77777777">
        <w:tc>
          <w:tcPr>
            <w:tcW w:w="4080" w:type="dxa"/>
            <w:shd w:val="clear" w:color="auto" w:fill="FFFFFF"/>
            <w:tcMar>
              <w:top w:w="40" w:type="dxa"/>
              <w:left w:w="100" w:type="dxa"/>
              <w:bottom w:w="40" w:type="dxa"/>
              <w:right w:w="100" w:type="dxa"/>
            </w:tcMar>
            <w:vAlign w:val="center"/>
          </w:tcPr>
          <w:p w14:paraId="32FA1C57" w14:textId="77777777" w:rsidR="00BA183A" w:rsidRDefault="00000000">
            <w:pPr>
              <w:spacing w:before="20" w:after="20"/>
            </w:pPr>
            <w:r>
              <w:rPr>
                <w:color w:val="1A1A1A"/>
                <w:sz w:val="18"/>
                <w:szCs w:val="18"/>
              </w:rPr>
              <w:t>Negative pledge / pari passu / cross-default</w:t>
            </w:r>
          </w:p>
        </w:tc>
        <w:tc>
          <w:tcPr>
            <w:tcW w:w="2880" w:type="dxa"/>
            <w:shd w:val="clear" w:color="auto" w:fill="FFFFFF"/>
            <w:tcMar>
              <w:top w:w="40" w:type="dxa"/>
              <w:left w:w="100" w:type="dxa"/>
              <w:bottom w:w="40" w:type="dxa"/>
              <w:right w:w="100" w:type="dxa"/>
            </w:tcMar>
            <w:vAlign w:val="center"/>
          </w:tcPr>
          <w:p w14:paraId="401E16A3" w14:textId="77777777" w:rsidR="00BA183A" w:rsidRDefault="00000000">
            <w:pPr>
              <w:spacing w:before="20" w:after="20"/>
            </w:pPr>
            <w:r>
              <w:rPr>
                <w:b/>
                <w:bCs/>
                <w:color w:val="1A1A1A"/>
                <w:sz w:val="18"/>
                <w:szCs w:val="18"/>
              </w:rPr>
              <w:t>Standard; cross-default threshold to be agreed</w:t>
            </w:r>
          </w:p>
        </w:tc>
        <w:tc>
          <w:tcPr>
            <w:tcW w:w="3120" w:type="dxa"/>
            <w:shd w:val="clear" w:color="auto" w:fill="FFFFFF"/>
            <w:tcMar>
              <w:top w:w="40" w:type="dxa"/>
              <w:left w:w="100" w:type="dxa"/>
              <w:bottom w:w="40" w:type="dxa"/>
              <w:right w:w="100" w:type="dxa"/>
            </w:tcMar>
            <w:vAlign w:val="center"/>
          </w:tcPr>
          <w:p w14:paraId="5D574DAB" w14:textId="77777777" w:rsidR="00BA183A" w:rsidRDefault="00000000">
            <w:pPr>
              <w:spacing w:before="20" w:after="20"/>
            </w:pPr>
            <w:r>
              <w:rPr>
                <w:color w:val="1A1A1A"/>
                <w:sz w:val="18"/>
                <w:szCs w:val="18"/>
              </w:rPr>
              <w:t>Market standard</w:t>
            </w:r>
          </w:p>
        </w:tc>
      </w:tr>
      <w:tr w:rsidR="00BA183A" w14:paraId="61513934" w14:textId="77777777">
        <w:tc>
          <w:tcPr>
            <w:tcW w:w="4080" w:type="dxa"/>
            <w:shd w:val="clear" w:color="auto" w:fill="FFFFFF"/>
            <w:tcMar>
              <w:top w:w="40" w:type="dxa"/>
              <w:left w:w="100" w:type="dxa"/>
              <w:bottom w:w="40" w:type="dxa"/>
              <w:right w:w="100" w:type="dxa"/>
            </w:tcMar>
            <w:vAlign w:val="center"/>
          </w:tcPr>
          <w:p w14:paraId="6268AC4A" w14:textId="77777777" w:rsidR="00BA183A" w:rsidRDefault="00000000">
            <w:pPr>
              <w:spacing w:before="20" w:after="20"/>
            </w:pPr>
            <w:r>
              <w:rPr>
                <w:color w:val="1A1A1A"/>
                <w:sz w:val="18"/>
                <w:szCs w:val="18"/>
              </w:rPr>
              <w:t>Sanctions, AML / CFT and compliance</w:t>
            </w:r>
          </w:p>
        </w:tc>
        <w:tc>
          <w:tcPr>
            <w:tcW w:w="2880" w:type="dxa"/>
            <w:shd w:val="clear" w:color="auto" w:fill="FFFFFF"/>
            <w:tcMar>
              <w:top w:w="40" w:type="dxa"/>
              <w:left w:w="100" w:type="dxa"/>
              <w:bottom w:w="40" w:type="dxa"/>
              <w:right w:w="100" w:type="dxa"/>
            </w:tcMar>
            <w:vAlign w:val="center"/>
          </w:tcPr>
          <w:p w14:paraId="64A68C31" w14:textId="77777777" w:rsidR="00BA183A" w:rsidRDefault="00000000">
            <w:pPr>
              <w:spacing w:before="20" w:after="20"/>
            </w:pPr>
            <w:r>
              <w:rPr>
                <w:b/>
                <w:bCs/>
                <w:color w:val="1A1A1A"/>
                <w:sz w:val="18"/>
                <w:szCs w:val="18"/>
              </w:rPr>
              <w:t>Ongoing compliance (incl. OFAC / EU / UN); sanctions representation</w:t>
            </w:r>
          </w:p>
        </w:tc>
        <w:tc>
          <w:tcPr>
            <w:tcW w:w="3120" w:type="dxa"/>
            <w:shd w:val="clear" w:color="auto" w:fill="FFFFFF"/>
            <w:tcMar>
              <w:top w:w="40" w:type="dxa"/>
              <w:left w:w="100" w:type="dxa"/>
              <w:bottom w:w="40" w:type="dxa"/>
              <w:right w:w="100" w:type="dxa"/>
            </w:tcMar>
            <w:vAlign w:val="center"/>
          </w:tcPr>
          <w:p w14:paraId="645D108F" w14:textId="77777777" w:rsidR="00BA183A" w:rsidRDefault="00000000">
            <w:pPr>
              <w:spacing w:before="20" w:after="20"/>
            </w:pPr>
            <w:r>
              <w:rPr>
                <w:color w:val="1A1A1A"/>
                <w:sz w:val="18"/>
                <w:szCs w:val="18"/>
              </w:rPr>
              <w:t>Compliance / regulatory</w:t>
            </w:r>
          </w:p>
        </w:tc>
      </w:tr>
    </w:tbl>
    <w:p w14:paraId="040C7861" w14:textId="77777777" w:rsidR="00BA183A" w:rsidRDefault="00000000">
      <w:pPr>
        <w:pBdr>
          <w:bottom w:val="single" w:sz="4" w:space="2" w:color="2E6DA4"/>
        </w:pBdr>
        <w:spacing w:before="200" w:after="80"/>
      </w:pPr>
      <w:r>
        <w:rPr>
          <w:b/>
          <w:bCs/>
          <w:color w:val="2E6DA4"/>
          <w:sz w:val="22"/>
          <w:szCs w:val="22"/>
        </w:rPr>
        <w:t>7.3 Credit Enhancement, Security and Risk Mitigants</w:t>
      </w:r>
    </w:p>
    <w:p w14:paraId="6D72D7B5" w14:textId="77777777" w:rsidR="00BA183A" w:rsidRDefault="00000000">
      <w:pPr>
        <w:spacing w:before="60" w:after="80"/>
      </w:pPr>
      <w:r>
        <w:rPr>
          <w:color w:val="1A1A1A"/>
        </w:rPr>
        <w:t>In the base case the recommended lines are senior unsecured and are not supported by a specific third-party guarantee, standby letter of credit (SBLC) or dedicated security package. Credit risk is mitigated through the following features:</w:t>
      </w:r>
    </w:p>
    <w:p w14:paraId="69CA3CFA" w14:textId="77777777" w:rsidR="00BA183A" w:rsidRDefault="00000000">
      <w:pPr>
        <w:pStyle w:val="ListParagraph"/>
        <w:numPr>
          <w:ilvl w:val="0"/>
          <w:numId w:val="2"/>
        </w:numPr>
        <w:spacing w:before="40" w:after="40"/>
      </w:pPr>
      <w:r>
        <w:rPr>
          <w:color w:val="1A1A1A"/>
        </w:rPr>
        <w:t>Quasi-sovereign support: NBU is 100% state-owned and is treated by the rating agencies as intrinsically linked to the Republic of Uzbekistan, with ratings aligned to the sovereign; a high probability of extraordinary state support underpins the credit.</w:t>
      </w:r>
    </w:p>
    <w:p w14:paraId="0E923756" w14:textId="77777777" w:rsidR="00BA183A" w:rsidRDefault="00000000">
      <w:pPr>
        <w:pStyle w:val="ListParagraph"/>
        <w:numPr>
          <w:ilvl w:val="0"/>
          <w:numId w:val="2"/>
        </w:numPr>
        <w:spacing w:before="40" w:after="40"/>
      </w:pPr>
      <w:r>
        <w:rPr>
          <w:color w:val="1A1A1A"/>
        </w:rPr>
        <w:t>Netting and collateral under market documentation: ISDA close-out netting and a Credit Support Annex (CSA) for derivatives, and GMRA margining for any repo / securities financing, materially reduce counterparty exposure.</w:t>
      </w:r>
    </w:p>
    <w:p w14:paraId="1A61A307" w14:textId="77777777" w:rsidR="00BA183A" w:rsidRDefault="00000000">
      <w:pPr>
        <w:pStyle w:val="ListParagraph"/>
        <w:numPr>
          <w:ilvl w:val="0"/>
          <w:numId w:val="2"/>
        </w:numPr>
        <w:spacing w:before="40" w:after="40"/>
      </w:pPr>
      <w:r>
        <w:rPr>
          <w:color w:val="1A1A1A"/>
        </w:rPr>
        <w:t>Uncommitted, on-demand nature: the interbank and trade-finance lines are uncommitted and short-dated, allowing exposure to be reduced or withdrawn at the Bank's discretion if the credit deteriorates.</w:t>
      </w:r>
    </w:p>
    <w:p w14:paraId="2EB813A5" w14:textId="77777777" w:rsidR="00BA183A" w:rsidRDefault="00000000">
      <w:pPr>
        <w:pStyle w:val="ListParagraph"/>
        <w:numPr>
          <w:ilvl w:val="0"/>
          <w:numId w:val="2"/>
        </w:numPr>
        <w:spacing w:before="40" w:after="40"/>
      </w:pPr>
      <w:r>
        <w:rPr>
          <w:color w:val="1A1A1A"/>
        </w:rPr>
        <w:t>Covenant monitoring and review events: the financial covenants and the change-of-control and ratings triggers in Section 7.2 provide early-warning and exit mechanisms.</w:t>
      </w:r>
    </w:p>
    <w:p w14:paraId="66D65B15" w14:textId="77777777" w:rsidR="00BA183A" w:rsidRDefault="00000000">
      <w:pPr>
        <w:pStyle w:val="ListParagraph"/>
        <w:numPr>
          <w:ilvl w:val="0"/>
          <w:numId w:val="2"/>
        </w:numPr>
        <w:spacing w:before="40" w:after="40"/>
      </w:pPr>
      <w:r>
        <w:rPr>
          <w:color w:val="1A1A1A"/>
        </w:rPr>
        <w:t>Concentration and tenor limits: exposure is capped at the recommended limit of CNH 300 million, containing single-name concentration.</w:t>
      </w:r>
    </w:p>
    <w:p w14:paraId="48713308" w14:textId="77777777" w:rsidR="00BA183A" w:rsidRDefault="00000000">
      <w:pPr>
        <w:pStyle w:val="ListParagraph"/>
        <w:numPr>
          <w:ilvl w:val="0"/>
          <w:numId w:val="2"/>
        </w:numPr>
        <w:spacing w:before="40" w:after="40"/>
      </w:pPr>
      <w:r>
        <w:rPr>
          <w:color w:val="1A1A1A"/>
        </w:rPr>
        <w:t>Trade-finance structural protections: self-liquidating, transaction-linked trade-finance instruments under ICC rules (UCP 600 / URDG 758) carry inherent structural mitigants.</w:t>
      </w:r>
    </w:p>
    <w:p w14:paraId="39BFA428" w14:textId="77777777" w:rsidR="00BA183A" w:rsidRDefault="00000000">
      <w:pPr>
        <w:spacing w:before="60" w:after="80"/>
      </w:pPr>
      <w:r>
        <w:rPr>
          <w:color w:val="1A1A1A"/>
        </w:rPr>
        <w:t>Should any exposure be structured as committed or longer-tenor term lending, additional enhancement (for example an SBLC from a higher-rated ICBC entity, a multilateral or export-credit-agency guarantee, or a security / assignment package) and binding financial covenants should be considered and priced accordingly.</w:t>
      </w:r>
    </w:p>
    <w:p w14:paraId="08095BBD" w14:textId="77777777" w:rsidR="00BA183A" w:rsidRDefault="00000000">
      <w:pPr>
        <w:spacing w:before="280" w:after="120"/>
      </w:pPr>
      <w:r>
        <w:rPr>
          <w:b/>
          <w:bCs/>
          <w:color w:val="1A3A5C"/>
          <w:sz w:val="26"/>
          <w:szCs w:val="26"/>
        </w:rPr>
        <w:t>Part 8 - Transaction Details</w:t>
      </w:r>
    </w:p>
    <w:p w14:paraId="6A1126E4" w14:textId="77777777" w:rsidR="00BA183A" w:rsidRDefault="00000000">
      <w:pPr>
        <w:pBdr>
          <w:bottom w:val="single" w:sz="4" w:space="2" w:color="2E6DA4"/>
        </w:pBdr>
        <w:spacing w:before="200" w:after="80"/>
      </w:pPr>
      <w:r>
        <w:rPr>
          <w:b/>
          <w:bCs/>
          <w:color w:val="2E6DA4"/>
          <w:sz w:val="22"/>
          <w:szCs w:val="22"/>
        </w:rPr>
        <w:t>8.1 Cost-Income Analysis</w:t>
      </w:r>
    </w:p>
    <w:p w14:paraId="2F0DF2BD" w14:textId="77777777" w:rsidR="00BA183A" w:rsidRDefault="00000000">
      <w:pPr>
        <w:spacing w:before="60" w:after="80"/>
      </w:pPr>
      <w:r>
        <w:rPr>
          <w:color w:val="1A1A1A"/>
        </w:rPr>
        <w:t>The revenue and cost analysis below reflects the term-sheet pricing - a fixed interest rate of 3.8% per annum and a 0.6% flat upfront fee - and ICBC (DIFC Branch)'s cost of funds for three-year CNH of 1.46% per annum. Figures are indicative and remain subject to confirmation by Treasury / FID.</w:t>
      </w:r>
    </w:p>
    <w:p w14:paraId="45260471" w14:textId="77777777" w:rsidR="00BA183A" w:rsidRDefault="00000000">
      <w:pPr>
        <w:spacing w:before="60" w:after="80"/>
      </w:pPr>
      <w:r>
        <w:rPr>
          <w:color w:val="1A1A1A"/>
        </w:rPr>
        <w:t>Loan yield (fixed): 3.80% per annum (380 bps).</w:t>
      </w:r>
    </w:p>
    <w:p w14:paraId="5E853D56" w14:textId="77777777" w:rsidR="00BA183A" w:rsidRDefault="00000000">
      <w:pPr>
        <w:spacing w:before="60" w:after="80"/>
      </w:pPr>
      <w:r>
        <w:rPr>
          <w:color w:val="1A1A1A"/>
        </w:rPr>
        <w:t>Cost of funds (3-year CNH): 1.46% per annum (146 bps).</w:t>
      </w:r>
    </w:p>
    <w:p w14:paraId="388F07BA" w14:textId="77777777" w:rsidR="00BA183A" w:rsidRDefault="00000000">
      <w:pPr>
        <w:spacing w:before="60" w:after="80"/>
      </w:pPr>
      <w:r>
        <w:rPr>
          <w:color w:val="1A1A1A"/>
        </w:rPr>
        <w:t>Net interest spread: 3.80% - 1.46% = 2.34% per annum (234 bps).</w:t>
      </w:r>
    </w:p>
    <w:p w14:paraId="62282B3B" w14:textId="77777777" w:rsidR="00BA183A" w:rsidRDefault="00000000">
      <w:pPr>
        <w:spacing w:before="60" w:after="80"/>
      </w:pPr>
      <w:r>
        <w:rPr>
          <w:color w:val="1A1A1A"/>
        </w:rPr>
        <w:t>Upfront fee: 0.60% flat on the committed amount (one-time).</w:t>
      </w:r>
    </w:p>
    <w:p w14:paraId="3A0F6D45" w14:textId="77777777" w:rsidR="00BA183A" w:rsidRDefault="00000000">
      <w:pPr>
        <w:spacing w:before="60" w:after="80"/>
      </w:pPr>
      <w:r>
        <w:rPr>
          <w:color w:val="1A1A1A"/>
        </w:rPr>
        <w:t>This transaction does not involve an SBLC or any third-party risk participation, so there is no SBLC fee to deduct and the full spread is retained by ICBC (DIFC Branch).</w:t>
      </w:r>
    </w:p>
    <w:p w14:paraId="7CDFCD0D" w14:textId="77777777" w:rsidR="00BA183A" w:rsidRDefault="00000000">
      <w:pPr>
        <w:spacing w:before="60" w:after="80"/>
      </w:pPr>
      <w:r>
        <w:rPr>
          <w:color w:val="1A1A1A"/>
        </w:rPr>
        <w:t>Net income to ICBC (DIFC Branch): approximately 2.34% per annum (net interest spread), plus the 0.60% upfront fee.</w:t>
      </w:r>
    </w:p>
    <w:p w14:paraId="30CA5586" w14:textId="77777777" w:rsidR="00BA183A" w:rsidRDefault="00000000">
      <w:pPr>
        <w:spacing w:before="60" w:after="80"/>
      </w:pPr>
      <w:r>
        <w:rPr>
          <w:color w:val="1A1A1A"/>
        </w:rPr>
        <w:lastRenderedPageBreak/>
        <w:t>Applied to the CNH 300 million commitment: net interest income of approximately CNH 7.0 million per annum (CNH 300 million x 2.34%), plus an upfront fee of approximately CNH 1.8 million (CNH 300 million x 0.60%). Over the three-year tenor this totals approximately CNH 22.9 million (about CNH 7.6 million per annum equivalent), or approximately USD 3.2 million in aggregate (around USD 1.0 million per annum) at an indicative rate of CNH 7.2 per USD. Final figures depend on the confirmed committed amount, drawn balances and cost of funds.</w:t>
      </w:r>
    </w:p>
    <w:p w14:paraId="5D3FBB70" w14:textId="77777777" w:rsidR="0059742E" w:rsidRDefault="00C764C0">
      <w:pPr>
        <w:spacing w:before="100" w:after="60"/>
      </w:pPr>
      <w:r>
        <w:rPr>
          <w:b/>
          <w:bCs/>
        </w:rPr>
        <w:t>Relationship Manager:</w:t>
      </w:r>
      <w:r>
        <w:t xml:space="preserve"> Hanfang Bao</w:t>
      </w:r>
    </w:p>
    <w:p w14:paraId="710695A5" w14:textId="77777777" w:rsidR="0059742E" w:rsidRDefault="00C764C0">
      <w:pPr>
        <w:spacing w:before="60" w:after="60"/>
      </w:pPr>
      <w:r>
        <w:rPr>
          <w:b/>
          <w:bCs/>
        </w:rPr>
        <w:t>Primary Responsible Person of Operation:</w:t>
      </w:r>
      <w:r>
        <w:t xml:space="preserve"> [Name]</w:t>
      </w:r>
    </w:p>
    <w:p w14:paraId="24A7D29B" w14:textId="77777777" w:rsidR="0059742E" w:rsidRDefault="00C764C0">
      <w:pPr>
        <w:spacing w:before="120" w:after="40"/>
      </w:pPr>
      <w:r>
        <w:rPr>
          <w:b/>
          <w:bCs/>
          <w:color w:val="1A3A5C"/>
        </w:rPr>
        <w:t>Financial Institution Department</w:t>
      </w:r>
    </w:p>
    <w:p w14:paraId="55473AEE" w14:textId="77777777" w:rsidR="0059742E" w:rsidRDefault="00C764C0">
      <w:pPr>
        <w:spacing w:before="40" w:after="40"/>
      </w:pPr>
      <w:r>
        <w:rPr>
          <w:color w:val="555555"/>
        </w:rPr>
        <w:t>April 2026</w:t>
      </w:r>
    </w:p>
    <w:p w14:paraId="28ACA643" w14:textId="77777777" w:rsidR="00BA183A" w:rsidRDefault="00000000">
      <w:pPr>
        <w:spacing w:before="160" w:after="60"/>
      </w:pPr>
      <w:r>
        <w:rPr>
          <w:b/>
          <w:bCs/>
          <w:color w:val="1A1A1A"/>
        </w:rPr>
        <w:t>Reviewed and approved by:</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3360"/>
        <w:gridCol w:w="3360"/>
        <w:gridCol w:w="3360"/>
      </w:tblGrid>
      <w:tr w:rsidR="00BA183A" w14:paraId="1556830C" w14:textId="77777777">
        <w:tc>
          <w:tcPr>
            <w:tcW w:w="10080" w:type="dxa"/>
            <w:gridSpan w:val="3"/>
            <w:shd w:val="clear" w:color="auto" w:fill="FFFFFF"/>
            <w:tcMar>
              <w:top w:w="40" w:type="dxa"/>
              <w:left w:w="100" w:type="dxa"/>
              <w:bottom w:w="40" w:type="dxa"/>
              <w:right w:w="100" w:type="dxa"/>
            </w:tcMar>
            <w:vAlign w:val="center"/>
          </w:tcPr>
          <w:p w14:paraId="02731E1A" w14:textId="77777777" w:rsidR="00BA183A" w:rsidRDefault="00000000">
            <w:pPr>
              <w:spacing w:before="20" w:after="20"/>
            </w:pPr>
            <w:r>
              <w:rPr>
                <w:b/>
                <w:bCs/>
                <w:color w:val="1A1A1A"/>
                <w:sz w:val="18"/>
                <w:szCs w:val="18"/>
              </w:rPr>
              <w:t>Date:</w:t>
            </w:r>
          </w:p>
        </w:tc>
      </w:tr>
      <w:tr w:rsidR="00BA183A" w14:paraId="7782233F" w14:textId="77777777">
        <w:tc>
          <w:tcPr>
            <w:tcW w:w="3360" w:type="dxa"/>
            <w:shd w:val="clear" w:color="auto" w:fill="FFFFFF"/>
            <w:tcMar>
              <w:top w:w="40" w:type="dxa"/>
              <w:left w:w="100" w:type="dxa"/>
              <w:bottom w:w="40" w:type="dxa"/>
              <w:right w:w="100" w:type="dxa"/>
            </w:tcMar>
            <w:vAlign w:val="center"/>
          </w:tcPr>
          <w:p w14:paraId="32EE0E4C" w14:textId="77777777" w:rsidR="00BA183A" w:rsidRDefault="00000000">
            <w:pPr>
              <w:spacing w:before="20" w:after="20"/>
              <w:jc w:val="center"/>
            </w:pPr>
            <w:r>
              <w:rPr>
                <w:color w:val="1A1A1A"/>
                <w:sz w:val="18"/>
                <w:szCs w:val="18"/>
              </w:rPr>
              <w:t>Hanfang Bao</w:t>
            </w:r>
          </w:p>
        </w:tc>
        <w:tc>
          <w:tcPr>
            <w:tcW w:w="3360" w:type="dxa"/>
            <w:shd w:val="clear" w:color="auto" w:fill="FFFFFF"/>
            <w:tcMar>
              <w:top w:w="40" w:type="dxa"/>
              <w:left w:w="100" w:type="dxa"/>
              <w:bottom w:w="40" w:type="dxa"/>
              <w:right w:w="100" w:type="dxa"/>
            </w:tcMar>
            <w:vAlign w:val="center"/>
          </w:tcPr>
          <w:p w14:paraId="71A74728" w14:textId="77777777" w:rsidR="00BA183A" w:rsidRDefault="00000000">
            <w:pPr>
              <w:spacing w:before="20" w:after="20"/>
              <w:jc w:val="center"/>
            </w:pPr>
            <w:r>
              <w:rPr>
                <w:color w:val="1A1A1A"/>
                <w:sz w:val="18"/>
                <w:szCs w:val="18"/>
              </w:rPr>
              <w:t>[Name]</w:t>
            </w:r>
          </w:p>
        </w:tc>
        <w:tc>
          <w:tcPr>
            <w:tcW w:w="3360" w:type="dxa"/>
            <w:shd w:val="clear" w:color="auto" w:fill="FFFFFF"/>
            <w:tcMar>
              <w:top w:w="40" w:type="dxa"/>
              <w:left w:w="100" w:type="dxa"/>
              <w:bottom w:w="40" w:type="dxa"/>
              <w:right w:w="100" w:type="dxa"/>
            </w:tcMar>
            <w:vAlign w:val="center"/>
          </w:tcPr>
          <w:p w14:paraId="3961C9A9" w14:textId="77777777" w:rsidR="00BA183A" w:rsidRDefault="00000000">
            <w:pPr>
              <w:spacing w:before="20" w:after="20"/>
              <w:jc w:val="center"/>
            </w:pPr>
            <w:r>
              <w:rPr>
                <w:color w:val="1A1A1A"/>
                <w:sz w:val="18"/>
                <w:szCs w:val="18"/>
              </w:rPr>
              <w:t>[Name]</w:t>
            </w:r>
          </w:p>
        </w:tc>
      </w:tr>
      <w:tr w:rsidR="00BA183A" w14:paraId="483A07AA" w14:textId="77777777">
        <w:tc>
          <w:tcPr>
            <w:tcW w:w="3360" w:type="dxa"/>
            <w:shd w:val="clear" w:color="auto" w:fill="FFFFFF"/>
            <w:tcMar>
              <w:top w:w="40" w:type="dxa"/>
              <w:left w:w="100" w:type="dxa"/>
              <w:bottom w:w="40" w:type="dxa"/>
              <w:right w:w="100" w:type="dxa"/>
            </w:tcMar>
            <w:vAlign w:val="center"/>
          </w:tcPr>
          <w:p w14:paraId="568F1355" w14:textId="77777777" w:rsidR="00BA183A" w:rsidRDefault="00000000">
            <w:pPr>
              <w:spacing w:before="20" w:after="20"/>
              <w:jc w:val="center"/>
            </w:pPr>
            <w:r>
              <w:rPr>
                <w:b/>
                <w:bCs/>
                <w:color w:val="1A1A1A"/>
                <w:sz w:val="18"/>
                <w:szCs w:val="18"/>
              </w:rPr>
              <w:t>1st Investigator</w:t>
            </w:r>
          </w:p>
        </w:tc>
        <w:tc>
          <w:tcPr>
            <w:tcW w:w="3360" w:type="dxa"/>
            <w:shd w:val="clear" w:color="auto" w:fill="FFFFFF"/>
            <w:tcMar>
              <w:top w:w="40" w:type="dxa"/>
              <w:left w:w="100" w:type="dxa"/>
              <w:bottom w:w="40" w:type="dxa"/>
              <w:right w:w="100" w:type="dxa"/>
            </w:tcMar>
            <w:vAlign w:val="center"/>
          </w:tcPr>
          <w:p w14:paraId="49E59000" w14:textId="77777777" w:rsidR="00BA183A" w:rsidRDefault="00000000">
            <w:pPr>
              <w:spacing w:before="20" w:after="20"/>
              <w:jc w:val="center"/>
            </w:pPr>
            <w:r>
              <w:rPr>
                <w:b/>
                <w:bCs/>
                <w:color w:val="1A1A1A"/>
                <w:sz w:val="18"/>
                <w:szCs w:val="18"/>
              </w:rPr>
              <w:t>2nd Investigator</w:t>
            </w:r>
          </w:p>
        </w:tc>
        <w:tc>
          <w:tcPr>
            <w:tcW w:w="3360" w:type="dxa"/>
            <w:shd w:val="clear" w:color="auto" w:fill="FFFFFF"/>
            <w:tcMar>
              <w:top w:w="40" w:type="dxa"/>
              <w:left w:w="100" w:type="dxa"/>
              <w:bottom w:w="40" w:type="dxa"/>
              <w:right w:w="100" w:type="dxa"/>
            </w:tcMar>
            <w:vAlign w:val="center"/>
          </w:tcPr>
          <w:p w14:paraId="06D22DF7" w14:textId="77777777" w:rsidR="00BA183A" w:rsidRDefault="00000000">
            <w:pPr>
              <w:spacing w:before="20" w:after="20"/>
              <w:jc w:val="center"/>
            </w:pPr>
            <w:r>
              <w:rPr>
                <w:b/>
                <w:bCs/>
                <w:color w:val="1A1A1A"/>
                <w:sz w:val="18"/>
                <w:szCs w:val="18"/>
              </w:rPr>
              <w:t>Head of FID</w:t>
            </w:r>
          </w:p>
        </w:tc>
      </w:tr>
    </w:tbl>
    <w:p w14:paraId="7544E1AA" w14:textId="77777777" w:rsidR="00C0561B" w:rsidRDefault="00C0561B"/>
    <w:sectPr w:rsidR="00C0561B">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53663" w14:textId="77777777" w:rsidR="001D6940" w:rsidRDefault="001D6940">
      <w:r>
        <w:separator/>
      </w:r>
    </w:p>
  </w:endnote>
  <w:endnote w:type="continuationSeparator" w:id="0">
    <w:p w14:paraId="3CFF0393" w14:textId="77777777" w:rsidR="001D6940" w:rsidRDefault="001D6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6DCA2" w14:textId="77777777" w:rsidR="00797A0F" w:rsidRDefault="00797A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BA035" w14:textId="77777777" w:rsidR="0059742E" w:rsidRDefault="00C764C0">
    <w:pPr>
      <w:pBdr>
        <w:top w:val="single" w:sz="4" w:space="2" w:color="1A3A5C"/>
      </w:pBdr>
      <w:tabs>
        <w:tab w:val="right" w:pos="9000"/>
      </w:tabs>
      <w:spacing w:before="60"/>
    </w:pPr>
    <w:r>
      <w:rPr>
        <w:color w:val="555555"/>
        <w:sz w:val="16"/>
        <w:szCs w:val="16"/>
      </w:rPr>
      <w:t>Financial Institution Department</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CB4D8B">
      <w:rPr>
        <w:noProof/>
        <w:color w:val="555555"/>
        <w:sz w:val="16"/>
        <w:szCs w:val="16"/>
      </w:rPr>
      <w:t>1</w:t>
    </w:r>
    <w:r>
      <w:rPr>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4EDD" w14:textId="77777777" w:rsidR="00797A0F" w:rsidRDefault="00797A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552D3" w14:textId="77777777" w:rsidR="001D6940" w:rsidRDefault="001D6940">
      <w:r>
        <w:separator/>
      </w:r>
    </w:p>
  </w:footnote>
  <w:footnote w:type="continuationSeparator" w:id="0">
    <w:p w14:paraId="4C1E6D21" w14:textId="77777777" w:rsidR="001D6940" w:rsidRDefault="001D6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5D041" w14:textId="77777777" w:rsidR="00797A0F" w:rsidRDefault="00797A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84B36" w14:textId="77777777" w:rsidR="00797A0F" w:rsidRDefault="00797A0F" w:rsidP="00797A0F">
    <w:pPr>
      <w:pBdr>
        <w:bottom w:val="single" w:sz="6" w:space="2" w:color="1A3A5C"/>
      </w:pBdr>
      <w:spacing w:after="60"/>
      <w:rPr>
        <w:color w:val="555555"/>
        <w:sz w:val="16"/>
        <w:szCs w:val="16"/>
      </w:rPr>
    </w:pPr>
    <w:r>
      <w:rPr>
        <w:noProof/>
        <w:color w:val="555555"/>
        <w:sz w:val="16"/>
        <w:szCs w:val="16"/>
      </w:rPr>
      <w:drawing>
        <wp:inline distT="0" distB="0" distL="0" distR="0" wp14:anchorId="58BC6199" wp14:editId="2BBB8EE4">
          <wp:extent cx="5481090" cy="749300"/>
          <wp:effectExtent l="0" t="0" r="5715" b="0"/>
          <wp:docPr id="165127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70747" name=""/>
                  <pic:cNvPicPr/>
                </pic:nvPicPr>
                <pic:blipFill>
                  <a:blip r:embed="rId1">
                    <a:extLst>
                      <a:ext uri="{28A0092B-C50C-407E-A947-70E740481C1C}">
                        <a14:useLocalDpi xmlns:a14="http://schemas.microsoft.com/office/drawing/2010/main" val="0"/>
                      </a:ext>
                    </a:extLst>
                  </a:blip>
                  <a:stretch>
                    <a:fillRect/>
                  </a:stretch>
                </pic:blipFill>
                <pic:spPr>
                  <a:xfrm>
                    <a:off x="0" y="0"/>
                    <a:ext cx="5481090" cy="749300"/>
                  </a:xfrm>
                  <a:prstGeom prst="rect">
                    <a:avLst/>
                  </a:prstGeom>
                </pic:spPr>
              </pic:pic>
            </a:graphicData>
          </a:graphic>
        </wp:inline>
      </w:drawing>
    </w:r>
  </w:p>
  <w:p w14:paraId="1C1A3554" w14:textId="77777777" w:rsidR="0059742E" w:rsidRDefault="00C764C0">
    <w:pPr>
      <w:pBdr>
        <w:bottom w:val="single" w:sz="6" w:space="2" w:color="1A3A5C"/>
      </w:pBdr>
      <w:spacing w:after="60"/>
    </w:pPr>
    <w:r>
      <w:rPr>
        <w:color w:val="555555"/>
        <w:sz w:val="16"/>
        <w:szCs w:val="16"/>
      </w:rPr>
      <w:t>JSC National Bank for Foreign Economic Activity of the Republic of Uzbekistan ("NBU")  |  Credit Limit Report</w:t>
    </w:r>
    <w:r>
      <w:rPr>
        <w:color w:val="888888"/>
        <w:sz w:val="16"/>
        <w:szCs w:val="16"/>
      </w:rPr>
      <w:t xml:space="preserve">   Confidential  |  Financial Institution Department  |  April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E9DB6" w14:textId="77777777" w:rsidR="00797A0F" w:rsidRDefault="00797A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30CCB"/>
    <w:multiLevelType w:val="hybridMultilevel"/>
    <w:tmpl w:val="D8AE110E"/>
    <w:lvl w:ilvl="0" w:tplc="9612B6EE">
      <w:start w:val="1"/>
      <w:numFmt w:val="bullet"/>
      <w:lvlText w:val="•"/>
      <w:lvlJc w:val="left"/>
      <w:pPr>
        <w:ind w:left="540" w:hanging="260"/>
      </w:pPr>
    </w:lvl>
    <w:lvl w:ilvl="1" w:tplc="64EACB8C">
      <w:numFmt w:val="decimal"/>
      <w:lvlText w:val=""/>
      <w:lvlJc w:val="left"/>
    </w:lvl>
    <w:lvl w:ilvl="2" w:tplc="76DE8190">
      <w:numFmt w:val="decimal"/>
      <w:lvlText w:val=""/>
      <w:lvlJc w:val="left"/>
    </w:lvl>
    <w:lvl w:ilvl="3" w:tplc="173CAB80">
      <w:numFmt w:val="decimal"/>
      <w:lvlText w:val=""/>
      <w:lvlJc w:val="left"/>
    </w:lvl>
    <w:lvl w:ilvl="4" w:tplc="C0DAED52">
      <w:numFmt w:val="decimal"/>
      <w:lvlText w:val=""/>
      <w:lvlJc w:val="left"/>
    </w:lvl>
    <w:lvl w:ilvl="5" w:tplc="26C26DBA">
      <w:numFmt w:val="decimal"/>
      <w:lvlText w:val=""/>
      <w:lvlJc w:val="left"/>
    </w:lvl>
    <w:lvl w:ilvl="6" w:tplc="EC52C200">
      <w:numFmt w:val="decimal"/>
      <w:lvlText w:val=""/>
      <w:lvlJc w:val="left"/>
    </w:lvl>
    <w:lvl w:ilvl="7" w:tplc="1AE2AE82">
      <w:numFmt w:val="decimal"/>
      <w:lvlText w:val=""/>
      <w:lvlJc w:val="left"/>
    </w:lvl>
    <w:lvl w:ilvl="8" w:tplc="380C6E92">
      <w:numFmt w:val="decimal"/>
      <w:lvlText w:val=""/>
      <w:lvlJc w:val="left"/>
    </w:lvl>
  </w:abstractNum>
  <w:abstractNum w:abstractNumId="1" w15:restartNumberingAfterBreak="0">
    <w:nsid w:val="18E827C0"/>
    <w:multiLevelType w:val="hybridMultilevel"/>
    <w:tmpl w:val="4D52BF8C"/>
    <w:lvl w:ilvl="0" w:tplc="E6C6E10C">
      <w:start w:val="1"/>
      <w:numFmt w:val="bullet"/>
      <w:lvlText w:val="●"/>
      <w:lvlJc w:val="left"/>
      <w:pPr>
        <w:ind w:left="720" w:hanging="360"/>
      </w:pPr>
    </w:lvl>
    <w:lvl w:ilvl="1" w:tplc="20E677AC">
      <w:start w:val="1"/>
      <w:numFmt w:val="bullet"/>
      <w:lvlText w:val="○"/>
      <w:lvlJc w:val="left"/>
      <w:pPr>
        <w:ind w:left="1440" w:hanging="360"/>
      </w:pPr>
    </w:lvl>
    <w:lvl w:ilvl="2" w:tplc="621C626E">
      <w:start w:val="1"/>
      <w:numFmt w:val="bullet"/>
      <w:lvlText w:val="■"/>
      <w:lvlJc w:val="left"/>
      <w:pPr>
        <w:ind w:left="2160" w:hanging="360"/>
      </w:pPr>
    </w:lvl>
    <w:lvl w:ilvl="3" w:tplc="710EA764">
      <w:start w:val="1"/>
      <w:numFmt w:val="bullet"/>
      <w:lvlText w:val="●"/>
      <w:lvlJc w:val="left"/>
      <w:pPr>
        <w:ind w:left="2880" w:hanging="360"/>
      </w:pPr>
    </w:lvl>
    <w:lvl w:ilvl="4" w:tplc="13C49F90">
      <w:start w:val="1"/>
      <w:numFmt w:val="bullet"/>
      <w:lvlText w:val="○"/>
      <w:lvlJc w:val="left"/>
      <w:pPr>
        <w:ind w:left="3600" w:hanging="360"/>
      </w:pPr>
    </w:lvl>
    <w:lvl w:ilvl="5" w:tplc="BF1064E0">
      <w:start w:val="1"/>
      <w:numFmt w:val="bullet"/>
      <w:lvlText w:val="■"/>
      <w:lvlJc w:val="left"/>
      <w:pPr>
        <w:ind w:left="4320" w:hanging="360"/>
      </w:pPr>
    </w:lvl>
    <w:lvl w:ilvl="6" w:tplc="415E2648">
      <w:start w:val="1"/>
      <w:numFmt w:val="bullet"/>
      <w:lvlText w:val="●"/>
      <w:lvlJc w:val="left"/>
      <w:pPr>
        <w:ind w:left="5040" w:hanging="360"/>
      </w:pPr>
    </w:lvl>
    <w:lvl w:ilvl="7" w:tplc="0AAE13D6">
      <w:start w:val="1"/>
      <w:numFmt w:val="bullet"/>
      <w:lvlText w:val="●"/>
      <w:lvlJc w:val="left"/>
      <w:pPr>
        <w:ind w:left="5760" w:hanging="360"/>
      </w:pPr>
    </w:lvl>
    <w:lvl w:ilvl="8" w:tplc="405ED77E">
      <w:start w:val="1"/>
      <w:numFmt w:val="bullet"/>
      <w:lvlText w:val="●"/>
      <w:lvlJc w:val="left"/>
      <w:pPr>
        <w:ind w:left="6480" w:hanging="360"/>
      </w:pPr>
    </w:lvl>
  </w:abstractNum>
  <w:num w:numId="1" w16cid:durableId="1157649842">
    <w:abstractNumId w:val="1"/>
    <w:lvlOverride w:ilvl="0">
      <w:startOverride w:val="1"/>
    </w:lvlOverride>
  </w:num>
  <w:num w:numId="2" w16cid:durableId="17208631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42E"/>
    <w:rsid w:val="00012285"/>
    <w:rsid w:val="001D6940"/>
    <w:rsid w:val="003B07C8"/>
    <w:rsid w:val="004236A0"/>
    <w:rsid w:val="00446EC1"/>
    <w:rsid w:val="0059742E"/>
    <w:rsid w:val="00621933"/>
    <w:rsid w:val="00641795"/>
    <w:rsid w:val="00697AFE"/>
    <w:rsid w:val="00797A0F"/>
    <w:rsid w:val="007D5564"/>
    <w:rsid w:val="009B67B8"/>
    <w:rsid w:val="00AF2393"/>
    <w:rsid w:val="00B838A5"/>
    <w:rsid w:val="00BA183A"/>
    <w:rsid w:val="00BF0343"/>
    <w:rsid w:val="00C0561B"/>
    <w:rsid w:val="00C764C0"/>
    <w:rsid w:val="00CB4D8B"/>
    <w:rsid w:val="00F0546A"/>
  </w:rsids>
  <m:mathPr>
    <m:mathFont m:val="Cambria Math"/>
    <m:brkBin m:val="before"/>
    <m:brkBinSub m:val="--"/>
    <m:smallFrac m:val="0"/>
    <m:dispDef/>
    <m:lMargin m:val="0"/>
    <m:rMargin m:val="0"/>
    <m:defJc m:val="centerGroup"/>
    <m:wrapIndent m:val="1440"/>
    <m:intLim m:val="subSup"/>
    <m:naryLim m:val="undOvr"/>
  </m:mathPr>
  <w:themeFontLan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47483"/>
  <w15:docId w15:val="{899EB745-0977-44CB-B1D8-04490B7BD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A3A5C"/>
      <w:sz w:val="28"/>
      <w:szCs w:val="28"/>
    </w:rPr>
  </w:style>
  <w:style w:type="paragraph" w:styleId="Heading2">
    <w:name w:val="heading 2"/>
    <w:uiPriority w:val="9"/>
    <w:semiHidden/>
    <w:unhideWhenUsed/>
    <w:qFormat/>
    <w:pPr>
      <w:spacing w:before="200" w:after="100"/>
      <w:outlineLvl w:val="1"/>
    </w:pPr>
    <w:rPr>
      <w:b/>
      <w:bCs/>
      <w:color w:val="2E6DA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4D8B"/>
    <w:pPr>
      <w:tabs>
        <w:tab w:val="center" w:pos="4513"/>
        <w:tab w:val="right" w:pos="9026"/>
      </w:tabs>
    </w:pPr>
  </w:style>
  <w:style w:type="character" w:customStyle="1" w:styleId="HeaderChar">
    <w:name w:val="Header Char"/>
    <w:basedOn w:val="DefaultParagraphFont"/>
    <w:link w:val="Header"/>
    <w:uiPriority w:val="99"/>
    <w:rsid w:val="00CB4D8B"/>
  </w:style>
  <w:style w:type="paragraph" w:styleId="Footer">
    <w:name w:val="footer"/>
    <w:basedOn w:val="Normal"/>
    <w:link w:val="FooterChar"/>
    <w:uiPriority w:val="99"/>
    <w:unhideWhenUsed/>
    <w:rsid w:val="00CB4D8B"/>
    <w:pPr>
      <w:tabs>
        <w:tab w:val="center" w:pos="4513"/>
        <w:tab w:val="right" w:pos="9026"/>
      </w:tabs>
    </w:pPr>
  </w:style>
  <w:style w:type="character" w:customStyle="1" w:styleId="FooterChar">
    <w:name w:val="Footer Char"/>
    <w:basedOn w:val="DefaultParagraphFont"/>
    <w:link w:val="Footer"/>
    <w:uiPriority w:val="99"/>
    <w:rsid w:val="00CB4D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19</Pages>
  <Words>7214</Words>
  <Characters>41125</Characters>
  <Application>Microsoft Office Word</Application>
  <DocSecurity>0</DocSecurity>
  <Lines>342</Lines>
  <Paragraphs>96</Paragraphs>
  <ScaleCrop>false</ScaleCrop>
  <Company/>
  <LinksUpToDate>false</LinksUpToDate>
  <CharactersWithSpaces>48243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Hanfang Lydia Bao</cp:lastModifiedBy>
  <cp:revision>2</cp:revision>
  <dcterms:created xsi:type="dcterms:W3CDTF">2026-06-12T10:36:00Z</dcterms:created>
  <dcterms:modified xsi:type="dcterms:W3CDTF">2026-06-12T10:36:00Z</dcterms:modified>
</cp:coreProperties>
</file>