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46121" w14:textId="77777777" w:rsidR="006F3662" w:rsidRDefault="00B42244">
      <w:pPr>
        <w:pBdr>
          <w:bottom w:val="single" w:sz="18" w:space="6" w:color="C8A24B"/>
        </w:pBdr>
        <w:spacing w:after="40"/>
      </w:pPr>
      <w:r>
        <w:rPr>
          <w:b/>
          <w:bCs/>
          <w:color w:val="0B2D4D"/>
          <w:sz w:val="22"/>
          <w:szCs w:val="22"/>
        </w:rPr>
        <w:t>INDUSTRIAL AND COMMERCIAL BANK OF CHINA</w:t>
      </w:r>
    </w:p>
    <w:p w14:paraId="2CAF0FB9" w14:textId="77777777" w:rsidR="006F3662" w:rsidRDefault="00B42244">
      <w:pPr>
        <w:spacing w:after="30"/>
      </w:pPr>
      <w:r>
        <w:rPr>
          <w:b/>
          <w:bCs/>
          <w:color w:val="1F7A8C"/>
          <w:sz w:val="20"/>
          <w:szCs w:val="20"/>
        </w:rPr>
        <w:t>Financial Institution Department — Credit Rating &amp; Credit Limit Application Report</w:t>
      </w:r>
    </w:p>
    <w:p w14:paraId="52FAF2CA" w14:textId="77777777" w:rsidR="006F3662" w:rsidRDefault="00B42244">
      <w:pPr>
        <w:spacing w:before="160" w:after="60"/>
      </w:pPr>
      <w:r>
        <w:rPr>
          <w:b/>
          <w:bCs/>
          <w:color w:val="0B2D4D"/>
          <w:sz w:val="40"/>
          <w:szCs w:val="40"/>
        </w:rPr>
        <w:t>Dubai Islamic Bank PJSC</w:t>
      </w:r>
    </w:p>
    <w:p w14:paraId="00410D46" w14:textId="77777777" w:rsidR="006F3662" w:rsidRDefault="00B42244">
      <w:pPr>
        <w:spacing w:after="30"/>
      </w:pPr>
      <w:r>
        <w:rPr>
          <w:i/>
          <w:iCs/>
          <w:color w:val="444444"/>
          <w:sz w:val="22"/>
          <w:szCs w:val="22"/>
        </w:rPr>
        <w:t>(“Borrower”, “DIB” or “the Bank”)</w:t>
      </w:r>
    </w:p>
    <w:p w14:paraId="5AA6DA65" w14:textId="77777777" w:rsidR="006F3662" w:rsidRDefault="00B42244">
      <w:pPr>
        <w:spacing w:after="200"/>
      </w:pPr>
      <w:r>
        <w:rPr>
          <w:color w:val="6B7280"/>
          <w:sz w:val="18"/>
          <w:szCs w:val="18"/>
        </w:rPr>
        <w:t>Counterparty Credit Assessment  |  March 2026  |  Audited FY2025 basis  |  USD/AED = 3.6725</w:t>
      </w:r>
    </w:p>
    <w:p w14:paraId="4E1535B9" w14:textId="77777777" w:rsidR="006F3662" w:rsidRDefault="00B42244">
      <w:pPr>
        <w:pStyle w:val="Heading1"/>
      </w:pPr>
      <w:r>
        <w:t>1. Overall Evaluation of Customer</w:t>
      </w:r>
    </w:p>
    <w:p w14:paraId="1EBAEB0D" w14:textId="77777777" w:rsidR="006F3662" w:rsidRDefault="00B42244">
      <w:pPr>
        <w:pStyle w:val="Heading2"/>
      </w:pPr>
      <w:r>
        <w:t>1.1 Key Information List of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F3662" w14:paraId="02D55065" w14:textId="77777777">
        <w:tblPrEx>
          <w:tblCellMar>
            <w:top w:w="0" w:type="dxa"/>
            <w:bottom w:w="0" w:type="dxa"/>
          </w:tblCellMar>
        </w:tblPrEx>
        <w:tc>
          <w:tcPr>
            <w:tcW w:w="234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03D81A55" w14:textId="77777777" w:rsidR="006F3662" w:rsidRDefault="00B42244">
            <w:r>
              <w:rPr>
                <w:b/>
                <w:bCs/>
                <w:color w:val="FFFFFF"/>
                <w:sz w:val="18"/>
                <w:szCs w:val="18"/>
              </w:rPr>
              <w:t>Name of Customer</w:t>
            </w:r>
          </w:p>
        </w:tc>
        <w:tc>
          <w:tcPr>
            <w:tcW w:w="234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1476E2BB" w14:textId="77777777" w:rsidR="006F3662" w:rsidRDefault="00B42244">
            <w:r>
              <w:rPr>
                <w:color w:val="222222"/>
                <w:sz w:val="19"/>
                <w:szCs w:val="19"/>
              </w:rPr>
              <w:t>Dubai Islamic Bank PJSC (“DIB”)</w:t>
            </w:r>
          </w:p>
        </w:tc>
        <w:tc>
          <w:tcPr>
            <w:tcW w:w="234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2FE4EE16" w14:textId="77777777" w:rsidR="006F3662" w:rsidRDefault="00B42244">
            <w:r>
              <w:rPr>
                <w:b/>
                <w:bCs/>
                <w:color w:val="FFFFFF"/>
                <w:sz w:val="18"/>
                <w:szCs w:val="18"/>
              </w:rPr>
              <w:t>Total Assets (Dec 2025)</w:t>
            </w:r>
          </w:p>
        </w:tc>
        <w:tc>
          <w:tcPr>
            <w:tcW w:w="234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7C8E86C6" w14:textId="77777777" w:rsidR="006F3662" w:rsidRDefault="00B42244">
            <w:r>
              <w:rPr>
                <w:color w:val="222222"/>
                <w:sz w:val="19"/>
                <w:szCs w:val="19"/>
              </w:rPr>
              <w:t>AED 415.9 billion (≈ USD 113.3 bn)</w:t>
            </w:r>
          </w:p>
        </w:tc>
      </w:tr>
      <w:tr w:rsidR="006F3662" w14:paraId="1156F831" w14:textId="77777777">
        <w:tblPrEx>
          <w:tblCellMar>
            <w:top w:w="0" w:type="dxa"/>
            <w:bottom w:w="0" w:type="dxa"/>
          </w:tblCellMar>
        </w:tblPrEx>
        <w:tc>
          <w:tcPr>
            <w:tcW w:w="234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4C79ECE9" w14:textId="77777777" w:rsidR="006F3662" w:rsidRDefault="00B42244">
            <w:r>
              <w:rPr>
                <w:b/>
                <w:bCs/>
                <w:color w:val="FFFFFF"/>
                <w:sz w:val="18"/>
                <w:szCs w:val="18"/>
              </w:rPr>
              <w:t>Top / Controlling Shareholder</w:t>
            </w:r>
          </w:p>
        </w:tc>
        <w:tc>
          <w:tcPr>
            <w:tcW w:w="234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7C8285A7" w14:textId="77777777" w:rsidR="006F3662" w:rsidRDefault="00B42244">
            <w:r>
              <w:rPr>
                <w:color w:val="222222"/>
                <w:sz w:val="19"/>
                <w:szCs w:val="19"/>
              </w:rPr>
              <w:t>Investment Corporation of Dubai – ICD (≈ 28.0%)</w:t>
            </w:r>
          </w:p>
        </w:tc>
        <w:tc>
          <w:tcPr>
            <w:tcW w:w="234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364E54CD" w14:textId="77777777" w:rsidR="006F3662" w:rsidRDefault="00B42244">
            <w:r>
              <w:rPr>
                <w:b/>
                <w:bCs/>
                <w:color w:val="FFFFFF"/>
                <w:sz w:val="18"/>
                <w:szCs w:val="18"/>
              </w:rPr>
              <w:t>Total Equity (Dec 2025)</w:t>
            </w:r>
          </w:p>
        </w:tc>
        <w:tc>
          <w:tcPr>
            <w:tcW w:w="234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7617FD22" w14:textId="77777777" w:rsidR="006F3662" w:rsidRDefault="00B42244">
            <w:r>
              <w:rPr>
                <w:color w:val="222222"/>
                <w:sz w:val="19"/>
                <w:szCs w:val="19"/>
              </w:rPr>
              <w:t>AED 53.14 billion</w:t>
            </w:r>
          </w:p>
        </w:tc>
      </w:tr>
      <w:tr w:rsidR="006F3662" w14:paraId="1FE3B0E7" w14:textId="77777777">
        <w:tblPrEx>
          <w:tblCellMar>
            <w:top w:w="0" w:type="dxa"/>
            <w:bottom w:w="0" w:type="dxa"/>
          </w:tblCellMar>
        </w:tblPrEx>
        <w:tc>
          <w:tcPr>
            <w:tcW w:w="234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507C2693" w14:textId="77777777" w:rsidR="006F3662" w:rsidRDefault="00B42244">
            <w:r>
              <w:rPr>
                <w:b/>
                <w:bCs/>
                <w:color w:val="FFFFFF"/>
                <w:sz w:val="18"/>
                <w:szCs w:val="18"/>
              </w:rPr>
              <w:t>Ultimate Shareholder</w:t>
            </w:r>
          </w:p>
        </w:tc>
        <w:tc>
          <w:tcPr>
            <w:tcW w:w="234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45E0A6C6" w14:textId="77777777" w:rsidR="006F3662" w:rsidRDefault="00B42244">
            <w:r>
              <w:rPr>
                <w:color w:val="222222"/>
                <w:sz w:val="19"/>
                <w:szCs w:val="19"/>
              </w:rPr>
              <w:t>Government of Dubai</w:t>
            </w:r>
          </w:p>
        </w:tc>
        <w:tc>
          <w:tcPr>
            <w:tcW w:w="234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566ADDCF" w14:textId="77777777" w:rsidR="006F3662" w:rsidRDefault="00B42244">
            <w:r>
              <w:rPr>
                <w:b/>
                <w:bCs/>
                <w:color w:val="FFFFFF"/>
                <w:sz w:val="18"/>
                <w:szCs w:val="18"/>
              </w:rPr>
              <w:t>Country of Incorporation</w:t>
            </w:r>
          </w:p>
        </w:tc>
        <w:tc>
          <w:tcPr>
            <w:tcW w:w="234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5CCC2CE8" w14:textId="77777777" w:rsidR="006F3662" w:rsidRDefault="00B42244">
            <w:r>
              <w:rPr>
                <w:color w:val="222222"/>
                <w:sz w:val="19"/>
                <w:szCs w:val="19"/>
              </w:rPr>
              <w:t>UAE (Emirate of Dubai)</w:t>
            </w:r>
          </w:p>
        </w:tc>
      </w:tr>
      <w:tr w:rsidR="006F3662" w14:paraId="100B2507" w14:textId="77777777">
        <w:tblPrEx>
          <w:tblCellMar>
            <w:top w:w="0" w:type="dxa"/>
            <w:bottom w:w="0" w:type="dxa"/>
          </w:tblCellMar>
        </w:tblPrEx>
        <w:tc>
          <w:tcPr>
            <w:tcW w:w="234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7D06419D" w14:textId="77777777" w:rsidR="006F3662" w:rsidRDefault="00B42244">
            <w:r>
              <w:rPr>
                <w:b/>
                <w:bCs/>
                <w:color w:val="FFFFFF"/>
                <w:sz w:val="18"/>
                <w:szCs w:val="18"/>
              </w:rPr>
              <w:t>Credit Ratings</w:t>
            </w:r>
          </w:p>
        </w:tc>
        <w:tc>
          <w:tcPr>
            <w:tcW w:w="234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741030F9" w14:textId="77777777" w:rsidR="006F3662" w:rsidRDefault="00B42244">
            <w:r>
              <w:rPr>
                <w:color w:val="222222"/>
                <w:sz w:val="19"/>
                <w:szCs w:val="19"/>
              </w:rPr>
              <w:t>Moody’s: A3 / Stable   |   Fitch: A / Stable   |   IIRA: A+ (intl) / Stable</w:t>
            </w:r>
          </w:p>
        </w:tc>
        <w:tc>
          <w:tcPr>
            <w:tcW w:w="234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2C33B3EC" w14:textId="77777777" w:rsidR="006F3662" w:rsidRDefault="00B42244">
            <w:r>
              <w:rPr>
                <w:b/>
                <w:bCs/>
                <w:color w:val="FFFFFF"/>
                <w:sz w:val="18"/>
                <w:szCs w:val="18"/>
              </w:rPr>
              <w:t>Auditor</w:t>
            </w:r>
          </w:p>
        </w:tc>
        <w:tc>
          <w:tcPr>
            <w:tcW w:w="234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568A3B20" w14:textId="77777777" w:rsidR="006F3662" w:rsidRDefault="00B42244">
            <w:r>
              <w:rPr>
                <w:color w:val="222222"/>
                <w:sz w:val="19"/>
                <w:szCs w:val="19"/>
              </w:rPr>
              <w:t>KPMG Lower Gulf Limited (FY2025)</w:t>
            </w:r>
          </w:p>
        </w:tc>
      </w:tr>
    </w:tbl>
    <w:p w14:paraId="16982E53" w14:textId="77777777" w:rsidR="006F3662" w:rsidRDefault="00B42244">
      <w:pPr>
        <w:spacing w:before="60" w:after="120"/>
      </w:pPr>
      <w:r>
        <w:rPr>
          <w:i/>
          <w:iCs/>
          <w:color w:val="6B7280"/>
          <w:sz w:val="17"/>
          <w:szCs w:val="17"/>
        </w:rPr>
        <w:t>USD/AED = 3.6725</w:t>
      </w:r>
    </w:p>
    <w:p w14:paraId="6735E324" w14:textId="77777777" w:rsidR="006F3662" w:rsidRDefault="00B42244">
      <w:pPr>
        <w:spacing w:after="120" w:line="264" w:lineRule="auto"/>
      </w:pPr>
      <w:r>
        <w:t>Dubai Islamic Bank PJSC (“DIB” or “the Bank”) was incorporated by Amiri Decree on 12 March 1975 in the Emirate of Dubai and is widely recognised as the world’s first full-service Islamic bank. Listed on the Dubai Financial Market (Ticker: DIB) since March 2000, the Bank is the largest Islamic bank in the UAE and the fourth-largest bank in the country overall, holding approximately 8% of total UAE banking-sector assets, c.10% of net financing and c.9% of deposits. The registered head office is at P.O. Box 10</w:t>
      </w:r>
      <w:r>
        <w:t>80, Al Maktoum Road, Deira, Dubai, UAE.</w:t>
      </w:r>
    </w:p>
    <w:p w14:paraId="1957D6BD" w14:textId="77777777" w:rsidR="006F3662" w:rsidRDefault="00B42244">
      <w:pPr>
        <w:spacing w:after="120" w:line="264" w:lineRule="auto"/>
      </w:pPr>
      <w:r>
        <w:t>DIB offers a full range of Shari’ah-compliant retail, business, corporate, treasury and investment-banking products under the guidance of its Internal Shari’ah Supervision Committee and the Higher Shari’ah Authority of the CBUAE. Its principal consolidated subsidiaries include Dubai Islamic Bank Pakistan (banking), Noor Bank PJSC and Tamweel PSC (UAE), DIB Bank Kenya, Deyaar Development (real estate) and Dar Al Sharia (Shari’ah advisory); it also holds associate and minority interests in markets including Indonesia (Panin Dubai Syariah Bank), Bosnia (Bosna Bank International) and Türkiye (the T.O.M. digital-banking group). The four pr</w:t>
      </w:r>
      <w:r>
        <w:t>incipal business lines are summarised below.</w:t>
      </w:r>
    </w:p>
    <w:p w14:paraId="59D5D166" w14:textId="77777777" w:rsidR="006F3662" w:rsidRDefault="00B42244">
      <w:pPr>
        <w:spacing w:before="140" w:after="70"/>
      </w:pPr>
      <w:r>
        <w:rPr>
          <w:b/>
          <w:bCs/>
          <w:color w:val="0B2D4D"/>
          <w:sz w:val="23"/>
          <w:szCs w:val="23"/>
        </w:rPr>
        <w:t>Consumer Banking</w:t>
      </w:r>
    </w:p>
    <w:p w14:paraId="7ACF0D7E" w14:textId="77777777" w:rsidR="006F3662" w:rsidRDefault="00B42244">
      <w:pPr>
        <w:pStyle w:val="ListParagraph"/>
        <w:numPr>
          <w:ilvl w:val="0"/>
          <w:numId w:val="2"/>
        </w:numPr>
        <w:spacing w:after="90" w:line="264" w:lineRule="auto"/>
      </w:pPr>
      <w:r>
        <w:t>Serves over 1.6 million UAE customers with home finance, auto finance, personal finance, cards and deposits. In FY2025 consumer assets grew 22% YoY to AED 77 billion on record new financing origination of AED 37 billion (+90% YoY); segment revenue rose 10% to AED 4.9 billion. The Home Finance franchise remained the lead product, supported by a strategic tie-up with Mohammed Bin Rashid Housing Establishment (MBRHE).</w:t>
      </w:r>
    </w:p>
    <w:p w14:paraId="74459A00" w14:textId="77777777" w:rsidR="006F3662" w:rsidRDefault="00B42244">
      <w:pPr>
        <w:spacing w:before="140" w:after="70"/>
      </w:pPr>
      <w:r>
        <w:rPr>
          <w:b/>
          <w:bCs/>
          <w:color w:val="0B2D4D"/>
          <w:sz w:val="23"/>
          <w:szCs w:val="23"/>
        </w:rPr>
        <w:t>Local &amp; Cross-Border Wholesale Banking</w:t>
      </w:r>
    </w:p>
    <w:p w14:paraId="2D31DC53" w14:textId="77777777" w:rsidR="006F3662" w:rsidRDefault="00B42244">
      <w:pPr>
        <w:pStyle w:val="ListParagraph"/>
        <w:numPr>
          <w:ilvl w:val="0"/>
          <w:numId w:val="2"/>
        </w:numPr>
        <w:spacing w:after="90" w:line="264" w:lineRule="auto"/>
      </w:pPr>
      <w:r>
        <w:t>Provides corporate finance, trade finance, structured and sovereign financing to large corporates, GREs and institutions. The portfolio rose 24% YoY to AED 185 billion on AED 67 billion of new gross corporate financing, with cross-border assets up more than 83% YoY. The DCM franchise grew volumes by over 50% YoY to USD 57 billion.</w:t>
      </w:r>
    </w:p>
    <w:p w14:paraId="6CDE2C66" w14:textId="77777777" w:rsidR="006F3662" w:rsidRDefault="00B42244">
      <w:pPr>
        <w:spacing w:before="140" w:after="70"/>
      </w:pPr>
      <w:r>
        <w:rPr>
          <w:b/>
          <w:bCs/>
          <w:color w:val="0B2D4D"/>
          <w:sz w:val="23"/>
          <w:szCs w:val="23"/>
        </w:rPr>
        <w:t>Treasury &amp; Sukuk</w:t>
      </w:r>
    </w:p>
    <w:p w14:paraId="225A3380" w14:textId="77777777" w:rsidR="006F3662" w:rsidRDefault="00B42244">
      <w:pPr>
        <w:pStyle w:val="ListParagraph"/>
        <w:numPr>
          <w:ilvl w:val="0"/>
          <w:numId w:val="2"/>
        </w:numPr>
        <w:spacing w:after="90" w:line="264" w:lineRule="auto"/>
      </w:pPr>
      <w:r>
        <w:lastRenderedPageBreak/>
        <w:t>Manages liquidity, the c.AED 91 billion Sukuk investment book (77% high-quality sovereign / FI), FX, profit-rate and proprietary positions, and acts as product provider to other segments. The Sukuk book grew 10% YoY supported by AED 20 billion of new investments.</w:t>
      </w:r>
    </w:p>
    <w:p w14:paraId="79768572" w14:textId="77777777" w:rsidR="006F3662" w:rsidRDefault="00B42244">
      <w:pPr>
        <w:spacing w:before="140" w:after="70"/>
      </w:pPr>
      <w:r>
        <w:rPr>
          <w:b/>
          <w:bCs/>
          <w:color w:val="0B2D4D"/>
          <w:sz w:val="23"/>
          <w:szCs w:val="23"/>
        </w:rPr>
        <w:t>Investment Banking &amp; Subsidiaries</w:t>
      </w:r>
    </w:p>
    <w:p w14:paraId="52EA5F59" w14:textId="77777777" w:rsidR="006F3662" w:rsidRDefault="00B42244">
      <w:pPr>
        <w:pStyle w:val="ListParagraph"/>
        <w:numPr>
          <w:ilvl w:val="0"/>
          <w:numId w:val="2"/>
        </w:numPr>
        <w:spacing w:after="90" w:line="264" w:lineRule="auto"/>
      </w:pPr>
      <w:r>
        <w:t>DIB leads Islamic capital-markets origination (sovereign and corporate Sukuk across Pakistan, Egypt, Türkiye and the GCC) and holds subsidiaries including DIB Pakistan, Noor Bank, Tamweel, DIB Bank Kenya, Deyaar Development (real estate) and Dar Al Sharia (Shari’ah advisory).</w:t>
      </w:r>
    </w:p>
    <w:p w14:paraId="0458B9C5" w14:textId="77777777" w:rsidR="006F3662" w:rsidRDefault="00B42244">
      <w:pPr>
        <w:spacing w:before="140" w:after="70"/>
      </w:pPr>
      <w:r>
        <w:rPr>
          <w:b/>
          <w:bCs/>
          <w:color w:val="0B2D4D"/>
          <w:sz w:val="23"/>
          <w:szCs w:val="23"/>
        </w:rPr>
        <w:t>Shareholder Structure</w:t>
      </w:r>
    </w:p>
    <w:p w14:paraId="5ADB6546" w14:textId="77777777" w:rsidR="006F3662" w:rsidRDefault="00B42244">
      <w:pPr>
        <w:spacing w:after="120" w:line="264" w:lineRule="auto"/>
      </w:pPr>
      <w:r>
        <w:t>The Government of Dubai, through the Investment Corporation of Dubai (ICD) — the principal investment arm of the Government of Dubai — holds approximately 28% of DIB’s share capital, making it the controlling and ultimate shareholder. The remainder is free-float, held by UAE and international institutional and retail investors. The Government linkage is a key rating driver, with Moody’s and Fitch both attributing several notches of ratings uplift to a very high likelihood of state support.</w:t>
      </w:r>
    </w:p>
    <w:p w14:paraId="2DC91CCD" w14:textId="77777777" w:rsidR="006F3662" w:rsidRDefault="00B42244">
      <w:pPr>
        <w:pStyle w:val="Heading2"/>
      </w:pPr>
      <w:r>
        <w:t>1.2 Board of Directors and Senior Management</w:t>
      </w:r>
    </w:p>
    <w:p w14:paraId="1762AD4E" w14:textId="77777777" w:rsidR="006F3662" w:rsidRDefault="00B42244">
      <w:pPr>
        <w:spacing w:after="120" w:line="264" w:lineRule="auto"/>
      </w:pPr>
      <w:r>
        <w:t>The Board (2023–2026 term) comprises 14 non-executive members chaired by H.E. Mohammed Ibrahim Al Shaibani, Director-General of His Highness The Ruler’s Court of Dubai and Managing Director of ICD. The Group Chief Executive Officer is Dr. Adnan Chilwan. The Board combines public-sector governance, sovereign-investment and international banking expertise.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6F3662" w14:paraId="03E4E541" w14:textId="77777777">
        <w:tblPrEx>
          <w:tblCellMar>
            <w:top w:w="0" w:type="dxa"/>
            <w:bottom w:w="0" w:type="dxa"/>
          </w:tblCellMar>
        </w:tblPrEx>
        <w:trPr>
          <w:tblHeader/>
        </w:trPr>
        <w:tc>
          <w:tcPr>
            <w:tcW w:w="300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3F9F5217" w14:textId="77777777" w:rsidR="006F3662" w:rsidRDefault="00B42244">
            <w:r>
              <w:rPr>
                <w:b/>
                <w:bCs/>
                <w:color w:val="FFFFFF"/>
                <w:sz w:val="19"/>
                <w:szCs w:val="19"/>
              </w:rPr>
              <w:t>Name</w:t>
            </w:r>
          </w:p>
        </w:tc>
        <w:tc>
          <w:tcPr>
            <w:tcW w:w="220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5E1D2481" w14:textId="77777777" w:rsidR="006F3662" w:rsidRDefault="00B42244">
            <w:pPr>
              <w:jc w:val="center"/>
            </w:pPr>
            <w:r>
              <w:rPr>
                <w:b/>
                <w:bCs/>
                <w:color w:val="FFFFFF"/>
                <w:sz w:val="19"/>
                <w:szCs w:val="19"/>
              </w:rPr>
              <w:t>Type</w:t>
            </w:r>
          </w:p>
        </w:tc>
        <w:tc>
          <w:tcPr>
            <w:tcW w:w="416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1F0E5523" w14:textId="77777777" w:rsidR="006F3662" w:rsidRDefault="00B42244">
            <w:pPr>
              <w:jc w:val="center"/>
            </w:pPr>
            <w:r>
              <w:rPr>
                <w:b/>
                <w:bCs/>
                <w:color w:val="FFFFFF"/>
                <w:sz w:val="19"/>
                <w:szCs w:val="19"/>
              </w:rPr>
              <w:t>Background / External Roles</w:t>
            </w:r>
          </w:p>
        </w:tc>
      </w:tr>
      <w:tr w:rsidR="006F3662" w14:paraId="332DF05F" w14:textId="77777777">
        <w:tblPrEx>
          <w:tblCellMar>
            <w:top w:w="0" w:type="dxa"/>
            <w:bottom w:w="0" w:type="dxa"/>
          </w:tblCellMar>
        </w:tblPrEx>
        <w:tc>
          <w:tcPr>
            <w:tcW w:w="30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7F3B914D" w14:textId="77777777" w:rsidR="006F3662" w:rsidRDefault="00B42244">
            <w:r>
              <w:rPr>
                <w:b/>
                <w:bCs/>
                <w:color w:val="222222"/>
                <w:sz w:val="19"/>
                <w:szCs w:val="19"/>
              </w:rPr>
              <w:t>H.E. Mohammed Ibrahim Al Shaibani</w:t>
            </w:r>
          </w:p>
        </w:tc>
        <w:tc>
          <w:tcPr>
            <w:tcW w:w="22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2B423AFF" w14:textId="77777777" w:rsidR="006F3662" w:rsidRDefault="00B42244">
            <w:pPr>
              <w:jc w:val="center"/>
            </w:pPr>
            <w:r>
              <w:rPr>
                <w:color w:val="222222"/>
                <w:sz w:val="19"/>
                <w:szCs w:val="19"/>
              </w:rPr>
              <w:t>Chairman – Non-Exec., Non-Indep.</w:t>
            </w:r>
          </w:p>
        </w:tc>
        <w:tc>
          <w:tcPr>
            <w:tcW w:w="416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26DE2493" w14:textId="77777777" w:rsidR="006F3662" w:rsidRDefault="00B42244">
            <w:pPr>
              <w:jc w:val="center"/>
            </w:pPr>
            <w:r>
              <w:rPr>
                <w:color w:val="222222"/>
                <w:sz w:val="19"/>
                <w:szCs w:val="19"/>
              </w:rPr>
              <w:t>DG of H.H. The Ruler’s Court of Dubai; Managing Director of ICD; Vice-Chair, Supreme Fiscal Committee of Dubai; Chairman, Dubai Healthcare City Authority.</w:t>
            </w:r>
          </w:p>
        </w:tc>
      </w:tr>
      <w:tr w:rsidR="006F3662" w14:paraId="4E6EC954" w14:textId="77777777">
        <w:tblPrEx>
          <w:tblCellMar>
            <w:top w:w="0" w:type="dxa"/>
            <w:bottom w:w="0" w:type="dxa"/>
          </w:tblCellMar>
        </w:tblPrEx>
        <w:tc>
          <w:tcPr>
            <w:tcW w:w="30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046B459B" w14:textId="77777777" w:rsidR="006F3662" w:rsidRDefault="00B42244">
            <w:r>
              <w:rPr>
                <w:b/>
                <w:bCs/>
                <w:color w:val="222222"/>
                <w:sz w:val="19"/>
                <w:szCs w:val="19"/>
              </w:rPr>
              <w:t>Eng. Yahya Saeed Ahmad Nasser Lootah</w:t>
            </w:r>
          </w:p>
        </w:tc>
        <w:tc>
          <w:tcPr>
            <w:tcW w:w="22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2259FDAA" w14:textId="77777777" w:rsidR="006F3662" w:rsidRDefault="00B42244">
            <w:pPr>
              <w:jc w:val="center"/>
            </w:pPr>
            <w:r>
              <w:rPr>
                <w:color w:val="222222"/>
                <w:sz w:val="19"/>
                <w:szCs w:val="19"/>
              </w:rPr>
              <w:t>Vice-Chairman – Non-Exec., Indep.</w:t>
            </w:r>
          </w:p>
        </w:tc>
        <w:tc>
          <w:tcPr>
            <w:tcW w:w="416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716518A1" w14:textId="77777777" w:rsidR="006F3662" w:rsidRDefault="00B42244">
            <w:pPr>
              <w:jc w:val="center"/>
            </w:pPr>
            <w:r>
              <w:rPr>
                <w:color w:val="222222"/>
                <w:sz w:val="19"/>
                <w:szCs w:val="19"/>
              </w:rPr>
              <w:t>Chairman, S.S. Lootah Group; former board member, Dubai Chamber of Commerce.</w:t>
            </w:r>
          </w:p>
        </w:tc>
      </w:tr>
      <w:tr w:rsidR="006F3662" w14:paraId="006E97F8" w14:textId="77777777">
        <w:tblPrEx>
          <w:tblCellMar>
            <w:top w:w="0" w:type="dxa"/>
            <w:bottom w:w="0" w:type="dxa"/>
          </w:tblCellMar>
        </w:tblPrEx>
        <w:tc>
          <w:tcPr>
            <w:tcW w:w="30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0B2E8AA3" w14:textId="77777777" w:rsidR="006F3662" w:rsidRDefault="00B42244">
            <w:r>
              <w:rPr>
                <w:b/>
                <w:bCs/>
                <w:color w:val="222222"/>
                <w:sz w:val="19"/>
                <w:szCs w:val="19"/>
              </w:rPr>
              <w:t>H.E. Hamad Mubarak Buamim</w:t>
            </w:r>
          </w:p>
        </w:tc>
        <w:tc>
          <w:tcPr>
            <w:tcW w:w="22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13895101" w14:textId="77777777" w:rsidR="006F3662" w:rsidRDefault="00B42244">
            <w:pPr>
              <w:jc w:val="center"/>
            </w:pPr>
            <w:r>
              <w:rPr>
                <w:color w:val="222222"/>
                <w:sz w:val="19"/>
                <w:szCs w:val="19"/>
              </w:rPr>
              <w:t>Non-Exec., Indep.</w:t>
            </w:r>
          </w:p>
        </w:tc>
        <w:tc>
          <w:tcPr>
            <w:tcW w:w="416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15F55946" w14:textId="77777777" w:rsidR="006F3662" w:rsidRDefault="00B42244">
            <w:pPr>
              <w:jc w:val="center"/>
            </w:pPr>
            <w:r>
              <w:rPr>
                <w:color w:val="222222"/>
                <w:sz w:val="19"/>
                <w:szCs w:val="19"/>
              </w:rPr>
              <w:t>Chairman, DMCC; former President &amp; CEO, Dubai Chamber (2006–22); former CBUAE board member.</w:t>
            </w:r>
          </w:p>
        </w:tc>
      </w:tr>
      <w:tr w:rsidR="006F3662" w14:paraId="2293F52F" w14:textId="77777777">
        <w:tblPrEx>
          <w:tblCellMar>
            <w:top w:w="0" w:type="dxa"/>
            <w:bottom w:w="0" w:type="dxa"/>
          </w:tblCellMar>
        </w:tblPrEx>
        <w:tc>
          <w:tcPr>
            <w:tcW w:w="30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2DC8A7C9" w14:textId="77777777" w:rsidR="006F3662" w:rsidRDefault="00B42244">
            <w:r>
              <w:rPr>
                <w:b/>
                <w:bCs/>
                <w:color w:val="222222"/>
                <w:sz w:val="19"/>
                <w:szCs w:val="19"/>
              </w:rPr>
              <w:t>Mr. Hamad Abdulla Rashed Obaid Al Shamsi</w:t>
            </w:r>
          </w:p>
        </w:tc>
        <w:tc>
          <w:tcPr>
            <w:tcW w:w="22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05D9A7AF" w14:textId="77777777" w:rsidR="006F3662" w:rsidRDefault="00B42244">
            <w:pPr>
              <w:jc w:val="center"/>
            </w:pPr>
            <w:r>
              <w:rPr>
                <w:color w:val="222222"/>
                <w:sz w:val="19"/>
                <w:szCs w:val="19"/>
              </w:rPr>
              <w:t>Non-Exec., Non-Indep.</w:t>
            </w:r>
          </w:p>
        </w:tc>
        <w:tc>
          <w:tcPr>
            <w:tcW w:w="416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0A02A581" w14:textId="77777777" w:rsidR="006F3662" w:rsidRDefault="00B42244">
            <w:pPr>
              <w:jc w:val="center"/>
            </w:pPr>
            <w:r>
              <w:rPr>
                <w:color w:val="222222"/>
                <w:sz w:val="19"/>
                <w:szCs w:val="19"/>
              </w:rPr>
              <w:t>Chairman, Amanat Holding PJSC; former CEO, International Capital Trading; ex-ADIA.</w:t>
            </w:r>
          </w:p>
        </w:tc>
      </w:tr>
      <w:tr w:rsidR="006F3662" w14:paraId="72F62EBE" w14:textId="77777777">
        <w:tblPrEx>
          <w:tblCellMar>
            <w:top w:w="0" w:type="dxa"/>
            <w:bottom w:w="0" w:type="dxa"/>
          </w:tblCellMar>
        </w:tblPrEx>
        <w:tc>
          <w:tcPr>
            <w:tcW w:w="30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2131C775" w14:textId="77777777" w:rsidR="006F3662" w:rsidRDefault="00B42244">
            <w:r>
              <w:rPr>
                <w:b/>
                <w:bCs/>
                <w:color w:val="222222"/>
                <w:sz w:val="19"/>
                <w:szCs w:val="19"/>
              </w:rPr>
              <w:t>Mr. Abdulaziz Ahmed Rahma Al Mheiri</w:t>
            </w:r>
          </w:p>
        </w:tc>
        <w:tc>
          <w:tcPr>
            <w:tcW w:w="22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0DBD9841" w14:textId="77777777" w:rsidR="006F3662" w:rsidRDefault="00B42244">
            <w:pPr>
              <w:jc w:val="center"/>
            </w:pPr>
            <w:r>
              <w:rPr>
                <w:color w:val="222222"/>
                <w:sz w:val="19"/>
                <w:szCs w:val="19"/>
              </w:rPr>
              <w:t>Non-Exec., Non-Indep.</w:t>
            </w:r>
          </w:p>
        </w:tc>
        <w:tc>
          <w:tcPr>
            <w:tcW w:w="416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3D86AF0C" w14:textId="77777777" w:rsidR="006F3662" w:rsidRDefault="00B42244">
            <w:pPr>
              <w:jc w:val="center"/>
            </w:pPr>
            <w:r>
              <w:rPr>
                <w:color w:val="222222"/>
                <w:sz w:val="19"/>
                <w:szCs w:val="19"/>
              </w:rPr>
              <w:t>Chairman, Bosna Bank International supervisory board; former MD of ICD; former CEO, Dubai Bank.</w:t>
            </w:r>
          </w:p>
        </w:tc>
      </w:tr>
      <w:tr w:rsidR="006F3662" w14:paraId="35F10269" w14:textId="77777777">
        <w:tblPrEx>
          <w:tblCellMar>
            <w:top w:w="0" w:type="dxa"/>
            <w:bottom w:w="0" w:type="dxa"/>
          </w:tblCellMar>
        </w:tblPrEx>
        <w:tc>
          <w:tcPr>
            <w:tcW w:w="30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696C2D33" w14:textId="77777777" w:rsidR="006F3662" w:rsidRDefault="00B42244">
            <w:r>
              <w:rPr>
                <w:b/>
                <w:bCs/>
                <w:color w:val="222222"/>
                <w:sz w:val="19"/>
                <w:szCs w:val="19"/>
              </w:rPr>
              <w:t>Mr. Ahmad Mohammad Bin Humaidan</w:t>
            </w:r>
          </w:p>
        </w:tc>
        <w:tc>
          <w:tcPr>
            <w:tcW w:w="22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760EF93B" w14:textId="77777777" w:rsidR="006F3662" w:rsidRDefault="00B42244">
            <w:pPr>
              <w:jc w:val="center"/>
            </w:pPr>
            <w:r>
              <w:rPr>
                <w:color w:val="222222"/>
                <w:sz w:val="19"/>
                <w:szCs w:val="19"/>
              </w:rPr>
              <w:t>Non-Exec., Non-Indep.</w:t>
            </w:r>
          </w:p>
        </w:tc>
        <w:tc>
          <w:tcPr>
            <w:tcW w:w="416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377C485E" w14:textId="77777777" w:rsidR="006F3662" w:rsidRDefault="00B42244">
            <w:pPr>
              <w:jc w:val="center"/>
            </w:pPr>
            <w:r>
              <w:rPr>
                <w:color w:val="222222"/>
                <w:sz w:val="19"/>
                <w:szCs w:val="19"/>
              </w:rPr>
              <w:t>Deputy DG, H.H. The Ruler’s Court; Vice-Chairman, Smart Dubai; former DG, Dubai Smart Government.</w:t>
            </w:r>
          </w:p>
        </w:tc>
      </w:tr>
      <w:tr w:rsidR="006F3662" w14:paraId="6C0044EC" w14:textId="77777777">
        <w:tblPrEx>
          <w:tblCellMar>
            <w:top w:w="0" w:type="dxa"/>
            <w:bottom w:w="0" w:type="dxa"/>
          </w:tblCellMar>
        </w:tblPrEx>
        <w:tc>
          <w:tcPr>
            <w:tcW w:w="30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79F63BD3" w14:textId="77777777" w:rsidR="006F3662" w:rsidRDefault="00B42244">
            <w:r>
              <w:rPr>
                <w:b/>
                <w:bCs/>
                <w:color w:val="222222"/>
                <w:sz w:val="19"/>
                <w:szCs w:val="19"/>
              </w:rPr>
              <w:t>Mr. Javier Marin Romano</w:t>
            </w:r>
          </w:p>
        </w:tc>
        <w:tc>
          <w:tcPr>
            <w:tcW w:w="22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76620B01" w14:textId="77777777" w:rsidR="006F3662" w:rsidRDefault="00B42244">
            <w:pPr>
              <w:jc w:val="center"/>
            </w:pPr>
            <w:r>
              <w:rPr>
                <w:color w:val="222222"/>
                <w:sz w:val="19"/>
                <w:szCs w:val="19"/>
              </w:rPr>
              <w:t>Non-Exec., Indep.</w:t>
            </w:r>
          </w:p>
        </w:tc>
        <w:tc>
          <w:tcPr>
            <w:tcW w:w="416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2A4D2139" w14:textId="77777777" w:rsidR="006F3662" w:rsidRDefault="00B42244">
            <w:pPr>
              <w:jc w:val="center"/>
            </w:pPr>
            <w:r>
              <w:rPr>
                <w:color w:val="222222"/>
                <w:sz w:val="19"/>
                <w:szCs w:val="19"/>
              </w:rPr>
              <w:t>CEO, Singular Bank (Spain); former CEO, Banco Santander.</w:t>
            </w:r>
          </w:p>
        </w:tc>
      </w:tr>
      <w:tr w:rsidR="006F3662" w14:paraId="2761E70A" w14:textId="77777777">
        <w:tblPrEx>
          <w:tblCellMar>
            <w:top w:w="0" w:type="dxa"/>
            <w:bottom w:w="0" w:type="dxa"/>
          </w:tblCellMar>
        </w:tblPrEx>
        <w:tc>
          <w:tcPr>
            <w:tcW w:w="30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6160FAEF" w14:textId="77777777" w:rsidR="006F3662" w:rsidRDefault="00B42244">
            <w:r>
              <w:rPr>
                <w:b/>
                <w:bCs/>
                <w:color w:val="222222"/>
                <w:sz w:val="19"/>
                <w:szCs w:val="19"/>
              </w:rPr>
              <w:t>Dr. Jehad El-Nakla</w:t>
            </w:r>
          </w:p>
        </w:tc>
        <w:tc>
          <w:tcPr>
            <w:tcW w:w="22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60877D90" w14:textId="77777777" w:rsidR="006F3662" w:rsidRDefault="00B42244">
            <w:pPr>
              <w:jc w:val="center"/>
            </w:pPr>
            <w:r>
              <w:rPr>
                <w:color w:val="222222"/>
                <w:sz w:val="19"/>
                <w:szCs w:val="19"/>
              </w:rPr>
              <w:t>Non-Exec., Indep.</w:t>
            </w:r>
          </w:p>
        </w:tc>
        <w:tc>
          <w:tcPr>
            <w:tcW w:w="416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48E8D5E1" w14:textId="77777777" w:rsidR="006F3662" w:rsidRDefault="00B42244">
            <w:pPr>
              <w:jc w:val="center"/>
            </w:pPr>
            <w:r>
              <w:rPr>
                <w:color w:val="222222"/>
                <w:sz w:val="19"/>
                <w:szCs w:val="19"/>
              </w:rPr>
              <w:t>35 yrs in financial services; former GM, Moody’s Middle East (DIFC); credit &amp; risk specialist; Chairman, Al Baraka Bank (Pakistan).</w:t>
            </w:r>
          </w:p>
        </w:tc>
      </w:tr>
      <w:tr w:rsidR="006F3662" w14:paraId="2FA63693" w14:textId="77777777">
        <w:tblPrEx>
          <w:tblCellMar>
            <w:top w:w="0" w:type="dxa"/>
            <w:bottom w:w="0" w:type="dxa"/>
          </w:tblCellMar>
        </w:tblPrEx>
        <w:tc>
          <w:tcPr>
            <w:tcW w:w="30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71E93D5A" w14:textId="77777777" w:rsidR="006F3662" w:rsidRDefault="00B42244">
            <w:r>
              <w:rPr>
                <w:b/>
                <w:bCs/>
                <w:color w:val="222222"/>
                <w:sz w:val="19"/>
                <w:szCs w:val="19"/>
              </w:rPr>
              <w:t>Mr. Ahmed Khalifa Al Qubaisi</w:t>
            </w:r>
          </w:p>
        </w:tc>
        <w:tc>
          <w:tcPr>
            <w:tcW w:w="22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1BE393EB" w14:textId="77777777" w:rsidR="006F3662" w:rsidRDefault="00B42244">
            <w:pPr>
              <w:jc w:val="center"/>
            </w:pPr>
            <w:r>
              <w:rPr>
                <w:color w:val="222222"/>
                <w:sz w:val="19"/>
                <w:szCs w:val="19"/>
              </w:rPr>
              <w:t>Non-Exec., Indep.</w:t>
            </w:r>
          </w:p>
        </w:tc>
        <w:tc>
          <w:tcPr>
            <w:tcW w:w="416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04AE5958" w14:textId="77777777" w:rsidR="006F3662" w:rsidRDefault="00B42244">
            <w:pPr>
              <w:jc w:val="center"/>
            </w:pPr>
            <w:r>
              <w:rPr>
                <w:color w:val="222222"/>
                <w:sz w:val="19"/>
                <w:szCs w:val="19"/>
              </w:rPr>
              <w:t>Senior Executive, Group Finance &amp; Investment, ADNOC; Certified Corporate Director (HBS).</w:t>
            </w:r>
          </w:p>
        </w:tc>
      </w:tr>
      <w:tr w:rsidR="006F3662" w14:paraId="3949398B" w14:textId="77777777">
        <w:tblPrEx>
          <w:tblCellMar>
            <w:top w:w="0" w:type="dxa"/>
            <w:bottom w:w="0" w:type="dxa"/>
          </w:tblCellMar>
        </w:tblPrEx>
        <w:tc>
          <w:tcPr>
            <w:tcW w:w="30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16886252" w14:textId="77777777" w:rsidR="006F3662" w:rsidRDefault="00B42244">
            <w:r>
              <w:rPr>
                <w:b/>
                <w:bCs/>
                <w:color w:val="222222"/>
                <w:sz w:val="19"/>
                <w:szCs w:val="19"/>
              </w:rPr>
              <w:lastRenderedPageBreak/>
              <w:t>Other independent directors</w:t>
            </w:r>
          </w:p>
        </w:tc>
        <w:tc>
          <w:tcPr>
            <w:tcW w:w="22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0930B11E" w14:textId="77777777" w:rsidR="006F3662" w:rsidRDefault="00B42244">
            <w:pPr>
              <w:jc w:val="center"/>
            </w:pPr>
            <w:r>
              <w:rPr>
                <w:color w:val="222222"/>
                <w:sz w:val="19"/>
                <w:szCs w:val="19"/>
              </w:rPr>
              <w:t>Non-Exec., Indep.</w:t>
            </w:r>
          </w:p>
        </w:tc>
        <w:tc>
          <w:tcPr>
            <w:tcW w:w="416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2C0790C2" w14:textId="77777777" w:rsidR="006F3662" w:rsidRDefault="00B42244">
            <w:pPr>
              <w:jc w:val="center"/>
            </w:pPr>
            <w:r>
              <w:rPr>
                <w:color w:val="222222"/>
                <w:sz w:val="19"/>
                <w:szCs w:val="19"/>
              </w:rPr>
              <w:t>Mr. Abdulla Hamad Rahma Al Shamsi; Mr. Bader Hareb; Mr. Majid Bin Dalmook Al Falasi; Mr. Yusef bin Saeed Lootah; Dr. Cigdem Kogar (former CBRT executive).</w:t>
            </w:r>
          </w:p>
        </w:tc>
      </w:tr>
    </w:tbl>
    <w:p w14:paraId="493165E2" w14:textId="77777777" w:rsidR="006F3662" w:rsidRDefault="00B42244">
      <w:pPr>
        <w:pStyle w:val="Heading1"/>
        <w:pageBreakBefore/>
      </w:pPr>
      <w:r>
        <w:lastRenderedPageBreak/>
        <w:t>2. Evaluation and Financial Position</w:t>
      </w:r>
    </w:p>
    <w:p w14:paraId="071E6785" w14:textId="77777777" w:rsidR="006F3662" w:rsidRDefault="00B42244">
      <w:pPr>
        <w:pStyle w:val="Heading2"/>
      </w:pPr>
      <w:r>
        <w:t>2.1 Financial Situation</w:t>
      </w:r>
    </w:p>
    <w:p w14:paraId="347619AE" w14:textId="77777777" w:rsidR="006F3662" w:rsidRDefault="00B42244">
      <w:pPr>
        <w:spacing w:after="120" w:line="264" w:lineRule="auto"/>
      </w:pPr>
      <w:r>
        <w:t>DIB’s consolidated financial statements are prepared under IFRS. The three primary statements are reproduced below in USD million (converted at the pegged rate 1 USD = 3.6725 AED) for the periods FY2024 to Q1 2026, sourced from the Bank’s audited financial statements for the year ended 31 December 2024 (auditor: Deloitte &amp; Touche (M.E.); FY2025 comparative balance sheet audited by KPMG Lower Gulf Limited) and its reviewed condensed consolidated interim financial statements for the three months ended 31 March 2026. The statement of financial position is shown as at 31 Dec 2024, 31 Dec 2025 and 31 Mar 2026; the statements of profit or loss and cash flows are shown for FY2024 and for the three months ended 31 March 2025 and 2026 (full-year FY2025 income-statement and cash-flow data are not included in the source reports).</w:t>
      </w:r>
    </w:p>
    <w:p w14:paraId="31C4032D" w14:textId="77777777" w:rsidR="006F3662" w:rsidRDefault="00B42244">
      <w:pPr>
        <w:spacing w:before="140" w:after="70"/>
      </w:pPr>
      <w:r>
        <w:rPr>
          <w:b/>
          <w:bCs/>
          <w:color w:val="0B2D4D"/>
          <w:sz w:val="23"/>
          <w:szCs w:val="23"/>
        </w:rPr>
        <w:t>Consolidated Statement of Financial Position (as at period-end; USD million)</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type="dxa" w:w="1872"/>
            <w:shd w:val="clear" w:fill="D9D9D9"/>
          </w:tcPr>
          <w:p>
            <w:pPr>
              <w:spacing w:after="0" w:before="0"/>
            </w:pPr>
            <w:r/>
            <w:r>
              <w:rPr>
                <w:b/>
                <w:sz w:val="16"/>
              </w:rPr>
              <w:t>USD million</w:t>
            </w:r>
          </w:p>
        </w:tc>
        <w:tc>
          <w:tcPr>
            <w:tcW w:type="dxa" w:w="1872"/>
            <w:shd w:val="clear" w:fill="D9D9D9"/>
          </w:tcPr>
          <w:p>
            <w:pPr>
              <w:spacing w:after="0" w:before="0"/>
              <w:jc w:val="right"/>
            </w:pPr>
            <w:r/>
            <w:r>
              <w:rPr>
                <w:b/>
                <w:sz w:val="16"/>
              </w:rPr>
              <w:t>31 Dec 2024</w:t>
            </w:r>
          </w:p>
        </w:tc>
        <w:tc>
          <w:tcPr>
            <w:tcW w:type="dxa" w:w="1872"/>
            <w:shd w:val="clear" w:fill="D9D9D9"/>
          </w:tcPr>
          <w:p>
            <w:pPr>
              <w:spacing w:after="0" w:before="0"/>
              <w:jc w:val="right"/>
            </w:pPr>
            <w:r/>
            <w:r>
              <w:rPr>
                <w:b/>
                <w:sz w:val="16"/>
              </w:rPr>
              <w:t>31 Dec 2025</w:t>
            </w:r>
          </w:p>
        </w:tc>
        <w:tc>
          <w:tcPr>
            <w:tcW w:type="dxa" w:w="1872"/>
            <w:shd w:val="clear" w:fill="D9D9D9"/>
          </w:tcPr>
          <w:p>
            <w:pPr>
              <w:spacing w:after="0" w:before="0"/>
              <w:jc w:val="right"/>
            </w:pPr>
            <w:r/>
            <w:r>
              <w:rPr>
                <w:b/>
                <w:sz w:val="16"/>
              </w:rPr>
              <w:t>31 Mar 2026</w:t>
            </w:r>
          </w:p>
        </w:tc>
        <w:tc>
          <w:tcPr>
            <w:tcW w:type="dxa" w:w="1872"/>
            <w:shd w:val="clear" w:fill="D9D9D9"/>
          </w:tcPr>
          <w:p>
            <w:pPr>
              <w:spacing w:after="0" w:before="0"/>
              <w:jc w:val="right"/>
            </w:pPr>
            <w:r/>
            <w:r>
              <w:rPr>
                <w:b/>
                <w:sz w:val="16"/>
              </w:rPr>
              <w:t>Δ% Q1’26/FY25</w:t>
            </w:r>
          </w:p>
        </w:tc>
      </w:tr>
      <w:tr>
        <w:tc>
          <w:tcPr>
            <w:tcW w:type="dxa" w:w="1872"/>
            <w:shd w:val="clear" w:fill="F2F2F2"/>
          </w:tcPr>
          <w:p>
            <w:pPr>
              <w:spacing w:after="0" w:before="0"/>
            </w:pPr>
            <w:r/>
            <w:r>
              <w:rPr>
                <w:b/>
                <w:sz w:val="16"/>
              </w:rPr>
              <w:t>ASSETS</w:t>
            </w:r>
          </w:p>
        </w:tc>
        <w:tc>
          <w:tcPr>
            <w:tcW w:type="dxa" w:w="1872"/>
            <w:shd w:val="clear" w:fill="F2F2F2"/>
          </w:tcPr>
          <w:p>
            <w:pPr>
              <w:spacing w:after="0" w:before="0"/>
              <w:jc w:val="right"/>
            </w:pPr>
            <w:r/>
            <w:r>
              <w:rPr>
                <w:b w:val="0"/>
                <w:sz w:val="16"/>
              </w:rPr>
            </w:r>
          </w:p>
        </w:tc>
        <w:tc>
          <w:tcPr>
            <w:tcW w:type="dxa" w:w="1872"/>
            <w:shd w:val="clear" w:fill="F2F2F2"/>
          </w:tcPr>
          <w:p>
            <w:pPr>
              <w:spacing w:after="0" w:before="0"/>
              <w:jc w:val="right"/>
            </w:pPr>
            <w:r/>
            <w:r>
              <w:rPr>
                <w:b w:val="0"/>
                <w:sz w:val="16"/>
              </w:rPr>
            </w:r>
          </w:p>
        </w:tc>
        <w:tc>
          <w:tcPr>
            <w:tcW w:type="dxa" w:w="1872"/>
            <w:shd w:val="clear" w:fill="F2F2F2"/>
          </w:tcPr>
          <w:p>
            <w:pPr>
              <w:spacing w:after="0" w:before="0"/>
              <w:jc w:val="right"/>
            </w:pPr>
            <w:r/>
            <w:r>
              <w:rPr>
                <w:b w:val="0"/>
                <w:sz w:val="16"/>
              </w:rPr>
            </w:r>
          </w:p>
        </w:tc>
        <w:tc>
          <w:tcPr>
            <w:tcW w:type="dxa" w:w="1872"/>
            <w:shd w:val="clear" w:fill="F2F2F2"/>
          </w:tcPr>
          <w:p>
            <w:pPr>
              <w:spacing w:after="0" w:before="0"/>
              <w:jc w:val="right"/>
            </w:pPr>
            <w:r/>
            <w:r>
              <w:rPr>
                <w:b w:val="0"/>
                <w:sz w:val="16"/>
              </w:rPr>
            </w:r>
          </w:p>
        </w:tc>
      </w:tr>
      <w:tr>
        <w:tc>
          <w:tcPr>
            <w:tcW w:type="dxa" w:w="1872"/>
          </w:tcPr>
          <w:p>
            <w:pPr>
              <w:spacing w:after="0" w:before="0"/>
            </w:pPr>
            <w:r/>
            <w:r>
              <w:rPr>
                <w:b w:val="0"/>
                <w:sz w:val="16"/>
              </w:rPr>
              <w:t>Cash and balances with central banks</w:t>
            </w:r>
          </w:p>
        </w:tc>
        <w:tc>
          <w:tcPr>
            <w:tcW w:type="dxa" w:w="1872"/>
          </w:tcPr>
          <w:p>
            <w:pPr>
              <w:spacing w:after="0" w:before="0"/>
              <w:jc w:val="right"/>
            </w:pPr>
            <w:r/>
            <w:r>
              <w:rPr>
                <w:b w:val="0"/>
                <w:sz w:val="16"/>
              </w:rPr>
              <w:t>7,270.4</w:t>
            </w:r>
          </w:p>
        </w:tc>
        <w:tc>
          <w:tcPr>
            <w:tcW w:type="dxa" w:w="1872"/>
          </w:tcPr>
          <w:p>
            <w:pPr>
              <w:spacing w:after="0" w:before="0"/>
              <w:jc w:val="right"/>
            </w:pPr>
            <w:r/>
            <w:r>
              <w:rPr>
                <w:b w:val="0"/>
                <w:sz w:val="16"/>
              </w:rPr>
              <w:t>10,039.5</w:t>
            </w:r>
          </w:p>
        </w:tc>
        <w:tc>
          <w:tcPr>
            <w:tcW w:type="dxa" w:w="1872"/>
          </w:tcPr>
          <w:p>
            <w:pPr>
              <w:spacing w:after="0" w:before="0"/>
              <w:jc w:val="right"/>
            </w:pPr>
            <w:r/>
            <w:r>
              <w:rPr>
                <w:b w:val="0"/>
                <w:sz w:val="16"/>
              </w:rPr>
              <w:t>8,294.3</w:t>
            </w:r>
          </w:p>
        </w:tc>
        <w:tc>
          <w:tcPr>
            <w:tcW w:type="dxa" w:w="1872"/>
          </w:tcPr>
          <w:p>
            <w:pPr>
              <w:spacing w:after="0" w:before="0"/>
              <w:jc w:val="right"/>
            </w:pPr>
            <w:r/>
            <w:r>
              <w:rPr>
                <w:b w:val="0"/>
                <w:sz w:val="16"/>
              </w:rPr>
              <w:t>−17.4%</w:t>
            </w:r>
          </w:p>
        </w:tc>
      </w:tr>
      <w:tr>
        <w:tc>
          <w:tcPr>
            <w:tcW w:type="dxa" w:w="1872"/>
          </w:tcPr>
          <w:p>
            <w:pPr>
              <w:spacing w:after="0" w:before="0"/>
            </w:pPr>
            <w:r/>
            <w:r>
              <w:rPr>
                <w:b w:val="0"/>
                <w:sz w:val="16"/>
              </w:rPr>
              <w:t>Due from banks and financial institutions</w:t>
            </w:r>
          </w:p>
        </w:tc>
        <w:tc>
          <w:tcPr>
            <w:tcW w:type="dxa" w:w="1872"/>
          </w:tcPr>
          <w:p>
            <w:pPr>
              <w:spacing w:after="0" w:before="0"/>
              <w:jc w:val="right"/>
            </w:pPr>
            <w:r/>
            <w:r>
              <w:rPr>
                <w:b w:val="0"/>
                <w:sz w:val="16"/>
              </w:rPr>
              <w:t>1,536.3</w:t>
            </w:r>
          </w:p>
        </w:tc>
        <w:tc>
          <w:tcPr>
            <w:tcW w:type="dxa" w:w="1872"/>
          </w:tcPr>
          <w:p>
            <w:pPr>
              <w:spacing w:after="0" w:before="0"/>
              <w:jc w:val="right"/>
            </w:pPr>
            <w:r/>
            <w:r>
              <w:rPr>
                <w:b w:val="0"/>
                <w:sz w:val="16"/>
              </w:rPr>
              <w:t>1,466.8</w:t>
            </w:r>
          </w:p>
        </w:tc>
        <w:tc>
          <w:tcPr>
            <w:tcW w:type="dxa" w:w="1872"/>
          </w:tcPr>
          <w:p>
            <w:pPr>
              <w:spacing w:after="0" w:before="0"/>
              <w:jc w:val="right"/>
            </w:pPr>
            <w:r/>
            <w:r>
              <w:rPr>
                <w:b w:val="0"/>
                <w:sz w:val="16"/>
              </w:rPr>
              <w:t>1,232.4</w:t>
            </w:r>
          </w:p>
        </w:tc>
        <w:tc>
          <w:tcPr>
            <w:tcW w:type="dxa" w:w="1872"/>
          </w:tcPr>
          <w:p>
            <w:pPr>
              <w:spacing w:after="0" w:before="0"/>
              <w:jc w:val="right"/>
            </w:pPr>
            <w:r/>
            <w:r>
              <w:rPr>
                <w:b w:val="0"/>
                <w:sz w:val="16"/>
              </w:rPr>
              <w:t>−16.0%</w:t>
            </w:r>
          </w:p>
        </w:tc>
      </w:tr>
      <w:tr>
        <w:tc>
          <w:tcPr>
            <w:tcW w:type="dxa" w:w="1872"/>
          </w:tcPr>
          <w:p>
            <w:pPr>
              <w:spacing w:after="0" w:before="0"/>
            </w:pPr>
            <w:r/>
            <w:r>
              <w:rPr>
                <w:b w:val="0"/>
                <w:sz w:val="16"/>
              </w:rPr>
              <w:t>Islamic financing and investing assets, net</w:t>
            </w:r>
          </w:p>
        </w:tc>
        <w:tc>
          <w:tcPr>
            <w:tcW w:type="dxa" w:w="1872"/>
          </w:tcPr>
          <w:p>
            <w:pPr>
              <w:spacing w:after="0" w:before="0"/>
              <w:jc w:val="right"/>
            </w:pPr>
            <w:r/>
            <w:r>
              <w:rPr>
                <w:b w:val="0"/>
                <w:sz w:val="16"/>
              </w:rPr>
              <w:t>57,842.5</w:t>
            </w:r>
          </w:p>
        </w:tc>
        <w:tc>
          <w:tcPr>
            <w:tcW w:type="dxa" w:w="1872"/>
          </w:tcPr>
          <w:p>
            <w:pPr>
              <w:spacing w:after="0" w:before="0"/>
              <w:jc w:val="right"/>
            </w:pPr>
            <w:r/>
            <w:r>
              <w:rPr>
                <w:b w:val="0"/>
                <w:sz w:val="16"/>
              </w:rPr>
              <w:t>71,356.1</w:t>
            </w:r>
          </w:p>
        </w:tc>
        <w:tc>
          <w:tcPr>
            <w:tcW w:type="dxa" w:w="1872"/>
          </w:tcPr>
          <w:p>
            <w:pPr>
              <w:spacing w:after="0" w:before="0"/>
              <w:jc w:val="right"/>
            </w:pPr>
            <w:r/>
            <w:r>
              <w:rPr>
                <w:b w:val="0"/>
                <w:sz w:val="16"/>
              </w:rPr>
              <w:t>73,699.5</w:t>
            </w:r>
          </w:p>
        </w:tc>
        <w:tc>
          <w:tcPr>
            <w:tcW w:type="dxa" w:w="1872"/>
          </w:tcPr>
          <w:p>
            <w:pPr>
              <w:spacing w:after="0" w:before="0"/>
              <w:jc w:val="right"/>
            </w:pPr>
            <w:r/>
            <w:r>
              <w:rPr>
                <w:b w:val="0"/>
                <w:sz w:val="16"/>
              </w:rPr>
              <w:t>+3.3%</w:t>
            </w:r>
          </w:p>
        </w:tc>
      </w:tr>
      <w:tr>
        <w:tc>
          <w:tcPr>
            <w:tcW w:type="dxa" w:w="1872"/>
          </w:tcPr>
          <w:p>
            <w:pPr>
              <w:spacing w:after="0" w:before="0"/>
            </w:pPr>
            <w:r/>
            <w:r>
              <w:rPr>
                <w:b w:val="0"/>
                <w:sz w:val="16"/>
              </w:rPr>
              <w:t>Investment in Sukuk</w:t>
            </w:r>
          </w:p>
        </w:tc>
        <w:tc>
          <w:tcPr>
            <w:tcW w:type="dxa" w:w="1872"/>
          </w:tcPr>
          <w:p>
            <w:pPr>
              <w:spacing w:after="0" w:before="0"/>
              <w:jc w:val="right"/>
            </w:pPr>
            <w:r/>
            <w:r>
              <w:rPr>
                <w:b w:val="0"/>
                <w:sz w:val="16"/>
              </w:rPr>
              <w:t>22,371.9</w:t>
            </w:r>
          </w:p>
        </w:tc>
        <w:tc>
          <w:tcPr>
            <w:tcW w:type="dxa" w:w="1872"/>
          </w:tcPr>
          <w:p>
            <w:pPr>
              <w:spacing w:after="0" w:before="0"/>
              <w:jc w:val="right"/>
            </w:pPr>
            <w:r/>
            <w:r>
              <w:rPr>
                <w:b w:val="0"/>
                <w:sz w:val="16"/>
              </w:rPr>
              <w:t>24,666.8</w:t>
            </w:r>
          </w:p>
        </w:tc>
        <w:tc>
          <w:tcPr>
            <w:tcW w:type="dxa" w:w="1872"/>
          </w:tcPr>
          <w:p>
            <w:pPr>
              <w:spacing w:after="0" w:before="0"/>
              <w:jc w:val="right"/>
            </w:pPr>
            <w:r/>
            <w:r>
              <w:rPr>
                <w:b w:val="0"/>
                <w:sz w:val="16"/>
              </w:rPr>
              <w:t>25,377.2</w:t>
            </w:r>
          </w:p>
        </w:tc>
        <w:tc>
          <w:tcPr>
            <w:tcW w:type="dxa" w:w="1872"/>
          </w:tcPr>
          <w:p>
            <w:pPr>
              <w:spacing w:after="0" w:before="0"/>
              <w:jc w:val="right"/>
            </w:pPr>
            <w:r/>
            <w:r>
              <w:rPr>
                <w:b w:val="0"/>
                <w:sz w:val="16"/>
              </w:rPr>
              <w:t>+2.9%</w:t>
            </w:r>
          </w:p>
        </w:tc>
      </w:tr>
      <w:tr>
        <w:tc>
          <w:tcPr>
            <w:tcW w:type="dxa" w:w="1872"/>
          </w:tcPr>
          <w:p>
            <w:pPr>
              <w:spacing w:after="0" w:before="0"/>
            </w:pPr>
            <w:r/>
            <w:r>
              <w:rPr>
                <w:b w:val="0"/>
                <w:sz w:val="16"/>
              </w:rPr>
              <w:t>Other investments measured at fair value</w:t>
            </w:r>
          </w:p>
        </w:tc>
        <w:tc>
          <w:tcPr>
            <w:tcW w:type="dxa" w:w="1872"/>
          </w:tcPr>
          <w:p>
            <w:pPr>
              <w:spacing w:after="0" w:before="0"/>
              <w:jc w:val="right"/>
            </w:pPr>
            <w:r/>
            <w:r>
              <w:rPr>
                <w:b w:val="0"/>
                <w:sz w:val="16"/>
              </w:rPr>
              <w:t>213.9</w:t>
            </w:r>
          </w:p>
        </w:tc>
        <w:tc>
          <w:tcPr>
            <w:tcW w:type="dxa" w:w="1872"/>
          </w:tcPr>
          <w:p>
            <w:pPr>
              <w:spacing w:after="0" w:before="0"/>
              <w:jc w:val="right"/>
            </w:pPr>
            <w:r/>
            <w:r>
              <w:rPr>
                <w:b w:val="0"/>
                <w:sz w:val="16"/>
              </w:rPr>
              <w:t>165.2</w:t>
            </w:r>
          </w:p>
        </w:tc>
        <w:tc>
          <w:tcPr>
            <w:tcW w:type="dxa" w:w="1872"/>
          </w:tcPr>
          <w:p>
            <w:pPr>
              <w:spacing w:after="0" w:before="0"/>
              <w:jc w:val="right"/>
            </w:pPr>
            <w:r/>
            <w:r>
              <w:rPr>
                <w:b w:val="0"/>
                <w:sz w:val="16"/>
              </w:rPr>
              <w:t>124.0</w:t>
            </w:r>
          </w:p>
        </w:tc>
        <w:tc>
          <w:tcPr>
            <w:tcW w:type="dxa" w:w="1872"/>
          </w:tcPr>
          <w:p>
            <w:pPr>
              <w:spacing w:after="0" w:before="0"/>
              <w:jc w:val="right"/>
            </w:pPr>
            <w:r/>
            <w:r>
              <w:rPr>
                <w:b w:val="0"/>
                <w:sz w:val="16"/>
              </w:rPr>
              <w:t>−25.0%</w:t>
            </w:r>
          </w:p>
        </w:tc>
      </w:tr>
      <w:tr>
        <w:tc>
          <w:tcPr>
            <w:tcW w:type="dxa" w:w="1872"/>
          </w:tcPr>
          <w:p>
            <w:pPr>
              <w:spacing w:after="0" w:before="0"/>
            </w:pPr>
            <w:r/>
            <w:r>
              <w:rPr>
                <w:b w:val="0"/>
                <w:sz w:val="16"/>
              </w:rPr>
              <w:t>Investments in associates and joint ventures</w:t>
            </w:r>
          </w:p>
        </w:tc>
        <w:tc>
          <w:tcPr>
            <w:tcW w:type="dxa" w:w="1872"/>
          </w:tcPr>
          <w:p>
            <w:pPr>
              <w:spacing w:after="0" w:before="0"/>
              <w:jc w:val="right"/>
            </w:pPr>
            <w:r/>
            <w:r>
              <w:rPr>
                <w:b w:val="0"/>
                <w:sz w:val="16"/>
              </w:rPr>
              <w:t>681.5</w:t>
            </w:r>
          </w:p>
        </w:tc>
        <w:tc>
          <w:tcPr>
            <w:tcW w:type="dxa" w:w="1872"/>
          </w:tcPr>
          <w:p>
            <w:pPr>
              <w:spacing w:after="0" w:before="0"/>
              <w:jc w:val="right"/>
            </w:pPr>
            <w:r/>
            <w:r>
              <w:rPr>
                <w:b w:val="0"/>
                <w:sz w:val="16"/>
              </w:rPr>
              <w:t>799.1</w:t>
            </w:r>
          </w:p>
        </w:tc>
        <w:tc>
          <w:tcPr>
            <w:tcW w:type="dxa" w:w="1872"/>
          </w:tcPr>
          <w:p>
            <w:pPr>
              <w:spacing w:after="0" w:before="0"/>
              <w:jc w:val="right"/>
            </w:pPr>
            <w:r/>
            <w:r>
              <w:rPr>
                <w:b w:val="0"/>
                <w:sz w:val="16"/>
              </w:rPr>
              <w:t>927.2</w:t>
            </w:r>
          </w:p>
        </w:tc>
        <w:tc>
          <w:tcPr>
            <w:tcW w:type="dxa" w:w="1872"/>
          </w:tcPr>
          <w:p>
            <w:pPr>
              <w:spacing w:after="0" w:before="0"/>
              <w:jc w:val="right"/>
            </w:pPr>
            <w:r/>
            <w:r>
              <w:rPr>
                <w:b w:val="0"/>
                <w:sz w:val="16"/>
              </w:rPr>
              <w:t>+16.0%</w:t>
            </w:r>
          </w:p>
        </w:tc>
      </w:tr>
      <w:tr>
        <w:tc>
          <w:tcPr>
            <w:tcW w:type="dxa" w:w="1872"/>
          </w:tcPr>
          <w:p>
            <w:pPr>
              <w:spacing w:after="0" w:before="0"/>
            </w:pPr>
            <w:r/>
            <w:r>
              <w:rPr>
                <w:b w:val="0"/>
                <w:sz w:val="16"/>
              </w:rPr>
              <w:t>Properties held for development and sale</w:t>
            </w:r>
          </w:p>
        </w:tc>
        <w:tc>
          <w:tcPr>
            <w:tcW w:type="dxa" w:w="1872"/>
          </w:tcPr>
          <w:p>
            <w:pPr>
              <w:spacing w:after="0" w:before="0"/>
              <w:jc w:val="right"/>
            </w:pPr>
            <w:r/>
            <w:r>
              <w:rPr>
                <w:b w:val="0"/>
                <w:sz w:val="16"/>
              </w:rPr>
              <w:t>269.1</w:t>
            </w:r>
          </w:p>
        </w:tc>
        <w:tc>
          <w:tcPr>
            <w:tcW w:type="dxa" w:w="1872"/>
          </w:tcPr>
          <w:p>
            <w:pPr>
              <w:spacing w:after="0" w:before="0"/>
              <w:jc w:val="right"/>
            </w:pPr>
            <w:r/>
            <w:r>
              <w:rPr>
                <w:b w:val="0"/>
                <w:sz w:val="16"/>
              </w:rPr>
              <w:t>304.4</w:t>
            </w:r>
          </w:p>
        </w:tc>
        <w:tc>
          <w:tcPr>
            <w:tcW w:type="dxa" w:w="1872"/>
          </w:tcPr>
          <w:p>
            <w:pPr>
              <w:spacing w:after="0" w:before="0"/>
              <w:jc w:val="right"/>
            </w:pPr>
            <w:r/>
            <w:r>
              <w:rPr>
                <w:b w:val="0"/>
                <w:sz w:val="16"/>
              </w:rPr>
              <w:t>311.8</w:t>
            </w:r>
          </w:p>
        </w:tc>
        <w:tc>
          <w:tcPr>
            <w:tcW w:type="dxa" w:w="1872"/>
          </w:tcPr>
          <w:p>
            <w:pPr>
              <w:spacing w:after="0" w:before="0"/>
              <w:jc w:val="right"/>
            </w:pPr>
            <w:r/>
            <w:r>
              <w:rPr>
                <w:b w:val="0"/>
                <w:sz w:val="16"/>
              </w:rPr>
              <w:t>+2.5%</w:t>
            </w:r>
          </w:p>
        </w:tc>
      </w:tr>
      <w:tr>
        <w:tc>
          <w:tcPr>
            <w:tcW w:type="dxa" w:w="1872"/>
          </w:tcPr>
          <w:p>
            <w:pPr>
              <w:spacing w:after="0" w:before="0"/>
            </w:pPr>
            <w:r/>
            <w:r>
              <w:rPr>
                <w:b w:val="0"/>
                <w:sz w:val="16"/>
              </w:rPr>
              <w:t>Investment properties</w:t>
            </w:r>
          </w:p>
        </w:tc>
        <w:tc>
          <w:tcPr>
            <w:tcW w:type="dxa" w:w="1872"/>
          </w:tcPr>
          <w:p>
            <w:pPr>
              <w:spacing w:after="0" w:before="0"/>
              <w:jc w:val="right"/>
            </w:pPr>
            <w:r/>
            <w:r>
              <w:rPr>
                <w:b w:val="0"/>
                <w:sz w:val="16"/>
              </w:rPr>
              <w:t>1,230.9</w:t>
            </w:r>
          </w:p>
        </w:tc>
        <w:tc>
          <w:tcPr>
            <w:tcW w:type="dxa" w:w="1872"/>
          </w:tcPr>
          <w:p>
            <w:pPr>
              <w:spacing w:after="0" w:before="0"/>
              <w:jc w:val="right"/>
            </w:pPr>
            <w:r/>
            <w:r>
              <w:rPr>
                <w:b w:val="0"/>
                <w:sz w:val="16"/>
              </w:rPr>
              <w:t>1,295.1</w:t>
            </w:r>
          </w:p>
        </w:tc>
        <w:tc>
          <w:tcPr>
            <w:tcW w:type="dxa" w:w="1872"/>
          </w:tcPr>
          <w:p>
            <w:pPr>
              <w:spacing w:after="0" w:before="0"/>
              <w:jc w:val="right"/>
            </w:pPr>
            <w:r/>
            <w:r>
              <w:rPr>
                <w:b w:val="0"/>
                <w:sz w:val="16"/>
              </w:rPr>
              <w:t>1,280.9</w:t>
            </w:r>
          </w:p>
        </w:tc>
        <w:tc>
          <w:tcPr>
            <w:tcW w:type="dxa" w:w="1872"/>
          </w:tcPr>
          <w:p>
            <w:pPr>
              <w:spacing w:after="0" w:before="0"/>
              <w:jc w:val="right"/>
            </w:pPr>
            <w:r/>
            <w:r>
              <w:rPr>
                <w:b w:val="0"/>
                <w:sz w:val="16"/>
              </w:rPr>
              <w:t>−1.1%</w:t>
            </w:r>
          </w:p>
        </w:tc>
      </w:tr>
      <w:tr>
        <w:tc>
          <w:tcPr>
            <w:tcW w:type="dxa" w:w="1872"/>
          </w:tcPr>
          <w:p>
            <w:pPr>
              <w:spacing w:after="0" w:before="0"/>
            </w:pPr>
            <w:r/>
            <w:r>
              <w:rPr>
                <w:b w:val="0"/>
                <w:sz w:val="16"/>
              </w:rPr>
              <w:t>Receivables and other assets</w:t>
            </w:r>
          </w:p>
        </w:tc>
        <w:tc>
          <w:tcPr>
            <w:tcW w:type="dxa" w:w="1872"/>
          </w:tcPr>
          <w:p>
            <w:pPr>
              <w:spacing w:after="0" w:before="0"/>
              <w:jc w:val="right"/>
            </w:pPr>
            <w:r/>
            <w:r>
              <w:rPr>
                <w:b w:val="0"/>
                <w:sz w:val="16"/>
              </w:rPr>
              <w:t>1,928.4</w:t>
            </w:r>
          </w:p>
        </w:tc>
        <w:tc>
          <w:tcPr>
            <w:tcW w:type="dxa" w:w="1872"/>
          </w:tcPr>
          <w:p>
            <w:pPr>
              <w:spacing w:after="0" w:before="0"/>
              <w:jc w:val="right"/>
            </w:pPr>
            <w:r/>
            <w:r>
              <w:rPr>
                <w:b w:val="0"/>
                <w:sz w:val="16"/>
              </w:rPr>
              <w:t>2,692.4</w:t>
            </w:r>
          </w:p>
        </w:tc>
        <w:tc>
          <w:tcPr>
            <w:tcW w:type="dxa" w:w="1872"/>
          </w:tcPr>
          <w:p>
            <w:pPr>
              <w:spacing w:after="0" w:before="0"/>
              <w:jc w:val="right"/>
            </w:pPr>
            <w:r/>
            <w:r>
              <w:rPr>
                <w:b w:val="0"/>
                <w:sz w:val="16"/>
              </w:rPr>
              <w:t>2,612.5</w:t>
            </w:r>
          </w:p>
        </w:tc>
        <w:tc>
          <w:tcPr>
            <w:tcW w:type="dxa" w:w="1872"/>
          </w:tcPr>
          <w:p>
            <w:pPr>
              <w:spacing w:after="0" w:before="0"/>
              <w:jc w:val="right"/>
            </w:pPr>
            <w:r/>
            <w:r>
              <w:rPr>
                <w:b w:val="0"/>
                <w:sz w:val="16"/>
              </w:rPr>
              <w:t>−3.0%</w:t>
            </w:r>
          </w:p>
        </w:tc>
      </w:tr>
      <w:tr>
        <w:tc>
          <w:tcPr>
            <w:tcW w:type="dxa" w:w="1872"/>
          </w:tcPr>
          <w:p>
            <w:pPr>
              <w:spacing w:after="0" w:before="0"/>
            </w:pPr>
            <w:r/>
            <w:r>
              <w:rPr>
                <w:b w:val="0"/>
                <w:sz w:val="16"/>
              </w:rPr>
              <w:t>Property and equipment</w:t>
            </w:r>
          </w:p>
        </w:tc>
        <w:tc>
          <w:tcPr>
            <w:tcW w:type="dxa" w:w="1872"/>
          </w:tcPr>
          <w:p>
            <w:pPr>
              <w:spacing w:after="0" w:before="0"/>
              <w:jc w:val="right"/>
            </w:pPr>
            <w:r/>
            <w:r>
              <w:rPr>
                <w:b w:val="0"/>
                <w:sz w:val="16"/>
              </w:rPr>
              <w:t>511.4</w:t>
            </w:r>
          </w:p>
        </w:tc>
        <w:tc>
          <w:tcPr>
            <w:tcW w:type="dxa" w:w="1872"/>
          </w:tcPr>
          <w:p>
            <w:pPr>
              <w:spacing w:after="0" w:before="0"/>
              <w:jc w:val="right"/>
            </w:pPr>
            <w:r/>
            <w:r>
              <w:rPr>
                <w:b w:val="0"/>
                <w:sz w:val="16"/>
              </w:rPr>
              <w:t>475.0</w:t>
            </w:r>
          </w:p>
        </w:tc>
        <w:tc>
          <w:tcPr>
            <w:tcW w:type="dxa" w:w="1872"/>
          </w:tcPr>
          <w:p>
            <w:pPr>
              <w:spacing w:after="0" w:before="0"/>
              <w:jc w:val="right"/>
            </w:pPr>
            <w:r/>
            <w:r>
              <w:rPr>
                <w:b w:val="0"/>
                <w:sz w:val="16"/>
              </w:rPr>
              <w:t>480.8</w:t>
            </w:r>
          </w:p>
        </w:tc>
        <w:tc>
          <w:tcPr>
            <w:tcW w:type="dxa" w:w="1872"/>
          </w:tcPr>
          <w:p>
            <w:pPr>
              <w:spacing w:after="0" w:before="0"/>
              <w:jc w:val="right"/>
            </w:pPr>
            <w:r/>
            <w:r>
              <w:rPr>
                <w:b w:val="0"/>
                <w:sz w:val="16"/>
              </w:rPr>
              <w:t>+1.2%</w:t>
            </w:r>
          </w:p>
        </w:tc>
      </w:tr>
      <w:tr>
        <w:tc>
          <w:tcPr>
            <w:tcW w:type="dxa" w:w="1872"/>
          </w:tcPr>
          <w:p>
            <w:pPr>
              <w:spacing w:after="0" w:before="0"/>
            </w:pPr>
            <w:r/>
            <w:r>
              <w:rPr>
                <w:b/>
                <w:sz w:val="16"/>
              </w:rPr>
              <w:t>Total assets</w:t>
            </w:r>
          </w:p>
        </w:tc>
        <w:tc>
          <w:tcPr>
            <w:tcW w:type="dxa" w:w="1872"/>
          </w:tcPr>
          <w:p>
            <w:pPr>
              <w:spacing w:after="0" w:before="0"/>
              <w:jc w:val="right"/>
            </w:pPr>
            <w:r/>
            <w:r>
              <w:rPr>
                <w:b/>
                <w:sz w:val="16"/>
              </w:rPr>
              <w:t>93,856.2</w:t>
            </w:r>
          </w:p>
        </w:tc>
        <w:tc>
          <w:tcPr>
            <w:tcW w:type="dxa" w:w="1872"/>
          </w:tcPr>
          <w:p>
            <w:pPr>
              <w:spacing w:after="0" w:before="0"/>
              <w:jc w:val="right"/>
            </w:pPr>
            <w:r/>
            <w:r>
              <w:rPr>
                <w:b/>
                <w:sz w:val="16"/>
              </w:rPr>
              <w:t>113,260.2</w:t>
            </w:r>
          </w:p>
        </w:tc>
        <w:tc>
          <w:tcPr>
            <w:tcW w:type="dxa" w:w="1872"/>
          </w:tcPr>
          <w:p>
            <w:pPr>
              <w:spacing w:after="0" w:before="0"/>
              <w:jc w:val="right"/>
            </w:pPr>
            <w:r/>
            <w:r>
              <w:rPr>
                <w:b/>
                <w:sz w:val="16"/>
              </w:rPr>
              <w:t>114,340.7</w:t>
            </w:r>
          </w:p>
        </w:tc>
        <w:tc>
          <w:tcPr>
            <w:tcW w:type="dxa" w:w="1872"/>
          </w:tcPr>
          <w:p>
            <w:pPr>
              <w:spacing w:after="0" w:before="0"/>
              <w:jc w:val="right"/>
            </w:pPr>
            <w:r/>
            <w:r>
              <w:rPr>
                <w:b/>
                <w:sz w:val="16"/>
              </w:rPr>
              <w:t>+1.0%</w:t>
            </w:r>
          </w:p>
        </w:tc>
      </w:tr>
      <w:tr>
        <w:tc>
          <w:tcPr>
            <w:tcW w:type="dxa" w:w="1872"/>
            <w:shd w:val="clear" w:fill="F2F2F2"/>
          </w:tcPr>
          <w:p>
            <w:pPr>
              <w:spacing w:after="0" w:before="0"/>
            </w:pPr>
            <w:r/>
            <w:r>
              <w:rPr>
                <w:b/>
                <w:sz w:val="16"/>
              </w:rPr>
              <w:t>LIABILITIES</w:t>
            </w:r>
          </w:p>
        </w:tc>
        <w:tc>
          <w:tcPr>
            <w:tcW w:type="dxa" w:w="1872"/>
            <w:shd w:val="clear" w:fill="F2F2F2"/>
          </w:tcPr>
          <w:p>
            <w:pPr>
              <w:spacing w:after="0" w:before="0"/>
              <w:jc w:val="right"/>
            </w:pPr>
            <w:r/>
            <w:r>
              <w:rPr>
                <w:b w:val="0"/>
                <w:sz w:val="16"/>
              </w:rPr>
            </w:r>
          </w:p>
        </w:tc>
        <w:tc>
          <w:tcPr>
            <w:tcW w:type="dxa" w:w="1872"/>
            <w:shd w:val="clear" w:fill="F2F2F2"/>
          </w:tcPr>
          <w:p>
            <w:pPr>
              <w:spacing w:after="0" w:before="0"/>
              <w:jc w:val="right"/>
            </w:pPr>
            <w:r/>
            <w:r>
              <w:rPr>
                <w:b w:val="0"/>
                <w:sz w:val="16"/>
              </w:rPr>
            </w:r>
          </w:p>
        </w:tc>
        <w:tc>
          <w:tcPr>
            <w:tcW w:type="dxa" w:w="1872"/>
            <w:shd w:val="clear" w:fill="F2F2F2"/>
          </w:tcPr>
          <w:p>
            <w:pPr>
              <w:spacing w:after="0" w:before="0"/>
              <w:jc w:val="right"/>
            </w:pPr>
            <w:r/>
            <w:r>
              <w:rPr>
                <w:b w:val="0"/>
                <w:sz w:val="16"/>
              </w:rPr>
            </w:r>
          </w:p>
        </w:tc>
        <w:tc>
          <w:tcPr>
            <w:tcW w:type="dxa" w:w="1872"/>
            <w:shd w:val="clear" w:fill="F2F2F2"/>
          </w:tcPr>
          <w:p>
            <w:pPr>
              <w:spacing w:after="0" w:before="0"/>
              <w:jc w:val="right"/>
            </w:pPr>
            <w:r/>
            <w:r>
              <w:rPr>
                <w:b w:val="0"/>
                <w:sz w:val="16"/>
              </w:rPr>
            </w:r>
          </w:p>
        </w:tc>
      </w:tr>
      <w:tr>
        <w:tc>
          <w:tcPr>
            <w:tcW w:type="dxa" w:w="1872"/>
          </w:tcPr>
          <w:p>
            <w:pPr>
              <w:spacing w:after="0" w:before="0"/>
            </w:pPr>
            <w:r/>
            <w:r>
              <w:rPr>
                <w:b w:val="0"/>
                <w:sz w:val="16"/>
              </w:rPr>
              <w:t>Customers’ deposits</w:t>
            </w:r>
          </w:p>
        </w:tc>
        <w:tc>
          <w:tcPr>
            <w:tcW w:type="dxa" w:w="1872"/>
          </w:tcPr>
          <w:p>
            <w:pPr>
              <w:spacing w:after="0" w:before="0"/>
              <w:jc w:val="right"/>
            </w:pPr>
            <w:r/>
            <w:r>
              <w:rPr>
                <w:b w:val="0"/>
                <w:sz w:val="16"/>
              </w:rPr>
              <w:t>67,677.5</w:t>
            </w:r>
          </w:p>
        </w:tc>
        <w:tc>
          <w:tcPr>
            <w:tcW w:type="dxa" w:w="1872"/>
          </w:tcPr>
          <w:p>
            <w:pPr>
              <w:spacing w:after="0" w:before="0"/>
              <w:jc w:val="right"/>
            </w:pPr>
            <w:r/>
            <w:r>
              <w:rPr>
                <w:b w:val="0"/>
                <w:sz w:val="16"/>
              </w:rPr>
              <w:t>87,184.3</w:t>
            </w:r>
          </w:p>
        </w:tc>
        <w:tc>
          <w:tcPr>
            <w:tcW w:type="dxa" w:w="1872"/>
          </w:tcPr>
          <w:p>
            <w:pPr>
              <w:spacing w:after="0" w:before="0"/>
              <w:jc w:val="right"/>
            </w:pPr>
            <w:r/>
            <w:r>
              <w:rPr>
                <w:b w:val="0"/>
                <w:sz w:val="16"/>
              </w:rPr>
              <w:t>87,678.8</w:t>
            </w:r>
          </w:p>
        </w:tc>
        <w:tc>
          <w:tcPr>
            <w:tcW w:type="dxa" w:w="1872"/>
          </w:tcPr>
          <w:p>
            <w:pPr>
              <w:spacing w:after="0" w:before="0"/>
              <w:jc w:val="right"/>
            </w:pPr>
            <w:r/>
            <w:r>
              <w:rPr>
                <w:b w:val="0"/>
                <w:sz w:val="16"/>
              </w:rPr>
              <w:t>+0.6%</w:t>
            </w:r>
          </w:p>
        </w:tc>
      </w:tr>
      <w:tr>
        <w:tc>
          <w:tcPr>
            <w:tcW w:type="dxa" w:w="1872"/>
          </w:tcPr>
          <w:p>
            <w:pPr>
              <w:spacing w:after="0" w:before="0"/>
            </w:pPr>
            <w:r/>
            <w:r>
              <w:rPr>
                <w:b w:val="0"/>
                <w:sz w:val="16"/>
              </w:rPr>
              <w:t>Due to banks and financial institutions</w:t>
            </w:r>
          </w:p>
        </w:tc>
        <w:tc>
          <w:tcPr>
            <w:tcW w:type="dxa" w:w="1872"/>
          </w:tcPr>
          <w:p>
            <w:pPr>
              <w:spacing w:after="0" w:before="0"/>
              <w:jc w:val="right"/>
            </w:pPr>
            <w:r/>
            <w:r>
              <w:rPr>
                <w:b w:val="0"/>
                <w:sz w:val="16"/>
              </w:rPr>
              <w:t>1,594.1</w:t>
            </w:r>
          </w:p>
        </w:tc>
        <w:tc>
          <w:tcPr>
            <w:tcW w:type="dxa" w:w="1872"/>
          </w:tcPr>
          <w:p>
            <w:pPr>
              <w:spacing w:after="0" w:before="0"/>
              <w:jc w:val="right"/>
            </w:pPr>
            <w:r/>
            <w:r>
              <w:rPr>
                <w:b w:val="0"/>
                <w:sz w:val="16"/>
              </w:rPr>
              <w:t>535.4</w:t>
            </w:r>
          </w:p>
        </w:tc>
        <w:tc>
          <w:tcPr>
            <w:tcW w:type="dxa" w:w="1872"/>
          </w:tcPr>
          <w:p>
            <w:pPr>
              <w:spacing w:after="0" w:before="0"/>
              <w:jc w:val="right"/>
            </w:pPr>
            <w:r/>
            <w:r>
              <w:rPr>
                <w:b w:val="0"/>
                <w:sz w:val="16"/>
              </w:rPr>
              <w:t>2,010.7</w:t>
            </w:r>
          </w:p>
        </w:tc>
        <w:tc>
          <w:tcPr>
            <w:tcW w:type="dxa" w:w="1872"/>
          </w:tcPr>
          <w:p>
            <w:pPr>
              <w:spacing w:after="0" w:before="0"/>
              <w:jc w:val="right"/>
            </w:pPr>
            <w:r/>
            <w:r>
              <w:rPr>
                <w:b w:val="0"/>
                <w:sz w:val="16"/>
              </w:rPr>
              <w:t>+275.5%</w:t>
            </w:r>
          </w:p>
        </w:tc>
      </w:tr>
      <w:tr>
        <w:tc>
          <w:tcPr>
            <w:tcW w:type="dxa" w:w="1872"/>
          </w:tcPr>
          <w:p>
            <w:pPr>
              <w:spacing w:after="0" w:before="0"/>
            </w:pPr>
            <w:r/>
            <w:r>
              <w:rPr>
                <w:b w:val="0"/>
                <w:sz w:val="16"/>
              </w:rPr>
              <w:t>Sukuk issued</w:t>
            </w:r>
          </w:p>
        </w:tc>
        <w:tc>
          <w:tcPr>
            <w:tcW w:type="dxa" w:w="1872"/>
          </w:tcPr>
          <w:p>
            <w:pPr>
              <w:spacing w:after="0" w:before="0"/>
              <w:jc w:val="right"/>
            </w:pPr>
            <w:r/>
            <w:r>
              <w:rPr>
                <w:b w:val="0"/>
                <w:sz w:val="16"/>
              </w:rPr>
              <w:t>6,577.1</w:t>
            </w:r>
          </w:p>
        </w:tc>
        <w:tc>
          <w:tcPr>
            <w:tcW w:type="dxa" w:w="1872"/>
          </w:tcPr>
          <w:p>
            <w:pPr>
              <w:spacing w:after="0" w:before="0"/>
              <w:jc w:val="right"/>
            </w:pPr>
            <w:r/>
            <w:r>
              <w:rPr>
                <w:b w:val="0"/>
                <w:sz w:val="16"/>
              </w:rPr>
              <w:t>6,826.6</w:t>
            </w:r>
          </w:p>
        </w:tc>
        <w:tc>
          <w:tcPr>
            <w:tcW w:type="dxa" w:w="1872"/>
          </w:tcPr>
          <w:p>
            <w:pPr>
              <w:spacing w:after="0" w:before="0"/>
              <w:jc w:val="right"/>
            </w:pPr>
            <w:r/>
            <w:r>
              <w:rPr>
                <w:b w:val="0"/>
                <w:sz w:val="16"/>
              </w:rPr>
              <w:t>5,526.9</w:t>
            </w:r>
          </w:p>
        </w:tc>
        <w:tc>
          <w:tcPr>
            <w:tcW w:type="dxa" w:w="1872"/>
          </w:tcPr>
          <w:p>
            <w:pPr>
              <w:spacing w:after="0" w:before="0"/>
              <w:jc w:val="right"/>
            </w:pPr>
            <w:r/>
            <w:r>
              <w:rPr>
                <w:b w:val="0"/>
                <w:sz w:val="16"/>
              </w:rPr>
              <w:t>−19.0%</w:t>
            </w:r>
          </w:p>
        </w:tc>
      </w:tr>
      <w:tr>
        <w:tc>
          <w:tcPr>
            <w:tcW w:type="dxa" w:w="1872"/>
          </w:tcPr>
          <w:p>
            <w:pPr>
              <w:spacing w:after="0" w:before="0"/>
            </w:pPr>
            <w:r/>
            <w:r>
              <w:rPr>
                <w:b w:val="0"/>
                <w:sz w:val="16"/>
              </w:rPr>
              <w:t>Payables and other liabilities (incl. zakat)</w:t>
            </w:r>
          </w:p>
        </w:tc>
        <w:tc>
          <w:tcPr>
            <w:tcW w:type="dxa" w:w="1872"/>
          </w:tcPr>
          <w:p>
            <w:pPr>
              <w:spacing w:after="0" w:before="0"/>
              <w:jc w:val="right"/>
            </w:pPr>
            <w:r/>
            <w:r>
              <w:rPr>
                <w:b w:val="0"/>
                <w:sz w:val="16"/>
              </w:rPr>
              <w:t>3,615.9</w:t>
            </w:r>
          </w:p>
        </w:tc>
        <w:tc>
          <w:tcPr>
            <w:tcW w:type="dxa" w:w="1872"/>
          </w:tcPr>
          <w:p>
            <w:pPr>
              <w:spacing w:after="0" w:before="0"/>
              <w:jc w:val="right"/>
            </w:pPr>
            <w:r/>
            <w:r>
              <w:rPr>
                <w:b w:val="0"/>
                <w:sz w:val="16"/>
              </w:rPr>
              <w:t>4,245.4</w:t>
            </w:r>
          </w:p>
        </w:tc>
        <w:tc>
          <w:tcPr>
            <w:tcW w:type="dxa" w:w="1872"/>
          </w:tcPr>
          <w:p>
            <w:pPr>
              <w:spacing w:after="0" w:before="0"/>
              <w:jc w:val="right"/>
            </w:pPr>
            <w:r/>
            <w:r>
              <w:rPr>
                <w:b w:val="0"/>
                <w:sz w:val="16"/>
              </w:rPr>
              <w:t>4,193.8</w:t>
            </w:r>
          </w:p>
        </w:tc>
        <w:tc>
          <w:tcPr>
            <w:tcW w:type="dxa" w:w="1872"/>
          </w:tcPr>
          <w:p>
            <w:pPr>
              <w:spacing w:after="0" w:before="0"/>
              <w:jc w:val="right"/>
            </w:pPr>
            <w:r/>
            <w:r>
              <w:rPr>
                <w:b w:val="0"/>
                <w:sz w:val="16"/>
              </w:rPr>
              <w:t>−1.2%</w:t>
            </w:r>
          </w:p>
        </w:tc>
      </w:tr>
      <w:tr>
        <w:tc>
          <w:tcPr>
            <w:tcW w:type="dxa" w:w="1872"/>
          </w:tcPr>
          <w:p>
            <w:pPr>
              <w:spacing w:after="0" w:before="0"/>
            </w:pPr>
            <w:r/>
            <w:r>
              <w:rPr>
                <w:b/>
                <w:sz w:val="16"/>
              </w:rPr>
              <w:t>Total liabilities</w:t>
            </w:r>
          </w:p>
        </w:tc>
        <w:tc>
          <w:tcPr>
            <w:tcW w:type="dxa" w:w="1872"/>
          </w:tcPr>
          <w:p>
            <w:pPr>
              <w:spacing w:after="0" w:before="0"/>
              <w:jc w:val="right"/>
            </w:pPr>
            <w:r/>
            <w:r>
              <w:rPr>
                <w:b/>
                <w:sz w:val="16"/>
              </w:rPr>
              <w:t>79,464.7</w:t>
            </w:r>
          </w:p>
        </w:tc>
        <w:tc>
          <w:tcPr>
            <w:tcW w:type="dxa" w:w="1872"/>
          </w:tcPr>
          <w:p>
            <w:pPr>
              <w:spacing w:after="0" w:before="0"/>
              <w:jc w:val="right"/>
            </w:pPr>
            <w:r/>
            <w:r>
              <w:rPr>
                <w:b/>
                <w:sz w:val="16"/>
              </w:rPr>
              <w:t>98,791.8</w:t>
            </w:r>
          </w:p>
        </w:tc>
        <w:tc>
          <w:tcPr>
            <w:tcW w:type="dxa" w:w="1872"/>
          </w:tcPr>
          <w:p>
            <w:pPr>
              <w:spacing w:after="0" w:before="0"/>
              <w:jc w:val="right"/>
            </w:pPr>
            <w:r/>
            <w:r>
              <w:rPr>
                <w:b/>
                <w:sz w:val="16"/>
              </w:rPr>
              <w:t>99,410.3</w:t>
            </w:r>
          </w:p>
        </w:tc>
        <w:tc>
          <w:tcPr>
            <w:tcW w:type="dxa" w:w="1872"/>
          </w:tcPr>
          <w:p>
            <w:pPr>
              <w:spacing w:after="0" w:before="0"/>
              <w:jc w:val="right"/>
            </w:pPr>
            <w:r/>
            <w:r>
              <w:rPr>
                <w:b/>
                <w:sz w:val="16"/>
              </w:rPr>
              <w:t>+0.6%</w:t>
            </w:r>
          </w:p>
        </w:tc>
      </w:tr>
      <w:tr>
        <w:tc>
          <w:tcPr>
            <w:tcW w:type="dxa" w:w="1872"/>
            <w:shd w:val="clear" w:fill="F2F2F2"/>
          </w:tcPr>
          <w:p>
            <w:pPr>
              <w:spacing w:after="0" w:before="0"/>
            </w:pPr>
            <w:r/>
            <w:r>
              <w:rPr>
                <w:b/>
                <w:sz w:val="16"/>
              </w:rPr>
              <w:t>EQUITY</w:t>
            </w:r>
          </w:p>
        </w:tc>
        <w:tc>
          <w:tcPr>
            <w:tcW w:type="dxa" w:w="1872"/>
            <w:shd w:val="clear" w:fill="F2F2F2"/>
          </w:tcPr>
          <w:p>
            <w:pPr>
              <w:spacing w:after="0" w:before="0"/>
              <w:jc w:val="right"/>
            </w:pPr>
            <w:r/>
            <w:r>
              <w:rPr>
                <w:b w:val="0"/>
                <w:sz w:val="16"/>
              </w:rPr>
            </w:r>
          </w:p>
        </w:tc>
        <w:tc>
          <w:tcPr>
            <w:tcW w:type="dxa" w:w="1872"/>
            <w:shd w:val="clear" w:fill="F2F2F2"/>
          </w:tcPr>
          <w:p>
            <w:pPr>
              <w:spacing w:after="0" w:before="0"/>
              <w:jc w:val="right"/>
            </w:pPr>
            <w:r/>
            <w:r>
              <w:rPr>
                <w:b w:val="0"/>
                <w:sz w:val="16"/>
              </w:rPr>
            </w:r>
          </w:p>
        </w:tc>
        <w:tc>
          <w:tcPr>
            <w:tcW w:type="dxa" w:w="1872"/>
            <w:shd w:val="clear" w:fill="F2F2F2"/>
          </w:tcPr>
          <w:p>
            <w:pPr>
              <w:spacing w:after="0" w:before="0"/>
              <w:jc w:val="right"/>
            </w:pPr>
            <w:r/>
            <w:r>
              <w:rPr>
                <w:b w:val="0"/>
                <w:sz w:val="16"/>
              </w:rPr>
            </w:r>
          </w:p>
        </w:tc>
        <w:tc>
          <w:tcPr>
            <w:tcW w:type="dxa" w:w="1872"/>
            <w:shd w:val="clear" w:fill="F2F2F2"/>
          </w:tcPr>
          <w:p>
            <w:pPr>
              <w:spacing w:after="0" w:before="0"/>
              <w:jc w:val="right"/>
            </w:pPr>
            <w:r/>
            <w:r>
              <w:rPr>
                <w:b w:val="0"/>
                <w:sz w:val="16"/>
              </w:rPr>
            </w:r>
          </w:p>
        </w:tc>
      </w:tr>
      <w:tr>
        <w:tc>
          <w:tcPr>
            <w:tcW w:type="dxa" w:w="1872"/>
          </w:tcPr>
          <w:p>
            <w:pPr>
              <w:spacing w:after="0" w:before="0"/>
            </w:pPr>
            <w:r/>
            <w:r>
              <w:rPr>
                <w:b w:val="0"/>
                <w:sz w:val="16"/>
              </w:rPr>
              <w:t>Share capital</w:t>
            </w:r>
          </w:p>
        </w:tc>
        <w:tc>
          <w:tcPr>
            <w:tcW w:type="dxa" w:w="1872"/>
          </w:tcPr>
          <w:p>
            <w:pPr>
              <w:spacing w:after="0" w:before="0"/>
              <w:jc w:val="right"/>
            </w:pPr>
            <w:r/>
            <w:r>
              <w:rPr>
                <w:b w:val="0"/>
                <w:sz w:val="16"/>
              </w:rPr>
              <w:t>1,971.6</w:t>
            </w:r>
          </w:p>
        </w:tc>
        <w:tc>
          <w:tcPr>
            <w:tcW w:type="dxa" w:w="1872"/>
          </w:tcPr>
          <w:p>
            <w:pPr>
              <w:spacing w:after="0" w:before="0"/>
              <w:jc w:val="right"/>
            </w:pPr>
            <w:r/>
            <w:r>
              <w:rPr>
                <w:b w:val="0"/>
                <w:sz w:val="16"/>
              </w:rPr>
              <w:t>1,971.6</w:t>
            </w:r>
          </w:p>
        </w:tc>
        <w:tc>
          <w:tcPr>
            <w:tcW w:type="dxa" w:w="1872"/>
          </w:tcPr>
          <w:p>
            <w:pPr>
              <w:spacing w:after="0" w:before="0"/>
              <w:jc w:val="right"/>
            </w:pPr>
            <w:r/>
            <w:r>
              <w:rPr>
                <w:b w:val="0"/>
                <w:sz w:val="16"/>
              </w:rPr>
              <w:t>1,971.6</w:t>
            </w:r>
          </w:p>
        </w:tc>
        <w:tc>
          <w:tcPr>
            <w:tcW w:type="dxa" w:w="1872"/>
          </w:tcPr>
          <w:p>
            <w:pPr>
              <w:spacing w:after="0" w:before="0"/>
              <w:jc w:val="right"/>
            </w:pPr>
            <w:r/>
            <w:r>
              <w:rPr>
                <w:b w:val="0"/>
                <w:sz w:val="16"/>
              </w:rPr>
              <w:t>0.0%</w:t>
            </w:r>
          </w:p>
        </w:tc>
      </w:tr>
      <w:tr>
        <w:tc>
          <w:tcPr>
            <w:tcW w:type="dxa" w:w="1872"/>
          </w:tcPr>
          <w:p>
            <w:pPr>
              <w:spacing w:after="0" w:before="0"/>
            </w:pPr>
            <w:r/>
            <w:r>
              <w:rPr>
                <w:b w:val="0"/>
                <w:sz w:val="16"/>
              </w:rPr>
              <w:t>Tier 1 Sukuk</w:t>
            </w:r>
          </w:p>
        </w:tc>
        <w:tc>
          <w:tcPr>
            <w:tcW w:type="dxa" w:w="1872"/>
          </w:tcPr>
          <w:p>
            <w:pPr>
              <w:spacing w:after="0" w:before="0"/>
              <w:jc w:val="right"/>
            </w:pPr>
            <w:r/>
            <w:r>
              <w:rPr>
                <w:b w:val="0"/>
                <w:sz w:val="16"/>
              </w:rPr>
              <w:t>2,750.4</w:t>
            </w:r>
          </w:p>
        </w:tc>
        <w:tc>
          <w:tcPr>
            <w:tcW w:type="dxa" w:w="1872"/>
          </w:tcPr>
          <w:p>
            <w:pPr>
              <w:spacing w:after="0" w:before="0"/>
              <w:jc w:val="right"/>
            </w:pPr>
            <w:r/>
            <w:r>
              <w:rPr>
                <w:b w:val="0"/>
                <w:sz w:val="16"/>
              </w:rPr>
              <w:t>2,000.3</w:t>
            </w:r>
          </w:p>
        </w:tc>
        <w:tc>
          <w:tcPr>
            <w:tcW w:type="dxa" w:w="1872"/>
          </w:tcPr>
          <w:p>
            <w:pPr>
              <w:spacing w:after="0" w:before="0"/>
              <w:jc w:val="right"/>
            </w:pPr>
            <w:r/>
            <w:r>
              <w:rPr>
                <w:b w:val="0"/>
                <w:sz w:val="16"/>
              </w:rPr>
              <w:t>2,000.3</w:t>
            </w:r>
          </w:p>
        </w:tc>
        <w:tc>
          <w:tcPr>
            <w:tcW w:type="dxa" w:w="1872"/>
          </w:tcPr>
          <w:p>
            <w:pPr>
              <w:spacing w:after="0" w:before="0"/>
              <w:jc w:val="right"/>
            </w:pPr>
            <w:r/>
            <w:r>
              <w:rPr>
                <w:b w:val="0"/>
                <w:sz w:val="16"/>
              </w:rPr>
              <w:t>0.0%</w:t>
            </w:r>
          </w:p>
        </w:tc>
      </w:tr>
      <w:tr>
        <w:tc>
          <w:tcPr>
            <w:tcW w:type="dxa" w:w="1872"/>
          </w:tcPr>
          <w:p>
            <w:pPr>
              <w:spacing w:after="0" w:before="0"/>
            </w:pPr>
            <w:r/>
            <w:r>
              <w:rPr>
                <w:b w:val="0"/>
                <w:sz w:val="16"/>
              </w:rPr>
              <w:t>Other reserves and treasury shares</w:t>
            </w:r>
          </w:p>
        </w:tc>
        <w:tc>
          <w:tcPr>
            <w:tcW w:type="dxa" w:w="1872"/>
          </w:tcPr>
          <w:p>
            <w:pPr>
              <w:spacing w:after="0" w:before="0"/>
              <w:jc w:val="right"/>
            </w:pPr>
            <w:r/>
            <w:r>
              <w:rPr>
                <w:b w:val="0"/>
                <w:sz w:val="16"/>
              </w:rPr>
              <w:t>4,322.6</w:t>
            </w:r>
          </w:p>
        </w:tc>
        <w:tc>
          <w:tcPr>
            <w:tcW w:type="dxa" w:w="1872"/>
          </w:tcPr>
          <w:p>
            <w:pPr>
              <w:spacing w:after="0" w:before="0"/>
              <w:jc w:val="right"/>
            </w:pPr>
            <w:r/>
            <w:r>
              <w:rPr>
                <w:b w:val="0"/>
                <w:sz w:val="16"/>
              </w:rPr>
              <w:t>4,486.5</w:t>
            </w:r>
          </w:p>
        </w:tc>
        <w:tc>
          <w:tcPr>
            <w:tcW w:type="dxa" w:w="1872"/>
          </w:tcPr>
          <w:p>
            <w:pPr>
              <w:spacing w:after="0" w:before="0"/>
              <w:jc w:val="right"/>
            </w:pPr>
            <w:r/>
            <w:r>
              <w:rPr>
                <w:b w:val="0"/>
                <w:sz w:val="16"/>
              </w:rPr>
              <w:t>4,486.5</w:t>
            </w:r>
          </w:p>
        </w:tc>
        <w:tc>
          <w:tcPr>
            <w:tcW w:type="dxa" w:w="1872"/>
          </w:tcPr>
          <w:p>
            <w:pPr>
              <w:spacing w:after="0" w:before="0"/>
              <w:jc w:val="right"/>
            </w:pPr>
            <w:r/>
            <w:r>
              <w:rPr>
                <w:b w:val="0"/>
                <w:sz w:val="16"/>
              </w:rPr>
              <w:t>0.0%</w:t>
            </w:r>
          </w:p>
        </w:tc>
      </w:tr>
      <w:tr>
        <w:tc>
          <w:tcPr>
            <w:tcW w:type="dxa" w:w="1872"/>
          </w:tcPr>
          <w:p>
            <w:pPr>
              <w:spacing w:after="0" w:before="0"/>
            </w:pPr>
            <w:r/>
            <w:r>
              <w:rPr>
                <w:b w:val="0"/>
                <w:sz w:val="16"/>
              </w:rPr>
              <w:t>Investments fair value reserve</w:t>
            </w:r>
          </w:p>
        </w:tc>
        <w:tc>
          <w:tcPr>
            <w:tcW w:type="dxa" w:w="1872"/>
          </w:tcPr>
          <w:p>
            <w:pPr>
              <w:spacing w:after="0" w:before="0"/>
              <w:jc w:val="right"/>
            </w:pPr>
            <w:r/>
            <w:r>
              <w:rPr>
                <w:b w:val="0"/>
                <w:sz w:val="16"/>
              </w:rPr>
              <w:t>(345.0)</w:t>
            </w:r>
          </w:p>
        </w:tc>
        <w:tc>
          <w:tcPr>
            <w:tcW w:type="dxa" w:w="1872"/>
          </w:tcPr>
          <w:p>
            <w:pPr>
              <w:spacing w:after="0" w:before="0"/>
              <w:jc w:val="right"/>
            </w:pPr>
            <w:r/>
            <w:r>
              <w:rPr>
                <w:b w:val="0"/>
                <w:sz w:val="16"/>
              </w:rPr>
              <w:t>(325.9)</w:t>
            </w:r>
          </w:p>
        </w:tc>
        <w:tc>
          <w:tcPr>
            <w:tcW w:type="dxa" w:w="1872"/>
          </w:tcPr>
          <w:p>
            <w:pPr>
              <w:spacing w:after="0" w:before="0"/>
              <w:jc w:val="right"/>
            </w:pPr>
            <w:r/>
            <w:r>
              <w:rPr>
                <w:b w:val="0"/>
                <w:sz w:val="16"/>
              </w:rPr>
              <w:t>(299.2)</w:t>
            </w:r>
          </w:p>
        </w:tc>
        <w:tc>
          <w:tcPr>
            <w:tcW w:type="dxa" w:w="1872"/>
          </w:tcPr>
          <w:p>
            <w:pPr>
              <w:spacing w:after="0" w:before="0"/>
              <w:jc w:val="right"/>
            </w:pPr>
            <w:r/>
            <w:r>
              <w:rPr>
                <w:b w:val="0"/>
                <w:sz w:val="16"/>
              </w:rPr>
              <w:t>−8.2%</w:t>
            </w:r>
          </w:p>
        </w:tc>
      </w:tr>
      <w:tr>
        <w:tc>
          <w:tcPr>
            <w:tcW w:type="dxa" w:w="1872"/>
          </w:tcPr>
          <w:p>
            <w:pPr>
              <w:spacing w:after="0" w:before="0"/>
            </w:pPr>
            <w:r/>
            <w:r>
              <w:rPr>
                <w:b w:val="0"/>
                <w:sz w:val="16"/>
              </w:rPr>
              <w:t>Exchange translation reserve</w:t>
            </w:r>
          </w:p>
        </w:tc>
        <w:tc>
          <w:tcPr>
            <w:tcW w:type="dxa" w:w="1872"/>
          </w:tcPr>
          <w:p>
            <w:pPr>
              <w:spacing w:after="0" w:before="0"/>
              <w:jc w:val="right"/>
            </w:pPr>
            <w:r/>
            <w:r>
              <w:rPr>
                <w:b w:val="0"/>
                <w:sz w:val="16"/>
              </w:rPr>
              <w:t>(552.4)</w:t>
            </w:r>
          </w:p>
        </w:tc>
        <w:tc>
          <w:tcPr>
            <w:tcW w:type="dxa" w:w="1872"/>
          </w:tcPr>
          <w:p>
            <w:pPr>
              <w:spacing w:after="0" w:before="0"/>
              <w:jc w:val="right"/>
            </w:pPr>
            <w:r/>
            <w:r>
              <w:rPr>
                <w:b w:val="0"/>
                <w:sz w:val="16"/>
              </w:rPr>
              <w:t>(645.6)</w:t>
            </w:r>
          </w:p>
        </w:tc>
        <w:tc>
          <w:tcPr>
            <w:tcW w:type="dxa" w:w="1872"/>
          </w:tcPr>
          <w:p>
            <w:pPr>
              <w:spacing w:after="0" w:before="0"/>
              <w:jc w:val="right"/>
            </w:pPr>
            <w:r/>
            <w:r>
              <w:rPr>
                <w:b w:val="0"/>
                <w:sz w:val="16"/>
              </w:rPr>
              <w:t>(657.4)</w:t>
            </w:r>
          </w:p>
        </w:tc>
        <w:tc>
          <w:tcPr>
            <w:tcW w:type="dxa" w:w="1872"/>
          </w:tcPr>
          <w:p>
            <w:pPr>
              <w:spacing w:after="0" w:before="0"/>
              <w:jc w:val="right"/>
            </w:pPr>
            <w:r/>
            <w:r>
              <w:rPr>
                <w:b w:val="0"/>
                <w:sz w:val="16"/>
              </w:rPr>
              <w:t>+1.8%</w:t>
            </w:r>
          </w:p>
        </w:tc>
      </w:tr>
      <w:tr>
        <w:tc>
          <w:tcPr>
            <w:tcW w:type="dxa" w:w="1872"/>
          </w:tcPr>
          <w:p>
            <w:pPr>
              <w:spacing w:after="0" w:before="0"/>
            </w:pPr>
            <w:r/>
            <w:r>
              <w:rPr>
                <w:b w:val="0"/>
                <w:sz w:val="16"/>
              </w:rPr>
              <w:t>Retained earnings</w:t>
            </w:r>
          </w:p>
        </w:tc>
        <w:tc>
          <w:tcPr>
            <w:tcW w:type="dxa" w:w="1872"/>
          </w:tcPr>
          <w:p>
            <w:pPr>
              <w:spacing w:after="0" w:before="0"/>
              <w:jc w:val="right"/>
            </w:pPr>
            <w:r/>
            <w:r>
              <w:rPr>
                <w:b w:val="0"/>
                <w:sz w:val="16"/>
              </w:rPr>
              <w:t>5,419.8</w:t>
            </w:r>
          </w:p>
        </w:tc>
        <w:tc>
          <w:tcPr>
            <w:tcW w:type="dxa" w:w="1872"/>
          </w:tcPr>
          <w:p>
            <w:pPr>
              <w:spacing w:after="0" w:before="0"/>
              <w:jc w:val="right"/>
            </w:pPr>
            <w:r/>
            <w:r>
              <w:rPr>
                <w:b w:val="0"/>
                <w:sz w:val="16"/>
              </w:rPr>
              <w:t>6,102.8</w:t>
            </w:r>
          </w:p>
        </w:tc>
        <w:tc>
          <w:tcPr>
            <w:tcW w:type="dxa" w:w="1872"/>
          </w:tcPr>
          <w:p>
            <w:pPr>
              <w:spacing w:after="0" w:before="0"/>
              <w:jc w:val="right"/>
            </w:pPr>
            <w:r/>
            <w:r>
              <w:rPr>
                <w:b w:val="0"/>
                <w:sz w:val="16"/>
              </w:rPr>
              <w:t>6,530.2</w:t>
            </w:r>
          </w:p>
        </w:tc>
        <w:tc>
          <w:tcPr>
            <w:tcW w:type="dxa" w:w="1872"/>
          </w:tcPr>
          <w:p>
            <w:pPr>
              <w:spacing w:after="0" w:before="0"/>
              <w:jc w:val="right"/>
            </w:pPr>
            <w:r/>
            <w:r>
              <w:rPr>
                <w:b w:val="0"/>
                <w:sz w:val="16"/>
              </w:rPr>
              <w:t>+7.0%</w:t>
            </w:r>
          </w:p>
        </w:tc>
      </w:tr>
      <w:tr>
        <w:tc>
          <w:tcPr>
            <w:tcW w:type="dxa" w:w="1872"/>
          </w:tcPr>
          <w:p>
            <w:pPr>
              <w:spacing w:after="0" w:before="0"/>
            </w:pPr>
            <w:r/>
            <w:r>
              <w:rPr>
                <w:b/>
                <w:sz w:val="16"/>
              </w:rPr>
              <w:t>Equity attributable to owners &amp; Sukuk-holders</w:t>
            </w:r>
          </w:p>
        </w:tc>
        <w:tc>
          <w:tcPr>
            <w:tcW w:type="dxa" w:w="1872"/>
          </w:tcPr>
          <w:p>
            <w:pPr>
              <w:spacing w:after="0" w:before="0"/>
              <w:jc w:val="right"/>
            </w:pPr>
            <w:r/>
            <w:r>
              <w:rPr>
                <w:b/>
                <w:sz w:val="16"/>
              </w:rPr>
              <w:t>13,567.0</w:t>
            </w:r>
          </w:p>
        </w:tc>
        <w:tc>
          <w:tcPr>
            <w:tcW w:type="dxa" w:w="1872"/>
          </w:tcPr>
          <w:p>
            <w:pPr>
              <w:spacing w:after="0" w:before="0"/>
              <w:jc w:val="right"/>
            </w:pPr>
            <w:r/>
            <w:r>
              <w:rPr>
                <w:b/>
                <w:sz w:val="16"/>
              </w:rPr>
              <w:t>13,589.6</w:t>
            </w:r>
          </w:p>
        </w:tc>
        <w:tc>
          <w:tcPr>
            <w:tcW w:type="dxa" w:w="1872"/>
          </w:tcPr>
          <w:p>
            <w:pPr>
              <w:spacing w:after="0" w:before="0"/>
              <w:jc w:val="right"/>
            </w:pPr>
            <w:r/>
            <w:r>
              <w:rPr>
                <w:b/>
                <w:sz w:val="16"/>
              </w:rPr>
              <w:t>14,031.9</w:t>
            </w:r>
          </w:p>
        </w:tc>
        <w:tc>
          <w:tcPr>
            <w:tcW w:type="dxa" w:w="1872"/>
          </w:tcPr>
          <w:p>
            <w:pPr>
              <w:spacing w:after="0" w:before="0"/>
              <w:jc w:val="right"/>
            </w:pPr>
            <w:r/>
            <w:r>
              <w:rPr>
                <w:b/>
                <w:sz w:val="16"/>
              </w:rPr>
              <w:t>+3.3%</w:t>
            </w:r>
          </w:p>
        </w:tc>
      </w:tr>
      <w:tr>
        <w:tc>
          <w:tcPr>
            <w:tcW w:type="dxa" w:w="1872"/>
          </w:tcPr>
          <w:p>
            <w:pPr>
              <w:spacing w:after="0" w:before="0"/>
            </w:pPr>
            <w:r/>
            <w:r>
              <w:rPr>
                <w:b w:val="0"/>
                <w:sz w:val="16"/>
              </w:rPr>
              <w:t>Non-controlling interests</w:t>
            </w:r>
          </w:p>
        </w:tc>
        <w:tc>
          <w:tcPr>
            <w:tcW w:type="dxa" w:w="1872"/>
          </w:tcPr>
          <w:p>
            <w:pPr>
              <w:spacing w:after="0" w:before="0"/>
              <w:jc w:val="right"/>
            </w:pPr>
            <w:r/>
            <w:r>
              <w:rPr>
                <w:b w:val="0"/>
                <w:sz w:val="16"/>
              </w:rPr>
              <w:t>824.5</w:t>
            </w:r>
          </w:p>
        </w:tc>
        <w:tc>
          <w:tcPr>
            <w:tcW w:type="dxa" w:w="1872"/>
          </w:tcPr>
          <w:p>
            <w:pPr>
              <w:spacing w:after="0" w:before="0"/>
              <w:jc w:val="right"/>
            </w:pPr>
            <w:r/>
            <w:r>
              <w:rPr>
                <w:b w:val="0"/>
                <w:sz w:val="16"/>
              </w:rPr>
              <w:t>878.8</w:t>
            </w:r>
          </w:p>
        </w:tc>
        <w:tc>
          <w:tcPr>
            <w:tcW w:type="dxa" w:w="1872"/>
          </w:tcPr>
          <w:p>
            <w:pPr>
              <w:spacing w:after="0" w:before="0"/>
              <w:jc w:val="right"/>
            </w:pPr>
            <w:r/>
            <w:r>
              <w:rPr>
                <w:b w:val="0"/>
                <w:sz w:val="16"/>
              </w:rPr>
              <w:t>898.5</w:t>
            </w:r>
          </w:p>
        </w:tc>
        <w:tc>
          <w:tcPr>
            <w:tcW w:type="dxa" w:w="1872"/>
          </w:tcPr>
          <w:p>
            <w:pPr>
              <w:spacing w:after="0" w:before="0"/>
              <w:jc w:val="right"/>
            </w:pPr>
            <w:r/>
            <w:r>
              <w:rPr>
                <w:b w:val="0"/>
                <w:sz w:val="16"/>
              </w:rPr>
              <w:t>+2.2%</w:t>
            </w:r>
          </w:p>
        </w:tc>
      </w:tr>
      <w:tr>
        <w:tc>
          <w:tcPr>
            <w:tcW w:type="dxa" w:w="1872"/>
          </w:tcPr>
          <w:p>
            <w:pPr>
              <w:spacing w:after="0" w:before="0"/>
            </w:pPr>
            <w:r/>
            <w:r>
              <w:rPr>
                <w:b/>
                <w:sz w:val="16"/>
              </w:rPr>
              <w:t>Total equity</w:t>
            </w:r>
          </w:p>
        </w:tc>
        <w:tc>
          <w:tcPr>
            <w:tcW w:type="dxa" w:w="1872"/>
          </w:tcPr>
          <w:p>
            <w:pPr>
              <w:spacing w:after="0" w:before="0"/>
              <w:jc w:val="right"/>
            </w:pPr>
            <w:r/>
            <w:r>
              <w:rPr>
                <w:b/>
                <w:sz w:val="16"/>
              </w:rPr>
              <w:t>14,391.5</w:t>
            </w:r>
          </w:p>
        </w:tc>
        <w:tc>
          <w:tcPr>
            <w:tcW w:type="dxa" w:w="1872"/>
          </w:tcPr>
          <w:p>
            <w:pPr>
              <w:spacing w:after="0" w:before="0"/>
              <w:jc w:val="right"/>
            </w:pPr>
            <w:r/>
            <w:r>
              <w:rPr>
                <w:b/>
                <w:sz w:val="16"/>
              </w:rPr>
              <w:t>14,468.5</w:t>
            </w:r>
          </w:p>
        </w:tc>
        <w:tc>
          <w:tcPr>
            <w:tcW w:type="dxa" w:w="1872"/>
          </w:tcPr>
          <w:p>
            <w:pPr>
              <w:spacing w:after="0" w:before="0"/>
              <w:jc w:val="right"/>
            </w:pPr>
            <w:r/>
            <w:r>
              <w:rPr>
                <w:b/>
                <w:sz w:val="16"/>
              </w:rPr>
              <w:t>14,930.4</w:t>
            </w:r>
          </w:p>
        </w:tc>
        <w:tc>
          <w:tcPr>
            <w:tcW w:type="dxa" w:w="1872"/>
          </w:tcPr>
          <w:p>
            <w:pPr>
              <w:spacing w:after="0" w:before="0"/>
              <w:jc w:val="right"/>
            </w:pPr>
            <w:r/>
            <w:r>
              <w:rPr>
                <w:b/>
                <w:sz w:val="16"/>
              </w:rPr>
              <w:t>+3.2%</w:t>
            </w:r>
          </w:p>
        </w:tc>
      </w:tr>
      <w:tr>
        <w:tc>
          <w:tcPr>
            <w:tcW w:type="dxa" w:w="1872"/>
          </w:tcPr>
          <w:p>
            <w:pPr>
              <w:spacing w:after="0" w:before="0"/>
            </w:pPr>
            <w:r/>
            <w:r>
              <w:rPr>
                <w:b/>
                <w:sz w:val="16"/>
              </w:rPr>
              <w:t>Total liabilities and equity</w:t>
            </w:r>
          </w:p>
        </w:tc>
        <w:tc>
          <w:tcPr>
            <w:tcW w:type="dxa" w:w="1872"/>
          </w:tcPr>
          <w:p>
            <w:pPr>
              <w:spacing w:after="0" w:before="0"/>
              <w:jc w:val="right"/>
            </w:pPr>
            <w:r/>
            <w:r>
              <w:rPr>
                <w:b/>
                <w:sz w:val="16"/>
              </w:rPr>
              <w:t>93,856.2</w:t>
            </w:r>
          </w:p>
        </w:tc>
        <w:tc>
          <w:tcPr>
            <w:tcW w:type="dxa" w:w="1872"/>
          </w:tcPr>
          <w:p>
            <w:pPr>
              <w:spacing w:after="0" w:before="0"/>
              <w:jc w:val="right"/>
            </w:pPr>
            <w:r/>
            <w:r>
              <w:rPr>
                <w:b/>
                <w:sz w:val="16"/>
              </w:rPr>
              <w:t>113,260.2</w:t>
            </w:r>
          </w:p>
        </w:tc>
        <w:tc>
          <w:tcPr>
            <w:tcW w:type="dxa" w:w="1872"/>
          </w:tcPr>
          <w:p>
            <w:pPr>
              <w:spacing w:after="0" w:before="0"/>
              <w:jc w:val="right"/>
            </w:pPr>
            <w:r/>
            <w:r>
              <w:rPr>
                <w:b/>
                <w:sz w:val="16"/>
              </w:rPr>
              <w:t>114,340.7</w:t>
            </w:r>
          </w:p>
        </w:tc>
        <w:tc>
          <w:tcPr>
            <w:tcW w:type="dxa" w:w="1872"/>
          </w:tcPr>
          <w:p>
            <w:pPr>
              <w:spacing w:after="0" w:before="0"/>
              <w:jc w:val="right"/>
            </w:pPr>
            <w:r/>
            <w:r>
              <w:rPr>
                <w:b/>
                <w:sz w:val="16"/>
              </w:rPr>
              <w:t>+1.0%</w:t>
            </w:r>
          </w:p>
        </w:tc>
      </w:tr>
    </w:tbl>
    <w:p w14:paraId="41839BC4" w14:textId="77777777" w:rsidR="006F3662" w:rsidRDefault="00B42244">
      <w:pPr>
        <w:spacing w:after="120"/>
      </w:pPr>
      <w:r>
        <w:rPr>
          <w:i/>
          <w:iCs/>
          <w:color w:val="6B7280"/>
          <w:sz w:val="17"/>
          <w:szCs w:val="17"/>
        </w:rPr>
        <w:t>Source: DIB audited FY2024 financial statements and reviewed Q1 2026 condensed interim financial statements. Figures in USD million at 1 USD = 3.6725 AED. The Δ% column compares 31 Mar 2026 with 31 Dec 2025 (balance sheet) and Q1 2026 with Q1 2025 (profit or loss / cash flows). FY2024 is a 12-month period; Q1 figures are 3-month interim.</w:t>
      </w:r>
    </w:p>
    <w:p w14:paraId="70FB8545" w14:textId="77777777" w:rsidR="006F3662" w:rsidRDefault="00B42244">
      <w:pPr>
        <w:spacing w:before="140" w:after="70"/>
      </w:pPr>
      <w:r>
        <w:rPr>
          <w:b/>
          <w:bCs/>
          <w:color w:val="0B2D4D"/>
          <w:sz w:val="23"/>
          <w:szCs w:val="23"/>
        </w:rPr>
        <w:t>Consolidated Statement of Profit or Loss (USD million)</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type="dxa" w:w="1872"/>
            <w:shd w:val="clear" w:fill="D9D9D9"/>
          </w:tcPr>
          <w:p>
            <w:pPr>
              <w:spacing w:after="0" w:before="0"/>
            </w:pPr>
            <w:r/>
            <w:r>
              <w:rPr>
                <w:b/>
                <w:sz w:val="16"/>
              </w:rPr>
              <w:t>USD million</w:t>
            </w:r>
          </w:p>
        </w:tc>
        <w:tc>
          <w:tcPr>
            <w:tcW w:type="dxa" w:w="1872"/>
            <w:shd w:val="clear" w:fill="D9D9D9"/>
          </w:tcPr>
          <w:p>
            <w:pPr>
              <w:spacing w:after="0" w:before="0"/>
              <w:jc w:val="right"/>
            </w:pPr>
            <w:r/>
            <w:r>
              <w:rPr>
                <w:b/>
                <w:sz w:val="16"/>
              </w:rPr>
              <w:t>FY2024</w:t>
            </w:r>
          </w:p>
        </w:tc>
        <w:tc>
          <w:tcPr>
            <w:tcW w:type="dxa" w:w="1872"/>
            <w:shd w:val="clear" w:fill="D9D9D9"/>
          </w:tcPr>
          <w:p>
            <w:pPr>
              <w:spacing w:after="0" w:before="0"/>
              <w:jc w:val="right"/>
            </w:pPr>
            <w:r/>
            <w:r>
              <w:rPr>
                <w:b/>
                <w:sz w:val="16"/>
              </w:rPr>
              <w:t>Q1 2025</w:t>
            </w:r>
          </w:p>
        </w:tc>
        <w:tc>
          <w:tcPr>
            <w:tcW w:type="dxa" w:w="1872"/>
            <w:shd w:val="clear" w:fill="D9D9D9"/>
          </w:tcPr>
          <w:p>
            <w:pPr>
              <w:spacing w:after="0" w:before="0"/>
              <w:jc w:val="right"/>
            </w:pPr>
            <w:r/>
            <w:r>
              <w:rPr>
                <w:b/>
                <w:sz w:val="16"/>
              </w:rPr>
              <w:t>Q1 2026</w:t>
            </w:r>
          </w:p>
        </w:tc>
        <w:tc>
          <w:tcPr>
            <w:tcW w:type="dxa" w:w="1872"/>
            <w:shd w:val="clear" w:fill="D9D9D9"/>
          </w:tcPr>
          <w:p>
            <w:pPr>
              <w:spacing w:after="0" w:before="0"/>
              <w:jc w:val="right"/>
            </w:pPr>
            <w:r/>
            <w:r>
              <w:rPr>
                <w:b/>
                <w:sz w:val="16"/>
              </w:rPr>
              <w:t>Δ% YoY</w:t>
            </w:r>
          </w:p>
        </w:tc>
      </w:tr>
      <w:tr>
        <w:tc>
          <w:tcPr>
            <w:tcW w:type="dxa" w:w="1872"/>
          </w:tcPr>
          <w:p>
            <w:pPr>
              <w:spacing w:after="0" w:before="0"/>
            </w:pPr>
            <w:r/>
            <w:r>
              <w:rPr>
                <w:b w:val="0"/>
                <w:sz w:val="16"/>
              </w:rPr>
              <w:t>Income from Islamic financing and investing transactions</w:t>
            </w:r>
          </w:p>
        </w:tc>
        <w:tc>
          <w:tcPr>
            <w:tcW w:type="dxa" w:w="1872"/>
          </w:tcPr>
          <w:p>
            <w:pPr>
              <w:spacing w:after="0" w:before="0"/>
              <w:jc w:val="right"/>
            </w:pPr>
            <w:r/>
            <w:r>
              <w:rPr>
                <w:b w:val="0"/>
                <w:sz w:val="16"/>
              </w:rPr>
              <w:t>5,297.1</w:t>
            </w:r>
          </w:p>
        </w:tc>
        <w:tc>
          <w:tcPr>
            <w:tcW w:type="dxa" w:w="1872"/>
          </w:tcPr>
          <w:p>
            <w:pPr>
              <w:spacing w:after="0" w:before="0"/>
              <w:jc w:val="right"/>
            </w:pPr>
            <w:r/>
            <w:r>
              <w:rPr>
                <w:b w:val="0"/>
                <w:sz w:val="16"/>
              </w:rPr>
              <w:t>1,238.8</w:t>
            </w:r>
          </w:p>
        </w:tc>
        <w:tc>
          <w:tcPr>
            <w:tcW w:type="dxa" w:w="1872"/>
          </w:tcPr>
          <w:p>
            <w:pPr>
              <w:spacing w:after="0" w:before="0"/>
              <w:jc w:val="right"/>
            </w:pPr>
            <w:r/>
            <w:r>
              <w:rPr>
                <w:b w:val="0"/>
                <w:sz w:val="16"/>
              </w:rPr>
              <w:t>1,374.4</w:t>
            </w:r>
          </w:p>
        </w:tc>
        <w:tc>
          <w:tcPr>
            <w:tcW w:type="dxa" w:w="1872"/>
          </w:tcPr>
          <w:p>
            <w:pPr>
              <w:spacing w:after="0" w:before="0"/>
              <w:jc w:val="right"/>
            </w:pPr>
            <w:r/>
            <w:r>
              <w:rPr>
                <w:b w:val="0"/>
                <w:sz w:val="16"/>
              </w:rPr>
              <w:t>+10.9%</w:t>
            </w:r>
          </w:p>
        </w:tc>
      </w:tr>
      <w:tr>
        <w:tc>
          <w:tcPr>
            <w:tcW w:type="dxa" w:w="1872"/>
          </w:tcPr>
          <w:p>
            <w:pPr>
              <w:spacing w:after="0" w:before="0"/>
            </w:pPr>
            <w:r/>
            <w:r>
              <w:rPr>
                <w:b w:val="0"/>
                <w:sz w:val="16"/>
              </w:rPr>
              <w:t>Commissions, fees and foreign exchange income</w:t>
            </w:r>
          </w:p>
        </w:tc>
        <w:tc>
          <w:tcPr>
            <w:tcW w:type="dxa" w:w="1872"/>
          </w:tcPr>
          <w:p>
            <w:pPr>
              <w:spacing w:after="0" w:before="0"/>
              <w:jc w:val="right"/>
            </w:pPr>
            <w:r/>
            <w:r>
              <w:rPr>
                <w:b w:val="0"/>
                <w:sz w:val="16"/>
              </w:rPr>
              <w:t>476.1</w:t>
            </w:r>
          </w:p>
        </w:tc>
        <w:tc>
          <w:tcPr>
            <w:tcW w:type="dxa" w:w="1872"/>
          </w:tcPr>
          <w:p>
            <w:pPr>
              <w:spacing w:after="0" w:before="0"/>
              <w:jc w:val="right"/>
            </w:pPr>
            <w:r/>
            <w:r>
              <w:rPr>
                <w:b w:val="0"/>
                <w:sz w:val="16"/>
              </w:rPr>
              <w:t>137.6</w:t>
            </w:r>
          </w:p>
        </w:tc>
        <w:tc>
          <w:tcPr>
            <w:tcW w:type="dxa" w:w="1872"/>
          </w:tcPr>
          <w:p>
            <w:pPr>
              <w:spacing w:after="0" w:before="0"/>
              <w:jc w:val="right"/>
            </w:pPr>
            <w:r/>
            <w:r>
              <w:rPr>
                <w:b w:val="0"/>
                <w:sz w:val="16"/>
              </w:rPr>
              <w:t>116.3</w:t>
            </w:r>
          </w:p>
        </w:tc>
        <w:tc>
          <w:tcPr>
            <w:tcW w:type="dxa" w:w="1872"/>
          </w:tcPr>
          <w:p>
            <w:pPr>
              <w:spacing w:after="0" w:before="0"/>
              <w:jc w:val="right"/>
            </w:pPr>
            <w:r/>
            <w:r>
              <w:rPr>
                <w:b w:val="0"/>
                <w:sz w:val="16"/>
              </w:rPr>
              <w:t>−15.5%</w:t>
            </w:r>
          </w:p>
        </w:tc>
      </w:tr>
      <w:tr>
        <w:tc>
          <w:tcPr>
            <w:tcW w:type="dxa" w:w="1872"/>
          </w:tcPr>
          <w:p>
            <w:pPr>
              <w:spacing w:after="0" w:before="0"/>
            </w:pPr>
            <w:r/>
            <w:r>
              <w:rPr>
                <w:b w:val="0"/>
                <w:sz w:val="16"/>
              </w:rPr>
              <w:t>Income from other investments measured at fair value, net</w:t>
            </w:r>
          </w:p>
        </w:tc>
        <w:tc>
          <w:tcPr>
            <w:tcW w:type="dxa" w:w="1872"/>
          </w:tcPr>
          <w:p>
            <w:pPr>
              <w:spacing w:after="0" w:before="0"/>
              <w:jc w:val="right"/>
            </w:pPr>
            <w:r/>
            <w:r>
              <w:rPr>
                <w:b w:val="0"/>
                <w:sz w:val="16"/>
              </w:rPr>
              <w:t>4.7</w:t>
            </w:r>
          </w:p>
        </w:tc>
        <w:tc>
          <w:tcPr>
            <w:tcW w:type="dxa" w:w="1872"/>
          </w:tcPr>
          <w:p>
            <w:pPr>
              <w:spacing w:after="0" w:before="0"/>
              <w:jc w:val="right"/>
            </w:pPr>
            <w:r/>
            <w:r>
              <w:rPr>
                <w:b w:val="0"/>
                <w:sz w:val="16"/>
              </w:rPr>
              <w:t>0.3</w:t>
            </w:r>
          </w:p>
        </w:tc>
        <w:tc>
          <w:tcPr>
            <w:tcW w:type="dxa" w:w="1872"/>
          </w:tcPr>
          <w:p>
            <w:pPr>
              <w:spacing w:after="0" w:before="0"/>
              <w:jc w:val="right"/>
            </w:pPr>
            <w:r/>
            <w:r>
              <w:rPr>
                <w:b w:val="0"/>
                <w:sz w:val="16"/>
              </w:rPr>
              <w:t>0.6</w:t>
            </w:r>
          </w:p>
        </w:tc>
        <w:tc>
          <w:tcPr>
            <w:tcW w:type="dxa" w:w="1872"/>
          </w:tcPr>
          <w:p>
            <w:pPr>
              <w:spacing w:after="0" w:before="0"/>
              <w:jc w:val="right"/>
            </w:pPr>
            <w:r/>
            <w:r>
              <w:rPr>
                <w:b w:val="0"/>
                <w:sz w:val="16"/>
              </w:rPr>
              <w:t>+116.9%</w:t>
            </w:r>
          </w:p>
        </w:tc>
      </w:tr>
      <w:tr>
        <w:tc>
          <w:tcPr>
            <w:tcW w:type="dxa" w:w="1872"/>
          </w:tcPr>
          <w:p>
            <w:pPr>
              <w:spacing w:after="0" w:before="0"/>
            </w:pPr>
            <w:r/>
            <w:r>
              <w:rPr>
                <w:b w:val="0"/>
                <w:sz w:val="16"/>
              </w:rPr>
              <w:t>Income from properties held for development and sale, net</w:t>
            </w:r>
          </w:p>
        </w:tc>
        <w:tc>
          <w:tcPr>
            <w:tcW w:type="dxa" w:w="1872"/>
          </w:tcPr>
          <w:p>
            <w:pPr>
              <w:spacing w:after="0" w:before="0"/>
              <w:jc w:val="right"/>
            </w:pPr>
            <w:r/>
            <w:r>
              <w:rPr>
                <w:b w:val="0"/>
                <w:sz w:val="16"/>
              </w:rPr>
              <w:t>93.0</w:t>
            </w:r>
          </w:p>
        </w:tc>
        <w:tc>
          <w:tcPr>
            <w:tcW w:type="dxa" w:w="1872"/>
          </w:tcPr>
          <w:p>
            <w:pPr>
              <w:spacing w:after="0" w:before="0"/>
              <w:jc w:val="right"/>
            </w:pPr>
            <w:r/>
            <w:r>
              <w:rPr>
                <w:b w:val="0"/>
                <w:sz w:val="16"/>
              </w:rPr>
              <w:t>27.4</w:t>
            </w:r>
          </w:p>
        </w:tc>
        <w:tc>
          <w:tcPr>
            <w:tcW w:type="dxa" w:w="1872"/>
          </w:tcPr>
          <w:p>
            <w:pPr>
              <w:spacing w:after="0" w:before="0"/>
              <w:jc w:val="right"/>
            </w:pPr>
            <w:r/>
            <w:r>
              <w:rPr>
                <w:b w:val="0"/>
                <w:sz w:val="16"/>
              </w:rPr>
              <w:t>29.2</w:t>
            </w:r>
          </w:p>
        </w:tc>
        <w:tc>
          <w:tcPr>
            <w:tcW w:type="dxa" w:w="1872"/>
          </w:tcPr>
          <w:p>
            <w:pPr>
              <w:spacing w:after="0" w:before="0"/>
              <w:jc w:val="right"/>
            </w:pPr>
            <w:r/>
            <w:r>
              <w:rPr>
                <w:b w:val="0"/>
                <w:sz w:val="16"/>
              </w:rPr>
              <w:t>+6.6%</w:t>
            </w:r>
          </w:p>
        </w:tc>
      </w:tr>
      <w:tr>
        <w:tc>
          <w:tcPr>
            <w:tcW w:type="dxa" w:w="1872"/>
          </w:tcPr>
          <w:p>
            <w:pPr>
              <w:spacing w:after="0" w:before="0"/>
            </w:pPr>
            <w:r/>
            <w:r>
              <w:rPr>
                <w:b w:val="0"/>
                <w:sz w:val="16"/>
              </w:rPr>
              <w:t>Income from investment properties</w:t>
            </w:r>
          </w:p>
        </w:tc>
        <w:tc>
          <w:tcPr>
            <w:tcW w:type="dxa" w:w="1872"/>
          </w:tcPr>
          <w:p>
            <w:pPr>
              <w:spacing w:after="0" w:before="0"/>
              <w:jc w:val="right"/>
            </w:pPr>
            <w:r/>
            <w:r>
              <w:rPr>
                <w:b w:val="0"/>
                <w:sz w:val="16"/>
              </w:rPr>
              <w:t>201.2</w:t>
            </w:r>
          </w:p>
        </w:tc>
        <w:tc>
          <w:tcPr>
            <w:tcW w:type="dxa" w:w="1872"/>
          </w:tcPr>
          <w:p>
            <w:pPr>
              <w:spacing w:after="0" w:before="0"/>
              <w:jc w:val="right"/>
            </w:pPr>
            <w:r/>
            <w:r>
              <w:rPr>
                <w:b w:val="0"/>
                <w:sz w:val="16"/>
              </w:rPr>
              <w:t>47.2</w:t>
            </w:r>
          </w:p>
        </w:tc>
        <w:tc>
          <w:tcPr>
            <w:tcW w:type="dxa" w:w="1872"/>
          </w:tcPr>
          <w:p>
            <w:pPr>
              <w:spacing w:after="0" w:before="0"/>
              <w:jc w:val="right"/>
            </w:pPr>
            <w:r/>
            <w:r>
              <w:rPr>
                <w:b w:val="0"/>
                <w:sz w:val="16"/>
              </w:rPr>
              <w:t>14.7</w:t>
            </w:r>
          </w:p>
        </w:tc>
        <w:tc>
          <w:tcPr>
            <w:tcW w:type="dxa" w:w="1872"/>
          </w:tcPr>
          <w:p>
            <w:pPr>
              <w:spacing w:after="0" w:before="0"/>
              <w:jc w:val="right"/>
            </w:pPr>
            <w:r/>
            <w:r>
              <w:rPr>
                <w:b w:val="0"/>
                <w:sz w:val="16"/>
              </w:rPr>
              <w:t>−68.8%</w:t>
            </w:r>
          </w:p>
        </w:tc>
      </w:tr>
      <w:tr>
        <w:tc>
          <w:tcPr>
            <w:tcW w:type="dxa" w:w="1872"/>
          </w:tcPr>
          <w:p>
            <w:pPr>
              <w:spacing w:after="0" w:before="0"/>
            </w:pPr>
            <w:r/>
            <w:r>
              <w:rPr>
                <w:b w:val="0"/>
                <w:sz w:val="16"/>
              </w:rPr>
              <w:t>Share of profit from associates and joint ventures</w:t>
            </w:r>
          </w:p>
        </w:tc>
        <w:tc>
          <w:tcPr>
            <w:tcW w:type="dxa" w:w="1872"/>
          </w:tcPr>
          <w:p>
            <w:pPr>
              <w:spacing w:after="0" w:before="0"/>
              <w:jc w:val="right"/>
            </w:pPr>
            <w:r/>
            <w:r>
              <w:rPr>
                <w:b w:val="0"/>
                <w:sz w:val="16"/>
              </w:rPr>
              <w:t>132.1</w:t>
            </w:r>
          </w:p>
        </w:tc>
        <w:tc>
          <w:tcPr>
            <w:tcW w:type="dxa" w:w="1872"/>
          </w:tcPr>
          <w:p>
            <w:pPr>
              <w:spacing w:after="0" w:before="0"/>
              <w:jc w:val="right"/>
            </w:pPr>
            <w:r/>
            <w:r>
              <w:rPr>
                <w:b w:val="0"/>
                <w:sz w:val="16"/>
              </w:rPr>
              <w:t>20.9</w:t>
            </w:r>
          </w:p>
        </w:tc>
        <w:tc>
          <w:tcPr>
            <w:tcW w:type="dxa" w:w="1872"/>
          </w:tcPr>
          <w:p>
            <w:pPr>
              <w:spacing w:after="0" w:before="0"/>
              <w:jc w:val="right"/>
            </w:pPr>
            <w:r/>
            <w:r>
              <w:rPr>
                <w:b w:val="0"/>
                <w:sz w:val="16"/>
              </w:rPr>
              <w:t>19.9</w:t>
            </w:r>
          </w:p>
        </w:tc>
        <w:tc>
          <w:tcPr>
            <w:tcW w:type="dxa" w:w="1872"/>
          </w:tcPr>
          <w:p>
            <w:pPr>
              <w:spacing w:after="0" w:before="0"/>
              <w:jc w:val="right"/>
            </w:pPr>
            <w:r/>
            <w:r>
              <w:rPr>
                <w:b w:val="0"/>
                <w:sz w:val="16"/>
              </w:rPr>
              <w:t>−5.0%</w:t>
            </w:r>
          </w:p>
        </w:tc>
      </w:tr>
      <w:tr>
        <w:tc>
          <w:tcPr>
            <w:tcW w:type="dxa" w:w="1872"/>
          </w:tcPr>
          <w:p>
            <w:pPr>
              <w:spacing w:after="0" w:before="0"/>
            </w:pPr>
            <w:r/>
            <w:r>
              <w:rPr>
                <w:b w:val="0"/>
                <w:sz w:val="16"/>
              </w:rPr>
              <w:t>Other income</w:t>
            </w:r>
          </w:p>
        </w:tc>
        <w:tc>
          <w:tcPr>
            <w:tcW w:type="dxa" w:w="1872"/>
          </w:tcPr>
          <w:p>
            <w:pPr>
              <w:spacing w:after="0" w:before="0"/>
              <w:jc w:val="right"/>
            </w:pPr>
            <w:r/>
            <w:r>
              <w:rPr>
                <w:b w:val="0"/>
                <w:sz w:val="16"/>
              </w:rPr>
              <w:t>151.4</w:t>
            </w:r>
          </w:p>
        </w:tc>
        <w:tc>
          <w:tcPr>
            <w:tcW w:type="dxa" w:w="1872"/>
          </w:tcPr>
          <w:p>
            <w:pPr>
              <w:spacing w:after="0" w:before="0"/>
              <w:jc w:val="right"/>
            </w:pPr>
            <w:r/>
            <w:r>
              <w:rPr>
                <w:b w:val="0"/>
                <w:sz w:val="16"/>
              </w:rPr>
              <w:t>28.6</w:t>
            </w:r>
          </w:p>
        </w:tc>
        <w:tc>
          <w:tcPr>
            <w:tcW w:type="dxa" w:w="1872"/>
          </w:tcPr>
          <w:p>
            <w:pPr>
              <w:spacing w:after="0" w:before="0"/>
              <w:jc w:val="right"/>
            </w:pPr>
            <w:r/>
            <w:r>
              <w:rPr>
                <w:b w:val="0"/>
                <w:sz w:val="16"/>
              </w:rPr>
              <w:t>159.3</w:t>
            </w:r>
          </w:p>
        </w:tc>
        <w:tc>
          <w:tcPr>
            <w:tcW w:type="dxa" w:w="1872"/>
          </w:tcPr>
          <w:p>
            <w:pPr>
              <w:spacing w:after="0" w:before="0"/>
              <w:jc w:val="right"/>
            </w:pPr>
            <w:r/>
            <w:r>
              <w:rPr>
                <w:b w:val="0"/>
                <w:sz w:val="16"/>
              </w:rPr>
              <w:t>+457.8%</w:t>
            </w:r>
          </w:p>
        </w:tc>
      </w:tr>
      <w:tr>
        <w:tc>
          <w:tcPr>
            <w:tcW w:type="dxa" w:w="1872"/>
          </w:tcPr>
          <w:p>
            <w:pPr>
              <w:spacing w:after="0" w:before="0"/>
            </w:pPr>
            <w:r/>
            <w:r>
              <w:rPr>
                <w:b/>
                <w:sz w:val="16"/>
              </w:rPr>
              <w:t>Total income</w:t>
            </w:r>
          </w:p>
        </w:tc>
        <w:tc>
          <w:tcPr>
            <w:tcW w:type="dxa" w:w="1872"/>
          </w:tcPr>
          <w:p>
            <w:pPr>
              <w:spacing w:after="0" w:before="0"/>
              <w:jc w:val="right"/>
            </w:pPr>
            <w:r/>
            <w:r>
              <w:rPr>
                <w:b/>
                <w:sz w:val="16"/>
              </w:rPr>
              <w:t>6,355.6</w:t>
            </w:r>
          </w:p>
        </w:tc>
        <w:tc>
          <w:tcPr>
            <w:tcW w:type="dxa" w:w="1872"/>
          </w:tcPr>
          <w:p>
            <w:pPr>
              <w:spacing w:after="0" w:before="0"/>
              <w:jc w:val="right"/>
            </w:pPr>
            <w:r/>
            <w:r>
              <w:rPr>
                <w:b/>
                <w:sz w:val="16"/>
              </w:rPr>
              <w:t>1,500.8</w:t>
            </w:r>
          </w:p>
        </w:tc>
        <w:tc>
          <w:tcPr>
            <w:tcW w:type="dxa" w:w="1872"/>
          </w:tcPr>
          <w:p>
            <w:pPr>
              <w:spacing w:after="0" w:before="0"/>
              <w:jc w:val="right"/>
            </w:pPr>
            <w:r/>
            <w:r>
              <w:rPr>
                <w:b/>
                <w:sz w:val="16"/>
              </w:rPr>
              <w:t>1,714.3</w:t>
            </w:r>
          </w:p>
        </w:tc>
        <w:tc>
          <w:tcPr>
            <w:tcW w:type="dxa" w:w="1872"/>
          </w:tcPr>
          <w:p>
            <w:pPr>
              <w:spacing w:after="0" w:before="0"/>
              <w:jc w:val="right"/>
            </w:pPr>
            <w:r/>
            <w:r>
              <w:rPr>
                <w:b/>
                <w:sz w:val="16"/>
              </w:rPr>
              <w:t>+14.2%</w:t>
            </w:r>
          </w:p>
        </w:tc>
      </w:tr>
      <w:tr>
        <w:tc>
          <w:tcPr>
            <w:tcW w:type="dxa" w:w="1872"/>
          </w:tcPr>
          <w:p>
            <w:pPr>
              <w:spacing w:after="0" w:before="0"/>
            </w:pPr>
            <w:r/>
            <w:r>
              <w:rPr>
                <w:b w:val="0"/>
                <w:sz w:val="16"/>
              </w:rPr>
              <w:t>Less: depositors’ and Sukuk-holders’ share of profit</w:t>
            </w:r>
          </w:p>
        </w:tc>
        <w:tc>
          <w:tcPr>
            <w:tcW w:type="dxa" w:w="1872"/>
          </w:tcPr>
          <w:p>
            <w:pPr>
              <w:spacing w:after="0" w:before="0"/>
              <w:jc w:val="right"/>
            </w:pPr>
            <w:r/>
            <w:r>
              <w:rPr>
                <w:b w:val="0"/>
                <w:sz w:val="16"/>
              </w:rPr>
              <w:t>(2,860.3)</w:t>
            </w:r>
          </w:p>
        </w:tc>
        <w:tc>
          <w:tcPr>
            <w:tcW w:type="dxa" w:w="1872"/>
          </w:tcPr>
          <w:p>
            <w:pPr>
              <w:spacing w:after="0" w:before="0"/>
              <w:jc w:val="right"/>
            </w:pPr>
            <w:r/>
            <w:r>
              <w:rPr>
                <w:b w:val="0"/>
                <w:sz w:val="16"/>
              </w:rPr>
              <w:t>(642.0)</w:t>
            </w:r>
          </w:p>
        </w:tc>
        <w:tc>
          <w:tcPr>
            <w:tcW w:type="dxa" w:w="1872"/>
          </w:tcPr>
          <w:p>
            <w:pPr>
              <w:spacing w:after="0" w:before="0"/>
              <w:jc w:val="right"/>
            </w:pPr>
            <w:r/>
            <w:r>
              <w:rPr>
                <w:b w:val="0"/>
                <w:sz w:val="16"/>
              </w:rPr>
              <w:t>(748.2)</w:t>
            </w:r>
          </w:p>
        </w:tc>
        <w:tc>
          <w:tcPr>
            <w:tcW w:type="dxa" w:w="1872"/>
          </w:tcPr>
          <w:p>
            <w:pPr>
              <w:spacing w:after="0" w:before="0"/>
              <w:jc w:val="right"/>
            </w:pPr>
            <w:r/>
            <w:r>
              <w:rPr>
                <w:b w:val="0"/>
                <w:sz w:val="16"/>
              </w:rPr>
              <w:t>+16.5%</w:t>
            </w:r>
          </w:p>
        </w:tc>
      </w:tr>
      <w:tr>
        <w:tc>
          <w:tcPr>
            <w:tcW w:type="dxa" w:w="1872"/>
          </w:tcPr>
          <w:p>
            <w:pPr>
              <w:spacing w:after="0" w:before="0"/>
            </w:pPr>
            <w:r/>
            <w:r>
              <w:rPr>
                <w:b/>
                <w:sz w:val="16"/>
              </w:rPr>
              <w:t>Net income</w:t>
            </w:r>
          </w:p>
        </w:tc>
        <w:tc>
          <w:tcPr>
            <w:tcW w:type="dxa" w:w="1872"/>
          </w:tcPr>
          <w:p>
            <w:pPr>
              <w:spacing w:after="0" w:before="0"/>
              <w:jc w:val="right"/>
            </w:pPr>
            <w:r/>
            <w:r>
              <w:rPr>
                <w:b/>
                <w:sz w:val="16"/>
              </w:rPr>
              <w:t>3,495.3</w:t>
            </w:r>
          </w:p>
        </w:tc>
        <w:tc>
          <w:tcPr>
            <w:tcW w:type="dxa" w:w="1872"/>
          </w:tcPr>
          <w:p>
            <w:pPr>
              <w:spacing w:after="0" w:before="0"/>
              <w:jc w:val="right"/>
            </w:pPr>
            <w:r/>
            <w:r>
              <w:rPr>
                <w:b/>
                <w:sz w:val="16"/>
              </w:rPr>
              <w:t>858.8</w:t>
            </w:r>
          </w:p>
        </w:tc>
        <w:tc>
          <w:tcPr>
            <w:tcW w:type="dxa" w:w="1872"/>
          </w:tcPr>
          <w:p>
            <w:pPr>
              <w:spacing w:after="0" w:before="0"/>
              <w:jc w:val="right"/>
            </w:pPr>
            <w:r/>
            <w:r>
              <w:rPr>
                <w:b/>
                <w:sz w:val="16"/>
              </w:rPr>
              <w:t>966.2</w:t>
            </w:r>
          </w:p>
        </w:tc>
        <w:tc>
          <w:tcPr>
            <w:tcW w:type="dxa" w:w="1872"/>
          </w:tcPr>
          <w:p>
            <w:pPr>
              <w:spacing w:after="0" w:before="0"/>
              <w:jc w:val="right"/>
            </w:pPr>
            <w:r/>
            <w:r>
              <w:rPr>
                <w:b/>
                <w:sz w:val="16"/>
              </w:rPr>
              <w:t>+12.5%</w:t>
            </w:r>
          </w:p>
        </w:tc>
      </w:tr>
      <w:tr>
        <w:tc>
          <w:tcPr>
            <w:tcW w:type="dxa" w:w="1872"/>
          </w:tcPr>
          <w:p>
            <w:pPr>
              <w:spacing w:after="0" w:before="0"/>
            </w:pPr>
            <w:r/>
            <w:r>
              <w:rPr>
                <w:b w:val="0"/>
                <w:sz w:val="16"/>
              </w:rPr>
              <w:t>Personnel expenses</w:t>
            </w:r>
          </w:p>
        </w:tc>
        <w:tc>
          <w:tcPr>
            <w:tcW w:type="dxa" w:w="1872"/>
          </w:tcPr>
          <w:p>
            <w:pPr>
              <w:spacing w:after="0" w:before="0"/>
              <w:jc w:val="right"/>
            </w:pPr>
            <w:r/>
            <w:r>
              <w:rPr>
                <w:b w:val="0"/>
                <w:sz w:val="16"/>
              </w:rPr>
              <w:t>(541.6)</w:t>
            </w:r>
          </w:p>
        </w:tc>
        <w:tc>
          <w:tcPr>
            <w:tcW w:type="dxa" w:w="1872"/>
          </w:tcPr>
          <w:p>
            <w:pPr>
              <w:spacing w:after="0" w:before="0"/>
              <w:jc w:val="right"/>
            </w:pPr>
            <w:r/>
            <w:r>
              <w:rPr>
                <w:b w:val="0"/>
                <w:sz w:val="16"/>
              </w:rPr>
              <w:t>(147.2)</w:t>
            </w:r>
          </w:p>
        </w:tc>
        <w:tc>
          <w:tcPr>
            <w:tcW w:type="dxa" w:w="1872"/>
          </w:tcPr>
          <w:p>
            <w:pPr>
              <w:spacing w:after="0" w:before="0"/>
              <w:jc w:val="right"/>
            </w:pPr>
            <w:r/>
            <w:r>
              <w:rPr>
                <w:b w:val="0"/>
                <w:sz w:val="16"/>
              </w:rPr>
              <w:t>(156.6)</w:t>
            </w:r>
          </w:p>
        </w:tc>
        <w:tc>
          <w:tcPr>
            <w:tcW w:type="dxa" w:w="1872"/>
          </w:tcPr>
          <w:p>
            <w:pPr>
              <w:spacing w:after="0" w:before="0"/>
              <w:jc w:val="right"/>
            </w:pPr>
            <w:r/>
            <w:r>
              <w:rPr>
                <w:b w:val="0"/>
                <w:sz w:val="16"/>
              </w:rPr>
              <w:t>+6.3%</w:t>
            </w:r>
          </w:p>
        </w:tc>
      </w:tr>
      <w:tr>
        <w:tc>
          <w:tcPr>
            <w:tcW w:type="dxa" w:w="1872"/>
          </w:tcPr>
          <w:p>
            <w:pPr>
              <w:spacing w:after="0" w:before="0"/>
            </w:pPr>
            <w:r/>
            <w:r>
              <w:rPr>
                <w:b w:val="0"/>
                <w:sz w:val="16"/>
              </w:rPr>
              <w:t>General and administrative expenses</w:t>
            </w:r>
          </w:p>
        </w:tc>
        <w:tc>
          <w:tcPr>
            <w:tcW w:type="dxa" w:w="1872"/>
          </w:tcPr>
          <w:p>
            <w:pPr>
              <w:spacing w:after="0" w:before="0"/>
              <w:jc w:val="right"/>
            </w:pPr>
            <w:r/>
            <w:r>
              <w:rPr>
                <w:b w:val="0"/>
                <w:sz w:val="16"/>
              </w:rPr>
              <w:t>(321.6)</w:t>
            </w:r>
          </w:p>
        </w:tc>
        <w:tc>
          <w:tcPr>
            <w:tcW w:type="dxa" w:w="1872"/>
          </w:tcPr>
          <w:p>
            <w:pPr>
              <w:spacing w:after="0" w:before="0"/>
              <w:jc w:val="right"/>
            </w:pPr>
            <w:r/>
            <w:r>
              <w:rPr>
                <w:b w:val="0"/>
                <w:sz w:val="16"/>
              </w:rPr>
              <w:t>(75.7)</w:t>
            </w:r>
          </w:p>
        </w:tc>
        <w:tc>
          <w:tcPr>
            <w:tcW w:type="dxa" w:w="1872"/>
          </w:tcPr>
          <w:p>
            <w:pPr>
              <w:spacing w:after="0" w:before="0"/>
              <w:jc w:val="right"/>
            </w:pPr>
            <w:r/>
            <w:r>
              <w:rPr>
                <w:b w:val="0"/>
                <w:sz w:val="16"/>
              </w:rPr>
              <w:t>(96.1)</w:t>
            </w:r>
          </w:p>
        </w:tc>
        <w:tc>
          <w:tcPr>
            <w:tcW w:type="dxa" w:w="1872"/>
          </w:tcPr>
          <w:p>
            <w:pPr>
              <w:spacing w:after="0" w:before="0"/>
              <w:jc w:val="right"/>
            </w:pPr>
            <w:r/>
            <w:r>
              <w:rPr>
                <w:b w:val="0"/>
                <w:sz w:val="16"/>
              </w:rPr>
              <w:t>+26.9%</w:t>
            </w:r>
          </w:p>
        </w:tc>
      </w:tr>
      <w:tr>
        <w:tc>
          <w:tcPr>
            <w:tcW w:type="dxa" w:w="1872"/>
          </w:tcPr>
          <w:p>
            <w:pPr>
              <w:spacing w:after="0" w:before="0"/>
            </w:pPr>
            <w:r/>
            <w:r>
              <w:rPr>
                <w:b w:val="0"/>
                <w:sz w:val="16"/>
              </w:rPr>
              <w:t>Depreciation of investment properties</w:t>
            </w:r>
          </w:p>
        </w:tc>
        <w:tc>
          <w:tcPr>
            <w:tcW w:type="dxa" w:w="1872"/>
          </w:tcPr>
          <w:p>
            <w:pPr>
              <w:spacing w:after="0" w:before="0"/>
              <w:jc w:val="right"/>
            </w:pPr>
            <w:r/>
            <w:r>
              <w:rPr>
                <w:b w:val="0"/>
                <w:sz w:val="16"/>
              </w:rPr>
              <w:t>(17.7)</w:t>
            </w:r>
          </w:p>
        </w:tc>
        <w:tc>
          <w:tcPr>
            <w:tcW w:type="dxa" w:w="1872"/>
          </w:tcPr>
          <w:p>
            <w:pPr>
              <w:spacing w:after="0" w:before="0"/>
              <w:jc w:val="right"/>
            </w:pPr>
            <w:r/>
            <w:r>
              <w:rPr>
                <w:b w:val="0"/>
                <w:sz w:val="16"/>
              </w:rPr>
              <w:t>(3.7)</w:t>
            </w:r>
          </w:p>
        </w:tc>
        <w:tc>
          <w:tcPr>
            <w:tcW w:type="dxa" w:w="1872"/>
          </w:tcPr>
          <w:p>
            <w:pPr>
              <w:spacing w:after="0" w:before="0"/>
              <w:jc w:val="right"/>
            </w:pPr>
            <w:r/>
            <w:r>
              <w:rPr>
                <w:b w:val="0"/>
                <w:sz w:val="16"/>
              </w:rPr>
              <w:t>(4.2)</w:t>
            </w:r>
          </w:p>
        </w:tc>
        <w:tc>
          <w:tcPr>
            <w:tcW w:type="dxa" w:w="1872"/>
          </w:tcPr>
          <w:p>
            <w:pPr>
              <w:spacing w:after="0" w:before="0"/>
              <w:jc w:val="right"/>
            </w:pPr>
            <w:r/>
            <w:r>
              <w:rPr>
                <w:b w:val="0"/>
                <w:sz w:val="16"/>
              </w:rPr>
              <w:t>+12.5%</w:t>
            </w:r>
          </w:p>
        </w:tc>
      </w:tr>
      <w:tr>
        <w:tc>
          <w:tcPr>
            <w:tcW w:type="dxa" w:w="1872"/>
          </w:tcPr>
          <w:p>
            <w:pPr>
              <w:spacing w:after="0" w:before="0"/>
            </w:pPr>
            <w:r/>
            <w:r>
              <w:rPr>
                <w:b w:val="0"/>
                <w:sz w:val="16"/>
              </w:rPr>
              <w:t>Depreciation of property and equipment</w:t>
            </w:r>
          </w:p>
        </w:tc>
        <w:tc>
          <w:tcPr>
            <w:tcW w:type="dxa" w:w="1872"/>
          </w:tcPr>
          <w:p>
            <w:pPr>
              <w:spacing w:after="0" w:before="0"/>
              <w:jc w:val="right"/>
            </w:pPr>
            <w:r/>
            <w:r>
              <w:rPr>
                <w:b w:val="0"/>
                <w:sz w:val="16"/>
              </w:rPr>
              <w:t>(51.7)</w:t>
            </w:r>
          </w:p>
        </w:tc>
        <w:tc>
          <w:tcPr>
            <w:tcW w:type="dxa" w:w="1872"/>
          </w:tcPr>
          <w:p>
            <w:pPr>
              <w:spacing w:after="0" w:before="0"/>
              <w:jc w:val="right"/>
            </w:pPr>
            <w:r/>
            <w:r>
              <w:rPr>
                <w:b w:val="0"/>
                <w:sz w:val="16"/>
              </w:rPr>
              <w:t>(13.7)</w:t>
            </w:r>
          </w:p>
        </w:tc>
        <w:tc>
          <w:tcPr>
            <w:tcW w:type="dxa" w:w="1872"/>
          </w:tcPr>
          <w:p>
            <w:pPr>
              <w:spacing w:after="0" w:before="0"/>
              <w:jc w:val="right"/>
            </w:pPr>
            <w:r/>
            <w:r>
              <w:rPr>
                <w:b w:val="0"/>
                <w:sz w:val="16"/>
              </w:rPr>
              <w:t>(16.0)</w:t>
            </w:r>
          </w:p>
        </w:tc>
        <w:tc>
          <w:tcPr>
            <w:tcW w:type="dxa" w:w="1872"/>
          </w:tcPr>
          <w:p>
            <w:pPr>
              <w:spacing w:after="0" w:before="0"/>
              <w:jc w:val="right"/>
            </w:pPr>
            <w:r/>
            <w:r>
              <w:rPr>
                <w:b w:val="0"/>
                <w:sz w:val="16"/>
              </w:rPr>
              <w:t>+16.8%</w:t>
            </w:r>
          </w:p>
        </w:tc>
      </w:tr>
      <w:tr>
        <w:tc>
          <w:tcPr>
            <w:tcW w:type="dxa" w:w="1872"/>
          </w:tcPr>
          <w:p>
            <w:pPr>
              <w:spacing w:after="0" w:before="0"/>
            </w:pPr>
            <w:r/>
            <w:r>
              <w:rPr>
                <w:b/>
                <w:sz w:val="16"/>
              </w:rPr>
              <w:t>Total operating expenses</w:t>
            </w:r>
          </w:p>
        </w:tc>
        <w:tc>
          <w:tcPr>
            <w:tcW w:type="dxa" w:w="1872"/>
          </w:tcPr>
          <w:p>
            <w:pPr>
              <w:spacing w:after="0" w:before="0"/>
              <w:jc w:val="right"/>
            </w:pPr>
            <w:r/>
            <w:r>
              <w:rPr>
                <w:b/>
                <w:sz w:val="16"/>
              </w:rPr>
              <w:t>(932.6)</w:t>
            </w:r>
          </w:p>
        </w:tc>
        <w:tc>
          <w:tcPr>
            <w:tcW w:type="dxa" w:w="1872"/>
          </w:tcPr>
          <w:p>
            <w:pPr>
              <w:spacing w:after="0" w:before="0"/>
              <w:jc w:val="right"/>
            </w:pPr>
            <w:r/>
            <w:r>
              <w:rPr>
                <w:b/>
                <w:sz w:val="16"/>
              </w:rPr>
              <w:t>(240.3)</w:t>
            </w:r>
          </w:p>
        </w:tc>
        <w:tc>
          <w:tcPr>
            <w:tcW w:type="dxa" w:w="1872"/>
          </w:tcPr>
          <w:p>
            <w:pPr>
              <w:spacing w:after="0" w:before="0"/>
              <w:jc w:val="right"/>
            </w:pPr>
            <w:r/>
            <w:r>
              <w:rPr>
                <w:b/>
                <w:sz w:val="16"/>
              </w:rPr>
              <w:t>(272.8)</w:t>
            </w:r>
          </w:p>
        </w:tc>
        <w:tc>
          <w:tcPr>
            <w:tcW w:type="dxa" w:w="1872"/>
          </w:tcPr>
          <w:p>
            <w:pPr>
              <w:spacing w:after="0" w:before="0"/>
              <w:jc w:val="right"/>
            </w:pPr>
            <w:r/>
            <w:r>
              <w:rPr>
                <w:b/>
                <w:sz w:val="16"/>
              </w:rPr>
              <w:t>+13.5%</w:t>
            </w:r>
          </w:p>
        </w:tc>
      </w:tr>
      <w:tr>
        <w:tc>
          <w:tcPr>
            <w:tcW w:type="dxa" w:w="1872"/>
          </w:tcPr>
          <w:p>
            <w:pPr>
              <w:spacing w:after="0" w:before="0"/>
            </w:pPr>
            <w:r/>
            <w:r>
              <w:rPr>
                <w:b/>
                <w:sz w:val="16"/>
              </w:rPr>
              <w:t>Net operating income before impairment</w:t>
            </w:r>
          </w:p>
        </w:tc>
        <w:tc>
          <w:tcPr>
            <w:tcW w:type="dxa" w:w="1872"/>
          </w:tcPr>
          <w:p>
            <w:pPr>
              <w:spacing w:after="0" w:before="0"/>
              <w:jc w:val="right"/>
            </w:pPr>
            <w:r/>
            <w:r>
              <w:rPr>
                <w:b/>
                <w:sz w:val="16"/>
              </w:rPr>
              <w:t>2,562.8</w:t>
            </w:r>
          </w:p>
        </w:tc>
        <w:tc>
          <w:tcPr>
            <w:tcW w:type="dxa" w:w="1872"/>
          </w:tcPr>
          <w:p>
            <w:pPr>
              <w:spacing w:after="0" w:before="0"/>
              <w:jc w:val="right"/>
            </w:pPr>
            <w:r/>
            <w:r>
              <w:rPr>
                <w:b/>
                <w:sz w:val="16"/>
              </w:rPr>
              <w:t>618.4</w:t>
            </w:r>
          </w:p>
        </w:tc>
        <w:tc>
          <w:tcPr>
            <w:tcW w:type="dxa" w:w="1872"/>
          </w:tcPr>
          <w:p>
            <w:pPr>
              <w:spacing w:after="0" w:before="0"/>
              <w:jc w:val="right"/>
            </w:pPr>
            <w:r/>
            <w:r>
              <w:rPr>
                <w:b/>
                <w:sz w:val="16"/>
              </w:rPr>
              <w:t>693.3</w:t>
            </w:r>
          </w:p>
        </w:tc>
        <w:tc>
          <w:tcPr>
            <w:tcW w:type="dxa" w:w="1872"/>
          </w:tcPr>
          <w:p>
            <w:pPr>
              <w:spacing w:after="0" w:before="0"/>
              <w:jc w:val="right"/>
            </w:pPr>
            <w:r/>
            <w:r>
              <w:rPr>
                <w:b/>
                <w:sz w:val="16"/>
              </w:rPr>
              <w:t>+12.1%</w:t>
            </w:r>
          </w:p>
        </w:tc>
      </w:tr>
      <w:tr>
        <w:tc>
          <w:tcPr>
            <w:tcW w:type="dxa" w:w="1872"/>
          </w:tcPr>
          <w:p>
            <w:pPr>
              <w:spacing w:after="0" w:before="0"/>
            </w:pPr>
            <w:r/>
            <w:r>
              <w:rPr>
                <w:b w:val="0"/>
                <w:sz w:val="16"/>
              </w:rPr>
              <w:t>Impairment charges, net</w:t>
            </w:r>
          </w:p>
        </w:tc>
        <w:tc>
          <w:tcPr>
            <w:tcW w:type="dxa" w:w="1872"/>
          </w:tcPr>
          <w:p>
            <w:pPr>
              <w:spacing w:after="0" w:before="0"/>
              <w:jc w:val="right"/>
            </w:pPr>
            <w:r/>
            <w:r>
              <w:rPr>
                <w:b w:val="0"/>
                <w:sz w:val="16"/>
              </w:rPr>
              <w:t>(110.8)</w:t>
            </w:r>
          </w:p>
        </w:tc>
        <w:tc>
          <w:tcPr>
            <w:tcW w:type="dxa" w:w="1872"/>
          </w:tcPr>
          <w:p>
            <w:pPr>
              <w:spacing w:after="0" w:before="0"/>
              <w:jc w:val="right"/>
            </w:pPr>
            <w:r/>
            <w:r>
              <w:rPr>
                <w:b w:val="0"/>
                <w:sz w:val="16"/>
              </w:rPr>
              <w:t>(44.4)</w:t>
            </w:r>
          </w:p>
        </w:tc>
        <w:tc>
          <w:tcPr>
            <w:tcW w:type="dxa" w:w="1872"/>
          </w:tcPr>
          <w:p>
            <w:pPr>
              <w:spacing w:after="0" w:before="0"/>
              <w:jc w:val="right"/>
            </w:pPr>
            <w:r/>
            <w:r>
              <w:rPr>
                <w:b w:val="0"/>
                <w:sz w:val="16"/>
              </w:rPr>
              <w:t>(114.4)</w:t>
            </w:r>
          </w:p>
        </w:tc>
        <w:tc>
          <w:tcPr>
            <w:tcW w:type="dxa" w:w="1872"/>
          </w:tcPr>
          <w:p>
            <w:pPr>
              <w:spacing w:after="0" w:before="0"/>
              <w:jc w:val="right"/>
            </w:pPr>
            <w:r/>
            <w:r>
              <w:rPr>
                <w:b w:val="0"/>
                <w:sz w:val="16"/>
              </w:rPr>
              <w:t>+157.7%</w:t>
            </w:r>
          </w:p>
        </w:tc>
      </w:tr>
      <w:tr>
        <w:tc>
          <w:tcPr>
            <w:tcW w:type="dxa" w:w="1872"/>
          </w:tcPr>
          <w:p>
            <w:pPr>
              <w:spacing w:after="0" w:before="0"/>
            </w:pPr>
            <w:r/>
            <w:r>
              <w:rPr>
                <w:b/>
                <w:sz w:val="16"/>
              </w:rPr>
              <w:t>Profit before income tax</w:t>
            </w:r>
          </w:p>
        </w:tc>
        <w:tc>
          <w:tcPr>
            <w:tcW w:type="dxa" w:w="1872"/>
          </w:tcPr>
          <w:p>
            <w:pPr>
              <w:spacing w:after="0" w:before="0"/>
              <w:jc w:val="right"/>
            </w:pPr>
            <w:r/>
            <w:r>
              <w:rPr>
                <w:b/>
                <w:sz w:val="16"/>
              </w:rPr>
              <w:t>2,452.0</w:t>
            </w:r>
          </w:p>
        </w:tc>
        <w:tc>
          <w:tcPr>
            <w:tcW w:type="dxa" w:w="1872"/>
          </w:tcPr>
          <w:p>
            <w:pPr>
              <w:spacing w:after="0" w:before="0"/>
              <w:jc w:val="right"/>
            </w:pPr>
            <w:r/>
            <w:r>
              <w:rPr>
                <w:b/>
                <w:sz w:val="16"/>
              </w:rPr>
              <w:t>574.1</w:t>
            </w:r>
          </w:p>
        </w:tc>
        <w:tc>
          <w:tcPr>
            <w:tcW w:type="dxa" w:w="1872"/>
          </w:tcPr>
          <w:p>
            <w:pPr>
              <w:spacing w:after="0" w:before="0"/>
              <w:jc w:val="right"/>
            </w:pPr>
            <w:r/>
            <w:r>
              <w:rPr>
                <w:b/>
                <w:sz w:val="16"/>
              </w:rPr>
              <w:t>578.9</w:t>
            </w:r>
          </w:p>
        </w:tc>
        <w:tc>
          <w:tcPr>
            <w:tcW w:type="dxa" w:w="1872"/>
          </w:tcPr>
          <w:p>
            <w:pPr>
              <w:spacing w:after="0" w:before="0"/>
              <w:jc w:val="right"/>
            </w:pPr>
            <w:r/>
            <w:r>
              <w:rPr>
                <w:b/>
                <w:sz w:val="16"/>
              </w:rPr>
              <w:t>+0.8%</w:t>
            </w:r>
          </w:p>
        </w:tc>
      </w:tr>
      <w:tr>
        <w:tc>
          <w:tcPr>
            <w:tcW w:type="dxa" w:w="1872"/>
          </w:tcPr>
          <w:p>
            <w:pPr>
              <w:spacing w:after="0" w:before="0"/>
            </w:pPr>
            <w:r/>
            <w:r>
              <w:rPr>
                <w:b w:val="0"/>
                <w:sz w:val="16"/>
              </w:rPr>
              <w:t>Income tax expense</w:t>
            </w:r>
          </w:p>
        </w:tc>
        <w:tc>
          <w:tcPr>
            <w:tcW w:type="dxa" w:w="1872"/>
          </w:tcPr>
          <w:p>
            <w:pPr>
              <w:spacing w:after="0" w:before="0"/>
              <w:jc w:val="right"/>
            </w:pPr>
            <w:r/>
            <w:r>
              <w:rPr>
                <w:b w:val="0"/>
                <w:sz w:val="16"/>
              </w:rPr>
              <w:t>(228.7)</w:t>
            </w:r>
          </w:p>
        </w:tc>
        <w:tc>
          <w:tcPr>
            <w:tcW w:type="dxa" w:w="1872"/>
          </w:tcPr>
          <w:p>
            <w:pPr>
              <w:spacing w:after="0" w:before="0"/>
              <w:jc w:val="right"/>
            </w:pPr>
            <w:r/>
            <w:r>
              <w:rPr>
                <w:b w:val="0"/>
                <w:sz w:val="16"/>
              </w:rPr>
              <w:t>(84.6)</w:t>
            </w:r>
          </w:p>
        </w:tc>
        <w:tc>
          <w:tcPr>
            <w:tcW w:type="dxa" w:w="1872"/>
          </w:tcPr>
          <w:p>
            <w:pPr>
              <w:spacing w:after="0" w:before="0"/>
              <w:jc w:val="right"/>
            </w:pPr>
            <w:r/>
            <w:r>
              <w:rPr>
                <w:b w:val="0"/>
                <w:sz w:val="16"/>
              </w:rPr>
              <w:t>(89.2)</w:t>
            </w:r>
          </w:p>
        </w:tc>
        <w:tc>
          <w:tcPr>
            <w:tcW w:type="dxa" w:w="1872"/>
          </w:tcPr>
          <w:p>
            <w:pPr>
              <w:spacing w:after="0" w:before="0"/>
              <w:jc w:val="right"/>
            </w:pPr>
            <w:r/>
            <w:r>
              <w:rPr>
                <w:b w:val="0"/>
                <w:sz w:val="16"/>
              </w:rPr>
              <w:t>+5.3%</w:t>
            </w:r>
          </w:p>
        </w:tc>
      </w:tr>
      <w:tr>
        <w:tc>
          <w:tcPr>
            <w:tcW w:type="dxa" w:w="1872"/>
          </w:tcPr>
          <w:p>
            <w:pPr>
              <w:spacing w:after="0" w:before="0"/>
            </w:pPr>
            <w:r/>
            <w:r>
              <w:rPr>
                <w:b/>
                <w:sz w:val="16"/>
              </w:rPr>
              <w:t>Net profit for the period</w:t>
            </w:r>
          </w:p>
        </w:tc>
        <w:tc>
          <w:tcPr>
            <w:tcW w:type="dxa" w:w="1872"/>
          </w:tcPr>
          <w:p>
            <w:pPr>
              <w:spacing w:after="0" w:before="0"/>
              <w:jc w:val="right"/>
            </w:pPr>
            <w:r/>
            <w:r>
              <w:rPr>
                <w:b/>
                <w:sz w:val="16"/>
              </w:rPr>
              <w:t>2,223.3</w:t>
            </w:r>
          </w:p>
        </w:tc>
        <w:tc>
          <w:tcPr>
            <w:tcW w:type="dxa" w:w="1872"/>
          </w:tcPr>
          <w:p>
            <w:pPr>
              <w:spacing w:after="0" w:before="0"/>
              <w:jc w:val="right"/>
            </w:pPr>
            <w:r/>
            <w:r>
              <w:rPr>
                <w:b/>
                <w:sz w:val="16"/>
              </w:rPr>
              <w:t>489.4</w:t>
            </w:r>
          </w:p>
        </w:tc>
        <w:tc>
          <w:tcPr>
            <w:tcW w:type="dxa" w:w="1872"/>
          </w:tcPr>
          <w:p>
            <w:pPr>
              <w:spacing w:after="0" w:before="0"/>
              <w:jc w:val="right"/>
            </w:pPr>
            <w:r/>
            <w:r>
              <w:rPr>
                <w:b/>
                <w:sz w:val="16"/>
              </w:rPr>
              <w:t>489.8</w:t>
            </w:r>
          </w:p>
        </w:tc>
        <w:tc>
          <w:tcPr>
            <w:tcW w:type="dxa" w:w="1872"/>
          </w:tcPr>
          <w:p>
            <w:pPr>
              <w:spacing w:after="0" w:before="0"/>
              <w:jc w:val="right"/>
            </w:pPr>
            <w:r/>
            <w:r>
              <w:rPr>
                <w:b/>
                <w:sz w:val="16"/>
              </w:rPr>
              <w:t>+0.1%</w:t>
            </w:r>
          </w:p>
        </w:tc>
      </w:tr>
      <w:tr>
        <w:tc>
          <w:tcPr>
            <w:tcW w:type="dxa" w:w="1872"/>
          </w:tcPr>
          <w:p>
            <w:pPr>
              <w:spacing w:after="0" w:before="0"/>
            </w:pPr>
            <w:r/>
            <w:r>
              <w:rPr>
                <w:b w:val="0"/>
                <w:sz w:val="16"/>
              </w:rPr>
              <w:t xml:space="preserve">    Attributable to owners of the Bank</w:t>
            </w:r>
          </w:p>
        </w:tc>
        <w:tc>
          <w:tcPr>
            <w:tcW w:type="dxa" w:w="1872"/>
          </w:tcPr>
          <w:p>
            <w:pPr>
              <w:spacing w:after="0" w:before="0"/>
              <w:jc w:val="right"/>
            </w:pPr>
            <w:r/>
            <w:r>
              <w:rPr>
                <w:b w:val="0"/>
                <w:sz w:val="16"/>
              </w:rPr>
              <w:t>2,160.4</w:t>
            </w:r>
          </w:p>
        </w:tc>
        <w:tc>
          <w:tcPr>
            <w:tcW w:type="dxa" w:w="1872"/>
          </w:tcPr>
          <w:p>
            <w:pPr>
              <w:spacing w:after="0" w:before="0"/>
              <w:jc w:val="right"/>
            </w:pPr>
            <w:r/>
            <w:r>
              <w:rPr>
                <w:b w:val="0"/>
                <w:sz w:val="16"/>
              </w:rPr>
              <w:t>473.7</w:t>
            </w:r>
          </w:p>
        </w:tc>
        <w:tc>
          <w:tcPr>
            <w:tcW w:type="dxa" w:w="1872"/>
          </w:tcPr>
          <w:p>
            <w:pPr>
              <w:spacing w:after="0" w:before="0"/>
              <w:jc w:val="right"/>
            </w:pPr>
            <w:r/>
            <w:r>
              <w:rPr>
                <w:b w:val="0"/>
                <w:sz w:val="16"/>
              </w:rPr>
              <w:t>467.3</w:t>
            </w:r>
          </w:p>
        </w:tc>
        <w:tc>
          <w:tcPr>
            <w:tcW w:type="dxa" w:w="1872"/>
          </w:tcPr>
          <w:p>
            <w:pPr>
              <w:spacing w:after="0" w:before="0"/>
              <w:jc w:val="right"/>
            </w:pPr>
            <w:r/>
            <w:r>
              <w:rPr>
                <w:b w:val="0"/>
                <w:sz w:val="16"/>
              </w:rPr>
              <w:t>−1.4%</w:t>
            </w:r>
          </w:p>
        </w:tc>
      </w:tr>
      <w:tr>
        <w:tc>
          <w:tcPr>
            <w:tcW w:type="dxa" w:w="1872"/>
          </w:tcPr>
          <w:p>
            <w:pPr>
              <w:spacing w:after="0" w:before="0"/>
            </w:pPr>
            <w:r/>
            <w:r>
              <w:rPr>
                <w:b w:val="0"/>
                <w:sz w:val="16"/>
              </w:rPr>
              <w:t xml:space="preserve">    Attributable to non-controlling interests</w:t>
            </w:r>
          </w:p>
        </w:tc>
        <w:tc>
          <w:tcPr>
            <w:tcW w:type="dxa" w:w="1872"/>
          </w:tcPr>
          <w:p>
            <w:pPr>
              <w:spacing w:after="0" w:before="0"/>
              <w:jc w:val="right"/>
            </w:pPr>
            <w:r/>
            <w:r>
              <w:rPr>
                <w:b w:val="0"/>
                <w:sz w:val="16"/>
              </w:rPr>
              <w:t>62.9</w:t>
            </w:r>
          </w:p>
        </w:tc>
        <w:tc>
          <w:tcPr>
            <w:tcW w:type="dxa" w:w="1872"/>
          </w:tcPr>
          <w:p>
            <w:pPr>
              <w:spacing w:after="0" w:before="0"/>
              <w:jc w:val="right"/>
            </w:pPr>
            <w:r/>
            <w:r>
              <w:rPr>
                <w:b w:val="0"/>
                <w:sz w:val="16"/>
              </w:rPr>
              <w:t>15.7</w:t>
            </w:r>
          </w:p>
        </w:tc>
        <w:tc>
          <w:tcPr>
            <w:tcW w:type="dxa" w:w="1872"/>
          </w:tcPr>
          <w:p>
            <w:pPr>
              <w:spacing w:after="0" w:before="0"/>
              <w:jc w:val="right"/>
            </w:pPr>
            <w:r/>
            <w:r>
              <w:rPr>
                <w:b w:val="0"/>
                <w:sz w:val="16"/>
              </w:rPr>
              <w:t>22.5</w:t>
            </w:r>
          </w:p>
        </w:tc>
        <w:tc>
          <w:tcPr>
            <w:tcW w:type="dxa" w:w="1872"/>
          </w:tcPr>
          <w:p>
            <w:pPr>
              <w:spacing w:after="0" w:before="0"/>
              <w:jc w:val="right"/>
            </w:pPr>
            <w:r/>
            <w:r>
              <w:rPr>
                <w:b w:val="0"/>
                <w:sz w:val="16"/>
              </w:rPr>
              <w:t>+43.1%</w:t>
            </w:r>
          </w:p>
        </w:tc>
      </w:tr>
    </w:tbl>
    <w:p w14:paraId="44B27064" w14:textId="77777777" w:rsidR="006F3662" w:rsidRDefault="00B42244">
      <w:pPr>
        <w:spacing w:after="120"/>
      </w:pPr>
      <w:r>
        <w:rPr>
          <w:i/>
          <w:iCs/>
          <w:color w:val="6B7280"/>
          <w:sz w:val="17"/>
          <w:szCs w:val="17"/>
        </w:rPr>
        <w:t>Source: DIB audited FY2024 financial statements and reviewed Q1 2026 condensed interim financial statements. Figures in USD million at 1 USD = 3.6725 AED. The Δ% column compares 31 Mar 2026 with 31 Dec 2025 (balance sheet) and Q1 2026 with Q1 2025 (profit or loss / cash flows). FY2024 is a 12-month period; Q1 figures are 3-month interim.</w:t>
      </w:r>
    </w:p>
    <w:p w14:paraId="0C8E8589" w14:textId="77777777" w:rsidR="006F3662" w:rsidRDefault="00B42244">
      <w:pPr>
        <w:spacing w:before="140" w:after="70"/>
      </w:pPr>
      <w:r>
        <w:rPr>
          <w:b/>
          <w:bCs/>
          <w:color w:val="0B2D4D"/>
          <w:sz w:val="23"/>
          <w:szCs w:val="23"/>
        </w:rPr>
        <w:t>Consolidated Statement of Cash Flows (summary; USD million)</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type="dxa" w:w="1872"/>
            <w:shd w:val="clear" w:fill="D9D9D9"/>
          </w:tcPr>
          <w:p>
            <w:pPr>
              <w:spacing w:after="0" w:before="0"/>
            </w:pPr>
            <w:r/>
            <w:r>
              <w:rPr>
                <w:b/>
                <w:sz w:val="16"/>
              </w:rPr>
              <w:t>USD million</w:t>
            </w:r>
          </w:p>
        </w:tc>
        <w:tc>
          <w:tcPr>
            <w:tcW w:type="dxa" w:w="1872"/>
            <w:shd w:val="clear" w:fill="D9D9D9"/>
          </w:tcPr>
          <w:p>
            <w:pPr>
              <w:spacing w:after="0" w:before="0"/>
              <w:jc w:val="right"/>
            </w:pPr>
            <w:r/>
            <w:r>
              <w:rPr>
                <w:b/>
                <w:sz w:val="16"/>
              </w:rPr>
              <w:t>FY2024</w:t>
            </w:r>
          </w:p>
        </w:tc>
        <w:tc>
          <w:tcPr>
            <w:tcW w:type="dxa" w:w="1872"/>
            <w:shd w:val="clear" w:fill="D9D9D9"/>
          </w:tcPr>
          <w:p>
            <w:pPr>
              <w:spacing w:after="0" w:before="0"/>
              <w:jc w:val="right"/>
            </w:pPr>
            <w:r/>
            <w:r>
              <w:rPr>
                <w:b/>
                <w:sz w:val="16"/>
              </w:rPr>
              <w:t>Q1 2025</w:t>
            </w:r>
          </w:p>
        </w:tc>
        <w:tc>
          <w:tcPr>
            <w:tcW w:type="dxa" w:w="1872"/>
            <w:shd w:val="clear" w:fill="D9D9D9"/>
          </w:tcPr>
          <w:p>
            <w:pPr>
              <w:spacing w:after="0" w:before="0"/>
              <w:jc w:val="right"/>
            </w:pPr>
            <w:r/>
            <w:r>
              <w:rPr>
                <w:b/>
                <w:sz w:val="16"/>
              </w:rPr>
              <w:t>Q1 2026</w:t>
            </w:r>
          </w:p>
        </w:tc>
        <w:tc>
          <w:tcPr>
            <w:tcW w:type="dxa" w:w="1872"/>
            <w:shd w:val="clear" w:fill="D9D9D9"/>
          </w:tcPr>
          <w:p>
            <w:pPr>
              <w:spacing w:after="0" w:before="0"/>
              <w:jc w:val="right"/>
            </w:pPr>
            <w:r/>
            <w:r>
              <w:rPr>
                <w:b/>
                <w:sz w:val="16"/>
              </w:rPr>
              <w:t>Δ% YoY</w:t>
            </w:r>
          </w:p>
        </w:tc>
      </w:tr>
      <w:tr>
        <w:tc>
          <w:tcPr>
            <w:tcW w:type="dxa" w:w="1872"/>
          </w:tcPr>
          <w:p>
            <w:pPr>
              <w:spacing w:after="0" w:before="0"/>
            </w:pPr>
            <w:r/>
            <w:r>
              <w:rPr>
                <w:b w:val="0"/>
                <w:sz w:val="16"/>
              </w:rPr>
              <w:t>Profit before income tax</w:t>
            </w:r>
          </w:p>
        </w:tc>
        <w:tc>
          <w:tcPr>
            <w:tcW w:type="dxa" w:w="1872"/>
          </w:tcPr>
          <w:p>
            <w:pPr>
              <w:spacing w:after="0" w:before="0"/>
              <w:jc w:val="right"/>
            </w:pPr>
            <w:r/>
            <w:r>
              <w:rPr>
                <w:b w:val="0"/>
                <w:sz w:val="16"/>
              </w:rPr>
              <w:t>2,452.0</w:t>
            </w:r>
          </w:p>
        </w:tc>
        <w:tc>
          <w:tcPr>
            <w:tcW w:type="dxa" w:w="1872"/>
          </w:tcPr>
          <w:p>
            <w:pPr>
              <w:spacing w:after="0" w:before="0"/>
              <w:jc w:val="right"/>
            </w:pPr>
            <w:r/>
            <w:r>
              <w:rPr>
                <w:b w:val="0"/>
                <w:sz w:val="16"/>
              </w:rPr>
              <w:t>574.1</w:t>
            </w:r>
          </w:p>
        </w:tc>
        <w:tc>
          <w:tcPr>
            <w:tcW w:type="dxa" w:w="1872"/>
          </w:tcPr>
          <w:p>
            <w:pPr>
              <w:spacing w:after="0" w:before="0"/>
              <w:jc w:val="right"/>
            </w:pPr>
            <w:r/>
            <w:r>
              <w:rPr>
                <w:b w:val="0"/>
                <w:sz w:val="16"/>
              </w:rPr>
              <w:t>578.9</w:t>
            </w:r>
          </w:p>
        </w:tc>
        <w:tc>
          <w:tcPr>
            <w:tcW w:type="dxa" w:w="1872"/>
          </w:tcPr>
          <w:p>
            <w:pPr>
              <w:spacing w:after="0" w:before="0"/>
              <w:jc w:val="right"/>
            </w:pPr>
            <w:r/>
            <w:r>
              <w:rPr>
                <w:b w:val="0"/>
                <w:sz w:val="16"/>
              </w:rPr>
              <w:t>+0.8%</w:t>
            </w:r>
          </w:p>
        </w:tc>
      </w:tr>
      <w:tr>
        <w:tc>
          <w:tcPr>
            <w:tcW w:type="dxa" w:w="1872"/>
          </w:tcPr>
          <w:p>
            <w:pPr>
              <w:spacing w:after="0" w:before="0"/>
            </w:pPr>
            <w:r/>
            <w:r>
              <w:rPr>
                <w:b w:val="0"/>
                <w:sz w:val="16"/>
              </w:rPr>
              <w:t>Operating cash flow before working-capital changes</w:t>
            </w:r>
          </w:p>
        </w:tc>
        <w:tc>
          <w:tcPr>
            <w:tcW w:type="dxa" w:w="1872"/>
          </w:tcPr>
          <w:p>
            <w:pPr>
              <w:spacing w:after="0" w:before="0"/>
              <w:jc w:val="right"/>
            </w:pPr>
            <w:r/>
            <w:r>
              <w:rPr>
                <w:b w:val="0"/>
                <w:sz w:val="16"/>
              </w:rPr>
              <w:t>2,202.7</w:t>
            </w:r>
          </w:p>
        </w:tc>
        <w:tc>
          <w:tcPr>
            <w:tcW w:type="dxa" w:w="1872"/>
          </w:tcPr>
          <w:p>
            <w:pPr>
              <w:spacing w:after="0" w:before="0"/>
              <w:jc w:val="right"/>
            </w:pPr>
            <w:r/>
            <w:r>
              <w:rPr>
                <w:b w:val="0"/>
                <w:sz w:val="16"/>
              </w:rPr>
              <w:t>581.0</w:t>
            </w:r>
          </w:p>
        </w:tc>
        <w:tc>
          <w:tcPr>
            <w:tcW w:type="dxa" w:w="1872"/>
          </w:tcPr>
          <w:p>
            <w:pPr>
              <w:spacing w:after="0" w:before="0"/>
              <w:jc w:val="right"/>
            </w:pPr>
            <w:r/>
            <w:r>
              <w:rPr>
                <w:b w:val="0"/>
                <w:sz w:val="16"/>
              </w:rPr>
              <w:t>682.6</w:t>
            </w:r>
          </w:p>
        </w:tc>
        <w:tc>
          <w:tcPr>
            <w:tcW w:type="dxa" w:w="1872"/>
          </w:tcPr>
          <w:p>
            <w:pPr>
              <w:spacing w:after="0" w:before="0"/>
              <w:jc w:val="right"/>
            </w:pPr>
            <w:r/>
            <w:r>
              <w:rPr>
                <w:b w:val="0"/>
                <w:sz w:val="16"/>
              </w:rPr>
              <w:t>+17.5%</w:t>
            </w:r>
          </w:p>
        </w:tc>
      </w:tr>
      <w:tr>
        <w:tc>
          <w:tcPr>
            <w:tcW w:type="dxa" w:w="1872"/>
          </w:tcPr>
          <w:p>
            <w:pPr>
              <w:spacing w:after="0" w:before="0"/>
            </w:pPr>
            <w:r/>
            <w:r>
              <w:rPr>
                <w:b/>
                <w:sz w:val="16"/>
              </w:rPr>
              <w:t>Net cash from operating activities</w:t>
            </w:r>
          </w:p>
        </w:tc>
        <w:tc>
          <w:tcPr>
            <w:tcW w:type="dxa" w:w="1872"/>
          </w:tcPr>
          <w:p>
            <w:pPr>
              <w:spacing w:after="0" w:before="0"/>
              <w:jc w:val="right"/>
            </w:pPr>
            <w:r/>
            <w:r>
              <w:rPr>
                <w:b/>
                <w:sz w:val="16"/>
              </w:rPr>
              <w:t>2,832.3</w:t>
            </w:r>
          </w:p>
        </w:tc>
        <w:tc>
          <w:tcPr>
            <w:tcW w:type="dxa" w:w="1872"/>
          </w:tcPr>
          <w:p>
            <w:pPr>
              <w:spacing w:after="0" w:before="0"/>
              <w:jc w:val="right"/>
            </w:pPr>
            <w:r/>
            <w:r>
              <w:rPr>
                <w:b/>
                <w:sz w:val="16"/>
              </w:rPr>
              <w:t>2,470.1</w:t>
            </w:r>
          </w:p>
        </w:tc>
        <w:tc>
          <w:tcPr>
            <w:tcW w:type="dxa" w:w="1872"/>
          </w:tcPr>
          <w:p>
            <w:pPr>
              <w:spacing w:after="0" w:before="0"/>
              <w:jc w:val="right"/>
            </w:pPr>
            <w:r/>
            <w:r>
              <w:rPr>
                <w:b/>
                <w:sz w:val="16"/>
              </w:rPr>
              <w:t>2,621.4</w:t>
            </w:r>
          </w:p>
        </w:tc>
        <w:tc>
          <w:tcPr>
            <w:tcW w:type="dxa" w:w="1872"/>
          </w:tcPr>
          <w:p>
            <w:pPr>
              <w:spacing w:after="0" w:before="0"/>
              <w:jc w:val="right"/>
            </w:pPr>
            <w:r/>
            <w:r>
              <w:rPr>
                <w:b/>
                <w:sz w:val="16"/>
              </w:rPr>
              <w:t>+6.1%</w:t>
            </w:r>
          </w:p>
        </w:tc>
      </w:tr>
      <w:tr>
        <w:tc>
          <w:tcPr>
            <w:tcW w:type="dxa" w:w="1872"/>
          </w:tcPr>
          <w:p>
            <w:pPr>
              <w:spacing w:after="0" w:before="0"/>
            </w:pPr>
            <w:r/>
            <w:r>
              <w:rPr>
                <w:b/>
                <w:sz w:val="16"/>
              </w:rPr>
              <w:t>Net cash used in investing activities</w:t>
            </w:r>
          </w:p>
        </w:tc>
        <w:tc>
          <w:tcPr>
            <w:tcW w:type="dxa" w:w="1872"/>
          </w:tcPr>
          <w:p>
            <w:pPr>
              <w:spacing w:after="0" w:before="0"/>
              <w:jc w:val="right"/>
            </w:pPr>
            <w:r/>
            <w:r>
              <w:rPr>
                <w:b/>
                <w:sz w:val="16"/>
              </w:rPr>
              <w:t>(3,345.5)</w:t>
            </w:r>
          </w:p>
        </w:tc>
        <w:tc>
          <w:tcPr>
            <w:tcW w:type="dxa" w:w="1872"/>
          </w:tcPr>
          <w:p>
            <w:pPr>
              <w:spacing w:after="0" w:before="0"/>
              <w:jc w:val="right"/>
            </w:pPr>
            <w:r/>
            <w:r>
              <w:rPr>
                <w:b/>
                <w:sz w:val="16"/>
              </w:rPr>
              <w:t>(600.4)</w:t>
            </w:r>
          </w:p>
        </w:tc>
        <w:tc>
          <w:tcPr>
            <w:tcW w:type="dxa" w:w="1872"/>
          </w:tcPr>
          <w:p>
            <w:pPr>
              <w:spacing w:after="0" w:before="0"/>
              <w:jc w:val="right"/>
            </w:pPr>
            <w:r/>
            <w:r>
              <w:rPr>
                <w:b/>
                <w:sz w:val="16"/>
              </w:rPr>
              <w:t>(764.9)</w:t>
            </w:r>
          </w:p>
        </w:tc>
        <w:tc>
          <w:tcPr>
            <w:tcW w:type="dxa" w:w="1872"/>
          </w:tcPr>
          <w:p>
            <w:pPr>
              <w:spacing w:after="0" w:before="0"/>
              <w:jc w:val="right"/>
            </w:pPr>
            <w:r/>
            <w:r>
              <w:rPr>
                <w:b/>
                <w:sz w:val="16"/>
              </w:rPr>
              <w:t>+27.4%</w:t>
            </w:r>
          </w:p>
        </w:tc>
      </w:tr>
      <w:tr>
        <w:tc>
          <w:tcPr>
            <w:tcW w:type="dxa" w:w="1872"/>
          </w:tcPr>
          <w:p>
            <w:pPr>
              <w:spacing w:after="0" w:before="0"/>
            </w:pPr>
            <w:r/>
            <w:r>
              <w:rPr>
                <w:b/>
                <w:sz w:val="16"/>
              </w:rPr>
              <w:t>Net cash from / (used in) financing activities</w:t>
            </w:r>
          </w:p>
        </w:tc>
        <w:tc>
          <w:tcPr>
            <w:tcW w:type="dxa" w:w="1872"/>
          </w:tcPr>
          <w:p>
            <w:pPr>
              <w:spacing w:after="0" w:before="0"/>
              <w:jc w:val="right"/>
            </w:pPr>
            <w:r/>
            <w:r>
              <w:rPr>
                <w:b/>
                <w:sz w:val="16"/>
              </w:rPr>
              <w:t>477.5</w:t>
            </w:r>
          </w:p>
        </w:tc>
        <w:tc>
          <w:tcPr>
            <w:tcW w:type="dxa" w:w="1872"/>
          </w:tcPr>
          <w:p>
            <w:pPr>
              <w:spacing w:after="0" w:before="0"/>
              <w:jc w:val="right"/>
            </w:pPr>
            <w:r/>
            <w:r>
              <w:rPr>
                <w:b/>
                <w:sz w:val="16"/>
              </w:rPr>
              <w:t>(2,409.3)</w:t>
            </w:r>
          </w:p>
        </w:tc>
        <w:tc>
          <w:tcPr>
            <w:tcW w:type="dxa" w:w="1872"/>
          </w:tcPr>
          <w:p>
            <w:pPr>
              <w:spacing w:after="0" w:before="0"/>
              <w:jc w:val="right"/>
            </w:pPr>
            <w:r/>
            <w:r>
              <w:rPr>
                <w:b/>
                <w:sz w:val="16"/>
              </w:rPr>
              <w:t>(1,300.2)</w:t>
            </w:r>
          </w:p>
        </w:tc>
        <w:tc>
          <w:tcPr>
            <w:tcW w:type="dxa" w:w="1872"/>
          </w:tcPr>
          <w:p>
            <w:pPr>
              <w:spacing w:after="0" w:before="0"/>
              <w:jc w:val="right"/>
            </w:pPr>
            <w:r/>
            <w:r>
              <w:rPr>
                <w:b/>
                <w:sz w:val="16"/>
              </w:rPr>
              <w:t>−46.0%</w:t>
            </w:r>
          </w:p>
        </w:tc>
      </w:tr>
      <w:tr>
        <w:tc>
          <w:tcPr>
            <w:tcW w:type="dxa" w:w="1872"/>
          </w:tcPr>
          <w:p>
            <w:pPr>
              <w:spacing w:after="0" w:before="0"/>
            </w:pPr>
            <w:r/>
            <w:r>
              <w:rPr>
                <w:b/>
                <w:sz w:val="16"/>
              </w:rPr>
              <w:t>Net increase / (decrease) in cash and cash equivalents</w:t>
            </w:r>
          </w:p>
        </w:tc>
        <w:tc>
          <w:tcPr>
            <w:tcW w:type="dxa" w:w="1872"/>
          </w:tcPr>
          <w:p>
            <w:pPr>
              <w:spacing w:after="0" w:before="0"/>
              <w:jc w:val="right"/>
            </w:pPr>
            <w:r/>
            <w:r>
              <w:rPr>
                <w:b/>
                <w:sz w:val="16"/>
              </w:rPr>
              <w:t>(35.7)</w:t>
            </w:r>
          </w:p>
        </w:tc>
        <w:tc>
          <w:tcPr>
            <w:tcW w:type="dxa" w:w="1872"/>
          </w:tcPr>
          <w:p>
            <w:pPr>
              <w:spacing w:after="0" w:before="0"/>
              <w:jc w:val="right"/>
            </w:pPr>
            <w:r/>
            <w:r>
              <w:rPr>
                <w:b/>
                <w:sz w:val="16"/>
              </w:rPr>
              <w:t>(539.6)</w:t>
            </w:r>
          </w:p>
        </w:tc>
        <w:tc>
          <w:tcPr>
            <w:tcW w:type="dxa" w:w="1872"/>
          </w:tcPr>
          <w:p>
            <w:pPr>
              <w:spacing w:after="0" w:before="0"/>
              <w:jc w:val="right"/>
            </w:pPr>
            <w:r/>
            <w:r>
              <w:rPr>
                <w:b/>
                <w:sz w:val="16"/>
              </w:rPr>
              <w:t>556.2</w:t>
            </w:r>
          </w:p>
        </w:tc>
        <w:tc>
          <w:tcPr>
            <w:tcW w:type="dxa" w:w="1872"/>
          </w:tcPr>
          <w:p>
            <w:pPr>
              <w:spacing w:after="0" w:before="0"/>
              <w:jc w:val="right"/>
            </w:pPr>
            <w:r/>
            <w:r>
              <w:rPr>
                <w:b/>
                <w:sz w:val="16"/>
              </w:rPr>
              <w:t>n.m.</w:t>
            </w:r>
          </w:p>
        </w:tc>
      </w:tr>
      <w:tr>
        <w:tc>
          <w:tcPr>
            <w:tcW w:type="dxa" w:w="1872"/>
          </w:tcPr>
          <w:p>
            <w:pPr>
              <w:spacing w:after="0" w:before="0"/>
            </w:pPr>
            <w:r/>
            <w:r>
              <w:rPr>
                <w:b w:val="0"/>
                <w:sz w:val="16"/>
              </w:rPr>
              <w:t>Cash and cash equivalents, beginning of period</w:t>
            </w:r>
          </w:p>
        </w:tc>
        <w:tc>
          <w:tcPr>
            <w:tcW w:type="dxa" w:w="1872"/>
          </w:tcPr>
          <w:p>
            <w:pPr>
              <w:spacing w:after="0" w:before="0"/>
              <w:jc w:val="right"/>
            </w:pPr>
            <w:r/>
            <w:r>
              <w:rPr>
                <w:b w:val="0"/>
                <w:sz w:val="16"/>
              </w:rPr>
              <w:t>7,246.9</w:t>
            </w:r>
          </w:p>
        </w:tc>
        <w:tc>
          <w:tcPr>
            <w:tcW w:type="dxa" w:w="1872"/>
          </w:tcPr>
          <w:p>
            <w:pPr>
              <w:spacing w:after="0" w:before="0"/>
              <w:jc w:val="right"/>
            </w:pPr>
            <w:r/>
            <w:r>
              <w:rPr>
                <w:b w:val="0"/>
                <w:sz w:val="16"/>
              </w:rPr>
              <w:t>8,806.7</w:t>
            </w:r>
          </w:p>
        </w:tc>
        <w:tc>
          <w:tcPr>
            <w:tcW w:type="dxa" w:w="1872"/>
          </w:tcPr>
          <w:p>
            <w:pPr>
              <w:spacing w:after="0" w:before="0"/>
              <w:jc w:val="right"/>
            </w:pPr>
            <w:r/>
            <w:r>
              <w:rPr>
                <w:b w:val="0"/>
                <w:sz w:val="16"/>
              </w:rPr>
              <w:t>8,522.8</w:t>
            </w:r>
          </w:p>
        </w:tc>
        <w:tc>
          <w:tcPr>
            <w:tcW w:type="dxa" w:w="1872"/>
          </w:tcPr>
          <w:p>
            <w:pPr>
              <w:spacing w:after="0" w:before="0"/>
              <w:jc w:val="right"/>
            </w:pPr>
            <w:r/>
            <w:r>
              <w:rPr>
                <w:b w:val="0"/>
                <w:sz w:val="16"/>
              </w:rPr>
              <w:t>−3.2%</w:t>
            </w:r>
          </w:p>
        </w:tc>
      </w:tr>
      <w:tr>
        <w:tc>
          <w:tcPr>
            <w:tcW w:type="dxa" w:w="1872"/>
          </w:tcPr>
          <w:p>
            <w:pPr>
              <w:spacing w:after="0" w:before="0"/>
            </w:pPr>
            <w:r/>
            <w:r>
              <w:rPr>
                <w:b w:val="0"/>
                <w:sz w:val="16"/>
              </w:rPr>
              <w:t>Effect of exchange rate changes</w:t>
            </w:r>
          </w:p>
        </w:tc>
        <w:tc>
          <w:tcPr>
            <w:tcW w:type="dxa" w:w="1872"/>
          </w:tcPr>
          <w:p>
            <w:pPr>
              <w:spacing w:after="0" w:before="0"/>
              <w:jc w:val="right"/>
            </w:pPr>
            <w:r/>
            <w:r>
              <w:rPr>
                <w:b w:val="0"/>
                <w:sz w:val="16"/>
              </w:rPr>
              <w:t>1.4</w:t>
            </w:r>
          </w:p>
        </w:tc>
        <w:tc>
          <w:tcPr>
            <w:tcW w:type="dxa" w:w="1872"/>
          </w:tcPr>
          <w:p>
            <w:pPr>
              <w:spacing w:after="0" w:before="0"/>
              <w:jc w:val="right"/>
            </w:pPr>
            <w:r/>
            <w:r>
              <w:rPr>
                <w:b w:val="0"/>
                <w:sz w:val="16"/>
              </w:rPr>
              <w:t>(11.3)</w:t>
            </w:r>
          </w:p>
        </w:tc>
        <w:tc>
          <w:tcPr>
            <w:tcW w:type="dxa" w:w="1872"/>
          </w:tcPr>
          <w:p>
            <w:pPr>
              <w:spacing w:after="0" w:before="0"/>
              <w:jc w:val="right"/>
            </w:pPr>
            <w:r/>
            <w:r>
              <w:rPr>
                <w:b w:val="0"/>
                <w:sz w:val="16"/>
              </w:rPr>
              <w:t>(2.4)</w:t>
            </w:r>
          </w:p>
        </w:tc>
        <w:tc>
          <w:tcPr>
            <w:tcW w:type="dxa" w:w="1872"/>
          </w:tcPr>
          <w:p>
            <w:pPr>
              <w:spacing w:after="0" w:before="0"/>
              <w:jc w:val="right"/>
            </w:pPr>
            <w:r/>
            <w:r>
              <w:rPr>
                <w:b w:val="0"/>
                <w:sz w:val="16"/>
              </w:rPr>
              <w:t>−78.8%</w:t>
            </w:r>
          </w:p>
        </w:tc>
      </w:tr>
      <w:tr>
        <w:tc>
          <w:tcPr>
            <w:tcW w:type="dxa" w:w="1872"/>
          </w:tcPr>
          <w:p>
            <w:pPr>
              <w:spacing w:after="0" w:before="0"/>
            </w:pPr>
            <w:r/>
            <w:r>
              <w:rPr>
                <w:b/>
                <w:sz w:val="16"/>
              </w:rPr>
              <w:t>Cash and cash equivalents, end of period</w:t>
            </w:r>
          </w:p>
        </w:tc>
        <w:tc>
          <w:tcPr>
            <w:tcW w:type="dxa" w:w="1872"/>
          </w:tcPr>
          <w:p>
            <w:pPr>
              <w:spacing w:after="0" w:before="0"/>
              <w:jc w:val="right"/>
            </w:pPr>
            <w:r/>
            <w:r>
              <w:rPr>
                <w:b/>
                <w:sz w:val="16"/>
              </w:rPr>
              <w:t>7,212.5</w:t>
            </w:r>
          </w:p>
        </w:tc>
        <w:tc>
          <w:tcPr>
            <w:tcW w:type="dxa" w:w="1872"/>
          </w:tcPr>
          <w:p>
            <w:pPr>
              <w:spacing w:after="0" w:before="0"/>
              <w:jc w:val="right"/>
            </w:pPr>
            <w:r/>
            <w:r>
              <w:rPr>
                <w:b/>
                <w:sz w:val="16"/>
              </w:rPr>
              <w:t>8,255.8</w:t>
            </w:r>
          </w:p>
        </w:tc>
        <w:tc>
          <w:tcPr>
            <w:tcW w:type="dxa" w:w="1872"/>
          </w:tcPr>
          <w:p>
            <w:pPr>
              <w:spacing w:after="0" w:before="0"/>
              <w:jc w:val="right"/>
            </w:pPr>
            <w:r/>
            <w:r>
              <w:rPr>
                <w:b/>
                <w:sz w:val="16"/>
              </w:rPr>
              <w:t>9,076.7</w:t>
            </w:r>
          </w:p>
        </w:tc>
        <w:tc>
          <w:tcPr>
            <w:tcW w:type="dxa" w:w="1872"/>
          </w:tcPr>
          <w:p>
            <w:pPr>
              <w:spacing w:after="0" w:before="0"/>
              <w:jc w:val="right"/>
            </w:pPr>
            <w:r/>
            <w:r>
              <w:rPr>
                <w:b/>
                <w:sz w:val="16"/>
              </w:rPr>
              <w:t>+9.9%</w:t>
            </w:r>
          </w:p>
        </w:tc>
      </w:tr>
    </w:tbl>
    <w:p w14:paraId="10BF6C2F" w14:textId="77777777" w:rsidR="006F3662" w:rsidRDefault="00B42244">
      <w:pPr>
        <w:spacing w:after="120"/>
      </w:pPr>
      <w:r>
        <w:rPr>
          <w:i/>
          <w:iCs/>
          <w:color w:val="6B7280"/>
          <w:sz w:val="17"/>
          <w:szCs w:val="17"/>
        </w:rPr>
        <w:t>Source: DIB audited FY2024 financial statements and reviewed Q1 2026 condensed interim financial statements. Figures in USD million at 1 USD = 3.6725 AED; Δ% is Q1 2026 vs Q1 2025. FY2024 ending cash and the FY2025/Q1 opening cash differ owing to a subsequent refinement in the definition of cash and cash equivalents.</w:t>
      </w:r>
    </w:p>
    <w:p w14:paraId="1AA60EEF" w14:textId="77777777" w:rsidR="006F3662" w:rsidRDefault="00B42244">
      <w:pPr>
        <w:pStyle w:val="Heading2"/>
      </w:pPr>
      <w:r>
        <w:t>2.2 Financial Performance in 2025</w:t>
      </w:r>
    </w:p>
    <w:p w14:paraId="6F97A1B7" w14:textId="77777777" w:rsidR="006F3662" w:rsidRDefault="00B42244">
      <w:pPr>
        <w:spacing w:before="140" w:after="70"/>
      </w:pPr>
      <w:r>
        <w:rPr>
          <w:b/>
          <w:bCs/>
          <w:color w:val="0B2D4D"/>
          <w:sz w:val="23"/>
          <w:szCs w:val="23"/>
        </w:rPr>
        <w:t>Key Financial Highlights – FY2025 (from the Bank’s results release)</w:t>
      </w:r>
    </w:p>
    <w:p w14:paraId="2723E0D8" w14:textId="77777777" w:rsidR="006F3662" w:rsidRDefault="00B42244">
      <w:pPr>
        <w:pStyle w:val="ListParagraph"/>
        <w:numPr>
          <w:ilvl w:val="0"/>
          <w:numId w:val="2"/>
        </w:numPr>
        <w:spacing w:after="90" w:line="264" w:lineRule="auto"/>
      </w:pPr>
      <w:r>
        <w:t xml:space="preserve">Total Assets reached AED 416 billion, up a record </w:t>
      </w:r>
      <w:r>
        <w:rPr>
          <w:b/>
          <w:bCs/>
        </w:rPr>
        <w:t>21% YoY</w:t>
      </w:r>
      <w:r>
        <w:t xml:space="preserve"> — the strongest balance-sheet growth in years, well above the c.18% UAE sector average.</w:t>
      </w:r>
    </w:p>
    <w:p w14:paraId="26757F95" w14:textId="77777777" w:rsidR="006F3662" w:rsidRDefault="00B42244">
      <w:pPr>
        <w:pStyle w:val="ListParagraph"/>
        <w:numPr>
          <w:ilvl w:val="0"/>
          <w:numId w:val="2"/>
        </w:numPr>
        <w:spacing w:after="90" w:line="264" w:lineRule="auto"/>
      </w:pPr>
      <w:r>
        <w:t xml:space="preserve">Operating revenue reached AED 13.3 billion (+3% YoY); </w:t>
      </w:r>
      <w:r>
        <w:rPr>
          <w:b/>
          <w:bCs/>
        </w:rPr>
        <w:t>pre-tax profit grew 20% to AED 9.0 billion</w:t>
      </w:r>
      <w:r>
        <w:t xml:space="preserve"> on a normalised prior-year basis (the prior-year reported figure included large one-off provision releases). Reported net profit, after the higher full-year corporate-tax charge, was AED 7.81 billion.</w:t>
      </w:r>
    </w:p>
    <w:p w14:paraId="04AC4B0D" w14:textId="77777777" w:rsidR="006F3662" w:rsidRDefault="00B42244">
      <w:pPr>
        <w:pStyle w:val="ListParagraph"/>
        <w:numPr>
          <w:ilvl w:val="0"/>
          <w:numId w:val="2"/>
        </w:numPr>
        <w:spacing w:after="90" w:line="264" w:lineRule="auto"/>
      </w:pPr>
      <w:r>
        <w:t>Net financing assets rose 23% to AED 262 billion and the Sukuk book grew 10% to AED 91 billion; combined financing &amp; Sukuk reached AED 353 billion (+20%).</w:t>
      </w:r>
    </w:p>
    <w:p w14:paraId="60C7F5FB" w14:textId="77777777" w:rsidR="006F3662" w:rsidRDefault="00B42244">
      <w:pPr>
        <w:pStyle w:val="ListParagraph"/>
        <w:numPr>
          <w:ilvl w:val="0"/>
          <w:numId w:val="2"/>
        </w:numPr>
        <w:spacing w:after="90" w:line="264" w:lineRule="auto"/>
      </w:pPr>
      <w:r>
        <w:t>Customer deposits surged 29% to AED 320 billion, with CASA up 17% to AED 110 billion — a structurally low-cost funding base.</w:t>
      </w:r>
    </w:p>
    <w:p w14:paraId="72348A3A" w14:textId="77777777" w:rsidR="006F3662" w:rsidRDefault="00B42244">
      <w:pPr>
        <w:pStyle w:val="ListParagraph"/>
        <w:numPr>
          <w:ilvl w:val="0"/>
          <w:numId w:val="2"/>
        </w:numPr>
        <w:spacing w:after="90" w:line="264" w:lineRule="auto"/>
      </w:pPr>
      <w:r>
        <w:t xml:space="preserve">Asset quality reached a multi-year best: </w:t>
      </w:r>
      <w:r>
        <w:rPr>
          <w:b/>
          <w:bCs/>
        </w:rPr>
        <w:t>NPF ratio improved 135 bps to 2.65%</w:t>
      </w:r>
      <w:r>
        <w:t>, cost of risk just 14 bps, cash coverage 120% and total coverage 160%.</w:t>
      </w:r>
    </w:p>
    <w:p w14:paraId="64A7D06C" w14:textId="77777777" w:rsidR="006F3662" w:rsidRDefault="00B42244">
      <w:pPr>
        <w:pStyle w:val="ListParagraph"/>
        <w:numPr>
          <w:ilvl w:val="0"/>
          <w:numId w:val="2"/>
        </w:numPr>
        <w:spacing w:after="90" w:line="264" w:lineRule="auto"/>
      </w:pPr>
      <w:r>
        <w:t>Capital and liquidity remained sound: CET1 12.3%, Tier 1 14.8%, CAR 15.5%, LCR 157%, NSFR 108.8%. A proposed dividend of 35 fils/share was approved (AED 2.53 billion).</w:t>
      </w:r>
    </w:p>
    <w:p w14:paraId="14F3BB18" w14:textId="77777777" w:rsidR="006F3662" w:rsidRDefault="00B42244">
      <w:pPr>
        <w:spacing w:before="140" w:after="70"/>
      </w:pPr>
      <w:r>
        <w:rPr>
          <w:b/>
          <w:bCs/>
          <w:color w:val="0B2D4D"/>
          <w:sz w:val="23"/>
          <w:szCs w:val="23"/>
        </w:rPr>
        <w:t>Income statement</w:t>
      </w:r>
    </w:p>
    <w:p w14:paraId="655D44DC" w14:textId="77777777" w:rsidR="006F3662" w:rsidRDefault="00B42244">
      <w:pPr>
        <w:spacing w:after="120" w:line="264" w:lineRule="auto"/>
      </w:pPr>
      <w:r>
        <w:t>FY2025 net operating revenue rose 3% to AED 13.25 billion and pre-impairment operating profit reached AED 9.49 billion. Reported pre-tax profit held at AED 9.0 billion (up 20% on a normalised prior-year basis, the prior year having benefited from large one-off provision releases). Revenue quality improved, with non-funded income at c.AED 4.3 billion; the cost-to-income ratio was contained at 28.4% and impairment charges stayed low at AED 485 million. Reported net profit eased to AED 7.81 billion on a higher</w:t>
      </w:r>
      <w:r>
        <w:t xml:space="preserve"> full-year corporate-tax charge of AED 1.20 billion. Full line-item detail is in the statement of profit or loss in section 2.1.</w:t>
      </w:r>
    </w:p>
    <w:p w14:paraId="46278E27" w14:textId="77777777" w:rsidR="006F3662" w:rsidRDefault="00B42244">
      <w:pPr>
        <w:spacing w:before="140" w:after="70"/>
      </w:pPr>
      <w:r>
        <w:rPr>
          <w:b/>
          <w:bCs/>
          <w:color w:val="0B2D4D"/>
          <w:sz w:val="23"/>
          <w:szCs w:val="23"/>
        </w:rPr>
        <w:t>Balance sheet</w:t>
      </w:r>
    </w:p>
    <w:p w14:paraId="76854D06" w14:textId="77777777" w:rsidR="006F3662" w:rsidRDefault="00B42244">
      <w:pPr>
        <w:spacing w:after="120" w:line="264" w:lineRule="auto"/>
      </w:pPr>
      <w:r>
        <w:t>The balance sheet expanded 21% to AED 416 billion, the fastest pace in years, driven by broad-based growth across consumer, local-corporate and cross-border businesses (AED 124 billion of new gross financing &amp; Sukuk, +80% YoY). Funding kept pace, with deposits up 29% to AED 320 billion materially outpacing financing growth and reinforcing an already strong liquidity position. Total equity rose modestly to AED 53.1 billion after a AED 2.75 billion Tier 1 Sukuk redemption and dividend distribution, with retai</w:t>
      </w:r>
      <w:r>
        <w:t>ned earnings climbing to AED 22.4 billion.</w:t>
      </w:r>
    </w:p>
    <w:p w14:paraId="72E8DDBB" w14:textId="77777777" w:rsidR="006F3662" w:rsidRDefault="00B42244">
      <w:pPr>
        <w:spacing w:before="140" w:after="70"/>
      </w:pPr>
      <w:r>
        <w:rPr>
          <w:b/>
          <w:bCs/>
          <w:color w:val="0B2D4D"/>
          <w:sz w:val="23"/>
          <w:szCs w:val="23"/>
        </w:rPr>
        <w:t>Cash flows</w:t>
      </w:r>
    </w:p>
    <w:p w14:paraId="6A8F4731" w14:textId="77777777" w:rsidR="006F3662" w:rsidRDefault="00B42244">
      <w:pPr>
        <w:spacing w:after="120" w:line="264" w:lineRule="auto"/>
      </w:pPr>
      <w:r>
        <w:t xml:space="preserve">Operating cash generation remained strong in FY2025. Net cash from operating activities was AED 13.0 billion, driven by AED 8.6 billion of pre-working-capital operating cash flow and a very large customer-deposit inflow that funded the increase in financing assets. Net cash used in investing was AED 7.8 billion (mainly net Sukuk additions), and financing activities used AED 6.2 billion (Tier 1 Sukuk redemption, Sukuk repayment, dividends and Zakat). Period-end cash and cash equivalents </w:t>
      </w:r>
      <w:r>
        <w:lastRenderedPageBreak/>
        <w:t>stood at AED 31.3 billion. The bank does not separately disclose an interim cash-flow statement for Q1 2026; liquidity nonetheless remained strong through the quarter (LCR 121%, NSFR 106%).</w:t>
      </w:r>
    </w:p>
    <w:p w14:paraId="15AB112C" w14:textId="77777777" w:rsidR="006F3662" w:rsidRDefault="00B42244">
      <w:pPr>
        <w:pStyle w:val="Heading2"/>
      </w:pPr>
      <w:r>
        <w:t>2.3 Financial Performance in Q1 2026</w:t>
      </w:r>
    </w:p>
    <w:p w14:paraId="5EBE8DD0" w14:textId="77777777" w:rsidR="006F3662" w:rsidRDefault="00B42244">
      <w:pPr>
        <w:spacing w:after="120" w:line="264" w:lineRule="auto"/>
      </w:pPr>
      <w:r>
        <w:t>Q1 2026 was the first reporting period to fall within the Iran-war environment that began in late February 2026. DIB delivered a resilient start: operating revenue rose 13% YoY to AED 3.55 billion and operating profit 12% to AED 2.55 billion, though bottom-line growth was capped by a lower profit-rate environment and a deliberately more cautious provisioning stance.</w:t>
      </w:r>
    </w:p>
    <w:p w14:paraId="4F5353AE" w14:textId="77777777" w:rsidR="006F3662" w:rsidRDefault="00B42244">
      <w:pPr>
        <w:pStyle w:val="ListParagraph"/>
        <w:numPr>
          <w:ilvl w:val="0"/>
          <w:numId w:val="2"/>
        </w:numPr>
        <w:spacing w:after="90" w:line="264" w:lineRule="auto"/>
      </w:pPr>
      <w:r>
        <w:t>Pre-tax profit of AED 2.13 billion (+1% YoY) and net profit of AED 1.80 billion (broadly flat vs Q1 2025’s AED 1.80 billion); pre-tax RoTE of 21%.</w:t>
      </w:r>
    </w:p>
    <w:p w14:paraId="4ABE225C" w14:textId="77777777" w:rsidR="006F3662" w:rsidRDefault="00B42244">
      <w:pPr>
        <w:pStyle w:val="ListParagraph"/>
        <w:numPr>
          <w:ilvl w:val="0"/>
          <w:numId w:val="2"/>
        </w:numPr>
        <w:spacing w:after="90" w:line="264" w:lineRule="auto"/>
      </w:pPr>
      <w:r>
        <w:t>Revenue mix strengthened: non-funded income surged 30% YoY to AED 1.25 billion and funded income rose 5% to AED 2.30 billion; cost-to-income held at 28.2%.</w:t>
      </w:r>
    </w:p>
    <w:p w14:paraId="7B390FB1" w14:textId="77777777" w:rsidR="006F3662" w:rsidRDefault="00B42244">
      <w:pPr>
        <w:pStyle w:val="ListParagraph"/>
        <w:numPr>
          <w:ilvl w:val="0"/>
          <w:numId w:val="2"/>
        </w:numPr>
        <w:spacing w:after="90" w:line="264" w:lineRule="auto"/>
      </w:pPr>
      <w:r>
        <w:t>Total assets reached AED 419.9 billion (≈ AED 420 billion); net financing &amp; Sukuk investments grew 3% YTD to AED 364 billion; customer deposits rose to AED 322 billion (+1% YTD), with current &amp; savings (CASA) balances up c.AED 4 billion even as higher-cost term deposits were allowed to run off.</w:t>
      </w:r>
    </w:p>
    <w:p w14:paraId="571BE532" w14:textId="77777777" w:rsidR="006F3662" w:rsidRDefault="00B42244">
      <w:pPr>
        <w:pStyle w:val="ListParagraph"/>
        <w:numPr>
          <w:ilvl w:val="0"/>
          <w:numId w:val="2"/>
        </w:numPr>
        <w:spacing w:after="90" w:line="264" w:lineRule="auto"/>
      </w:pPr>
      <w:r>
        <w:t>Asset quality improved further: NPF ratio down 14 bps YTD to 2.5%. Net profit margin narrowed c.40 bps to 2.5% on lower rates, and the bank increased provisioning amid softer recoveries — a prudent response to the regional environment.</w:t>
      </w:r>
    </w:p>
    <w:p w14:paraId="64349E95" w14:textId="77777777" w:rsidR="006F3662" w:rsidRDefault="00B42244">
      <w:pPr>
        <w:pStyle w:val="ListParagraph"/>
        <w:numPr>
          <w:ilvl w:val="0"/>
          <w:numId w:val="2"/>
        </w:numPr>
        <w:spacing w:after="90" w:line="264" w:lineRule="auto"/>
      </w:pPr>
      <w:r>
        <w:t>Capital and liquidity stayed sound: CET1 12.6%, CAR 15.8%, LCR 121% and NSFR 106% — all comfortably above regulatory minima.</w:t>
      </w:r>
    </w:p>
    <w:p w14:paraId="51B497CA" w14:textId="77777777" w:rsidR="006F3662" w:rsidRDefault="00B42244">
      <w:pPr>
        <w:pStyle w:val="Heading2"/>
      </w:pPr>
      <w:r>
        <w:t>2.4 KPIs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60"/>
        <w:gridCol w:w="1300"/>
        <w:gridCol w:w="1300"/>
        <w:gridCol w:w="1300"/>
        <w:gridCol w:w="1600"/>
      </w:tblGrid>
      <w:tr w:rsidR="006F3662" w14:paraId="6F894BD3" w14:textId="77777777">
        <w:tblPrEx>
          <w:tblCellMar>
            <w:top w:w="0" w:type="dxa"/>
            <w:bottom w:w="0" w:type="dxa"/>
          </w:tblCellMar>
        </w:tblPrEx>
        <w:trPr>
          <w:tblHeader/>
        </w:trPr>
        <w:tc>
          <w:tcPr>
            <w:tcW w:w="170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182FFC2C" w14:textId="77777777" w:rsidR="006F3662" w:rsidRDefault="006F3662"/>
        </w:tc>
        <w:tc>
          <w:tcPr>
            <w:tcW w:w="216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03E9EB05" w14:textId="77777777" w:rsidR="006F3662" w:rsidRDefault="00B42244">
            <w:pPr>
              <w:jc w:val="center"/>
            </w:pPr>
            <w:r>
              <w:rPr>
                <w:b/>
                <w:bCs/>
                <w:color w:val="FFFFFF"/>
                <w:sz w:val="19"/>
                <w:szCs w:val="19"/>
              </w:rPr>
              <w:t>Item</w:t>
            </w:r>
          </w:p>
        </w:tc>
        <w:tc>
          <w:tcPr>
            <w:tcW w:w="130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3FE9D9C9" w14:textId="77777777" w:rsidR="006F3662" w:rsidRDefault="00B42244">
            <w:pPr>
              <w:jc w:val="center"/>
            </w:pPr>
            <w:r>
              <w:rPr>
                <w:b/>
                <w:bCs/>
                <w:color w:val="FFFFFF"/>
                <w:sz w:val="19"/>
                <w:szCs w:val="19"/>
              </w:rPr>
              <w:t>2023</w:t>
            </w:r>
          </w:p>
        </w:tc>
        <w:tc>
          <w:tcPr>
            <w:tcW w:w="130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0954CBFD" w14:textId="77777777" w:rsidR="006F3662" w:rsidRDefault="00B42244">
            <w:pPr>
              <w:jc w:val="center"/>
            </w:pPr>
            <w:r>
              <w:rPr>
                <w:b/>
                <w:bCs/>
                <w:color w:val="FFFFFF"/>
                <w:sz w:val="19"/>
                <w:szCs w:val="19"/>
              </w:rPr>
              <w:t>2024</w:t>
            </w:r>
          </w:p>
        </w:tc>
        <w:tc>
          <w:tcPr>
            <w:tcW w:w="130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152265D4" w14:textId="77777777" w:rsidR="006F3662" w:rsidRDefault="00B42244">
            <w:pPr>
              <w:jc w:val="center"/>
            </w:pPr>
            <w:r>
              <w:rPr>
                <w:b/>
                <w:bCs/>
                <w:color w:val="FFFFFF"/>
                <w:sz w:val="19"/>
                <w:szCs w:val="19"/>
              </w:rPr>
              <w:t>2025</w:t>
            </w:r>
          </w:p>
        </w:tc>
        <w:tc>
          <w:tcPr>
            <w:tcW w:w="160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63A94357" w14:textId="77777777" w:rsidR="006F3662" w:rsidRDefault="00B42244">
            <w:pPr>
              <w:jc w:val="center"/>
            </w:pPr>
            <w:r>
              <w:rPr>
                <w:b/>
                <w:bCs/>
                <w:color w:val="FFFFFF"/>
                <w:sz w:val="19"/>
                <w:szCs w:val="19"/>
              </w:rPr>
              <w:t>Q1 2026</w:t>
            </w:r>
          </w:p>
        </w:tc>
      </w:tr>
      <w:tr w:rsidR="006F3662" w14:paraId="672A61B2" w14:textId="77777777">
        <w:tblPrEx>
          <w:tblCellMar>
            <w:top w:w="0" w:type="dxa"/>
            <w:bottom w:w="0" w:type="dxa"/>
          </w:tblCellMar>
        </w:tblPrEx>
        <w:tc>
          <w:tcPr>
            <w:tcW w:w="17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012EDB16" w14:textId="77777777" w:rsidR="006F3662" w:rsidRDefault="00B42244">
            <w:r>
              <w:rPr>
                <w:b/>
                <w:bCs/>
                <w:color w:val="1F7A8C"/>
                <w:sz w:val="19"/>
                <w:szCs w:val="19"/>
              </w:rPr>
              <w:t>Profitability</w:t>
            </w:r>
          </w:p>
        </w:tc>
        <w:tc>
          <w:tcPr>
            <w:tcW w:w="216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7D979129" w14:textId="77777777" w:rsidR="006F3662" w:rsidRDefault="00B42244">
            <w:r>
              <w:rPr>
                <w:color w:val="222222"/>
                <w:sz w:val="19"/>
                <w:szCs w:val="19"/>
              </w:rPr>
              <w:t>Pre-tax profit (AED bn)</w:t>
            </w:r>
          </w:p>
        </w:tc>
        <w:tc>
          <w:tcPr>
            <w:tcW w:w="13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3AA8DE9D" w14:textId="77777777" w:rsidR="006F3662" w:rsidRDefault="00B42244">
            <w:pPr>
              <w:jc w:val="center"/>
            </w:pPr>
            <w:r>
              <w:rPr>
                <w:color w:val="222222"/>
                <w:sz w:val="19"/>
                <w:szCs w:val="19"/>
              </w:rPr>
              <w:t>7.1</w:t>
            </w:r>
          </w:p>
        </w:tc>
        <w:tc>
          <w:tcPr>
            <w:tcW w:w="13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7B70F0B1" w14:textId="77777777" w:rsidR="006F3662" w:rsidRDefault="00B42244">
            <w:pPr>
              <w:jc w:val="center"/>
            </w:pPr>
            <w:r>
              <w:rPr>
                <w:color w:val="222222"/>
                <w:sz w:val="19"/>
                <w:szCs w:val="19"/>
              </w:rPr>
              <w:t>9.0</w:t>
            </w:r>
          </w:p>
        </w:tc>
        <w:tc>
          <w:tcPr>
            <w:tcW w:w="13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36CEB754" w14:textId="77777777" w:rsidR="006F3662" w:rsidRDefault="00B42244">
            <w:pPr>
              <w:jc w:val="center"/>
            </w:pPr>
            <w:r>
              <w:rPr>
                <w:color w:val="222222"/>
                <w:sz w:val="19"/>
                <w:szCs w:val="19"/>
              </w:rPr>
              <w:t>9.0</w:t>
            </w:r>
          </w:p>
        </w:tc>
        <w:tc>
          <w:tcPr>
            <w:tcW w:w="16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335BE343" w14:textId="77777777" w:rsidR="006F3662" w:rsidRDefault="00B42244">
            <w:pPr>
              <w:jc w:val="center"/>
            </w:pPr>
            <w:r>
              <w:rPr>
                <w:b/>
                <w:bCs/>
                <w:color w:val="222222"/>
                <w:sz w:val="19"/>
                <w:szCs w:val="19"/>
              </w:rPr>
              <w:t>2.1</w:t>
            </w:r>
          </w:p>
        </w:tc>
      </w:tr>
      <w:tr w:rsidR="006F3662" w14:paraId="18519AED" w14:textId="77777777">
        <w:tblPrEx>
          <w:tblCellMar>
            <w:top w:w="0" w:type="dxa"/>
            <w:bottom w:w="0" w:type="dxa"/>
          </w:tblCellMar>
        </w:tblPrEx>
        <w:tc>
          <w:tcPr>
            <w:tcW w:w="17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5FF2DA21" w14:textId="77777777" w:rsidR="006F3662" w:rsidRDefault="006F3662"/>
        </w:tc>
        <w:tc>
          <w:tcPr>
            <w:tcW w:w="216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02A7167C" w14:textId="77777777" w:rsidR="006F3662" w:rsidRDefault="00B42244">
            <w:r>
              <w:rPr>
                <w:color w:val="222222"/>
                <w:sz w:val="19"/>
                <w:szCs w:val="19"/>
              </w:rPr>
              <w:t>Net profit – group (AED bn)</w:t>
            </w:r>
          </w:p>
        </w:tc>
        <w:tc>
          <w:tcPr>
            <w:tcW w:w="13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5F163523" w14:textId="77777777" w:rsidR="006F3662" w:rsidRDefault="00B42244">
            <w:pPr>
              <w:jc w:val="center"/>
            </w:pPr>
            <w:r>
              <w:rPr>
                <w:color w:val="222222"/>
                <w:sz w:val="19"/>
                <w:szCs w:val="19"/>
              </w:rPr>
              <w:t>7.0</w:t>
            </w:r>
          </w:p>
        </w:tc>
        <w:tc>
          <w:tcPr>
            <w:tcW w:w="13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7201725B" w14:textId="77777777" w:rsidR="006F3662" w:rsidRDefault="00B42244">
            <w:pPr>
              <w:jc w:val="center"/>
            </w:pPr>
            <w:r>
              <w:rPr>
                <w:color w:val="222222"/>
                <w:sz w:val="19"/>
                <w:szCs w:val="19"/>
              </w:rPr>
              <w:t>8.17</w:t>
            </w:r>
          </w:p>
        </w:tc>
        <w:tc>
          <w:tcPr>
            <w:tcW w:w="13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3C8CFA74" w14:textId="77777777" w:rsidR="006F3662" w:rsidRDefault="00B42244">
            <w:pPr>
              <w:jc w:val="center"/>
            </w:pPr>
            <w:r>
              <w:rPr>
                <w:color w:val="222222"/>
                <w:sz w:val="19"/>
                <w:szCs w:val="19"/>
              </w:rPr>
              <w:t>7.81</w:t>
            </w:r>
          </w:p>
        </w:tc>
        <w:tc>
          <w:tcPr>
            <w:tcW w:w="16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0771157A" w14:textId="77777777" w:rsidR="006F3662" w:rsidRDefault="00B42244">
            <w:pPr>
              <w:jc w:val="center"/>
            </w:pPr>
            <w:r>
              <w:rPr>
                <w:b/>
                <w:bCs/>
                <w:color w:val="222222"/>
                <w:sz w:val="19"/>
                <w:szCs w:val="19"/>
              </w:rPr>
              <w:t>1.80</w:t>
            </w:r>
          </w:p>
        </w:tc>
      </w:tr>
      <w:tr w:rsidR="006F3662" w14:paraId="457D1B10" w14:textId="77777777">
        <w:tblPrEx>
          <w:tblCellMar>
            <w:top w:w="0" w:type="dxa"/>
            <w:bottom w:w="0" w:type="dxa"/>
          </w:tblCellMar>
        </w:tblPrEx>
        <w:tc>
          <w:tcPr>
            <w:tcW w:w="17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0DB13305" w14:textId="77777777" w:rsidR="006F3662" w:rsidRDefault="006F3662"/>
        </w:tc>
        <w:tc>
          <w:tcPr>
            <w:tcW w:w="216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61FEEDC7" w14:textId="77777777" w:rsidR="006F3662" w:rsidRDefault="00B42244">
            <w:r>
              <w:rPr>
                <w:color w:val="222222"/>
                <w:sz w:val="19"/>
                <w:szCs w:val="19"/>
              </w:rPr>
              <w:t>Net profit margin</w:t>
            </w:r>
          </w:p>
        </w:tc>
        <w:tc>
          <w:tcPr>
            <w:tcW w:w="13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0BF4D685" w14:textId="77777777" w:rsidR="006F3662" w:rsidRDefault="00B42244">
            <w:pPr>
              <w:jc w:val="center"/>
            </w:pPr>
            <w:r>
              <w:rPr>
                <w:color w:val="222222"/>
                <w:sz w:val="19"/>
                <w:szCs w:val="19"/>
              </w:rPr>
              <w:t>3.1%</w:t>
            </w:r>
          </w:p>
        </w:tc>
        <w:tc>
          <w:tcPr>
            <w:tcW w:w="13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4AD65D05" w14:textId="77777777" w:rsidR="006F3662" w:rsidRDefault="00B42244">
            <w:pPr>
              <w:jc w:val="center"/>
            </w:pPr>
            <w:r>
              <w:rPr>
                <w:color w:val="222222"/>
                <w:sz w:val="19"/>
                <w:szCs w:val="19"/>
              </w:rPr>
              <w:t>3.0%</w:t>
            </w:r>
          </w:p>
        </w:tc>
        <w:tc>
          <w:tcPr>
            <w:tcW w:w="13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1CBB6535" w14:textId="77777777" w:rsidR="006F3662" w:rsidRDefault="00B42244">
            <w:pPr>
              <w:jc w:val="center"/>
            </w:pPr>
            <w:r>
              <w:rPr>
                <w:color w:val="222222"/>
                <w:sz w:val="19"/>
                <w:szCs w:val="19"/>
              </w:rPr>
              <w:t>2.7%</w:t>
            </w:r>
          </w:p>
        </w:tc>
        <w:tc>
          <w:tcPr>
            <w:tcW w:w="16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5C26544E" w14:textId="77777777" w:rsidR="006F3662" w:rsidRDefault="00B42244">
            <w:pPr>
              <w:jc w:val="center"/>
            </w:pPr>
            <w:r>
              <w:rPr>
                <w:b/>
                <w:bCs/>
                <w:color w:val="222222"/>
                <w:sz w:val="19"/>
                <w:szCs w:val="19"/>
              </w:rPr>
              <w:t>2.5%</w:t>
            </w:r>
          </w:p>
        </w:tc>
      </w:tr>
      <w:tr w:rsidR="006F3662" w14:paraId="653B403D" w14:textId="77777777">
        <w:tblPrEx>
          <w:tblCellMar>
            <w:top w:w="0" w:type="dxa"/>
            <w:bottom w:w="0" w:type="dxa"/>
          </w:tblCellMar>
        </w:tblPrEx>
        <w:tc>
          <w:tcPr>
            <w:tcW w:w="17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6B840FC6" w14:textId="77777777" w:rsidR="006F3662" w:rsidRDefault="006F3662"/>
        </w:tc>
        <w:tc>
          <w:tcPr>
            <w:tcW w:w="216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445E0C66" w14:textId="77777777" w:rsidR="006F3662" w:rsidRDefault="00B42244">
            <w:r>
              <w:rPr>
                <w:color w:val="222222"/>
                <w:sz w:val="19"/>
                <w:szCs w:val="19"/>
              </w:rPr>
              <w:t>Cost-to-income</w:t>
            </w:r>
          </w:p>
        </w:tc>
        <w:tc>
          <w:tcPr>
            <w:tcW w:w="13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670E8D6E" w14:textId="77777777" w:rsidR="006F3662" w:rsidRDefault="00B42244">
            <w:pPr>
              <w:jc w:val="center"/>
            </w:pPr>
            <w:r>
              <w:rPr>
                <w:color w:val="222222"/>
                <w:sz w:val="19"/>
                <w:szCs w:val="19"/>
              </w:rPr>
              <w:t>27.1%</w:t>
            </w:r>
          </w:p>
        </w:tc>
        <w:tc>
          <w:tcPr>
            <w:tcW w:w="13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34548FC6" w14:textId="77777777" w:rsidR="006F3662" w:rsidRDefault="00B42244">
            <w:pPr>
              <w:jc w:val="center"/>
            </w:pPr>
            <w:r>
              <w:rPr>
                <w:color w:val="222222"/>
                <w:sz w:val="19"/>
                <w:szCs w:val="19"/>
              </w:rPr>
              <w:t>26.7%</w:t>
            </w:r>
          </w:p>
        </w:tc>
        <w:tc>
          <w:tcPr>
            <w:tcW w:w="13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2B1C7E77" w14:textId="77777777" w:rsidR="006F3662" w:rsidRDefault="00B42244">
            <w:pPr>
              <w:jc w:val="center"/>
            </w:pPr>
            <w:r>
              <w:rPr>
                <w:color w:val="222222"/>
                <w:sz w:val="19"/>
                <w:szCs w:val="19"/>
              </w:rPr>
              <w:t>28.4%</w:t>
            </w:r>
          </w:p>
        </w:tc>
        <w:tc>
          <w:tcPr>
            <w:tcW w:w="16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7F2C6568" w14:textId="77777777" w:rsidR="006F3662" w:rsidRDefault="00B42244">
            <w:pPr>
              <w:jc w:val="center"/>
            </w:pPr>
            <w:r>
              <w:rPr>
                <w:b/>
                <w:bCs/>
                <w:color w:val="222222"/>
                <w:sz w:val="19"/>
                <w:szCs w:val="19"/>
              </w:rPr>
              <w:t>28.2%</w:t>
            </w:r>
          </w:p>
        </w:tc>
      </w:tr>
      <w:tr w:rsidR="006F3662" w14:paraId="6446B927" w14:textId="77777777">
        <w:tblPrEx>
          <w:tblCellMar>
            <w:top w:w="0" w:type="dxa"/>
            <w:bottom w:w="0" w:type="dxa"/>
          </w:tblCellMar>
        </w:tblPrEx>
        <w:tc>
          <w:tcPr>
            <w:tcW w:w="17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2D1C4EEF" w14:textId="77777777" w:rsidR="006F3662" w:rsidRDefault="00B42244">
            <w:r>
              <w:rPr>
                <w:b/>
                <w:bCs/>
                <w:color w:val="1F7A8C"/>
                <w:sz w:val="19"/>
                <w:szCs w:val="19"/>
              </w:rPr>
              <w:t>Credit Quality</w:t>
            </w:r>
          </w:p>
        </w:tc>
        <w:tc>
          <w:tcPr>
            <w:tcW w:w="216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320CFA72" w14:textId="77777777" w:rsidR="006F3662" w:rsidRDefault="00B42244">
            <w:r>
              <w:rPr>
                <w:color w:val="222222"/>
                <w:sz w:val="19"/>
                <w:szCs w:val="19"/>
              </w:rPr>
              <w:t>NPF ratio</w:t>
            </w:r>
          </w:p>
        </w:tc>
        <w:tc>
          <w:tcPr>
            <w:tcW w:w="13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36F0B62A" w14:textId="77777777" w:rsidR="006F3662" w:rsidRDefault="00B42244">
            <w:pPr>
              <w:jc w:val="center"/>
            </w:pPr>
            <w:r>
              <w:rPr>
                <w:color w:val="222222"/>
                <w:sz w:val="19"/>
                <w:szCs w:val="19"/>
              </w:rPr>
              <w:t>5.4%</w:t>
            </w:r>
          </w:p>
        </w:tc>
        <w:tc>
          <w:tcPr>
            <w:tcW w:w="13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4B893F6D" w14:textId="77777777" w:rsidR="006F3662" w:rsidRDefault="00B42244">
            <w:pPr>
              <w:jc w:val="center"/>
            </w:pPr>
            <w:r>
              <w:rPr>
                <w:color w:val="222222"/>
                <w:sz w:val="19"/>
                <w:szCs w:val="19"/>
              </w:rPr>
              <w:t>4.0%</w:t>
            </w:r>
          </w:p>
        </w:tc>
        <w:tc>
          <w:tcPr>
            <w:tcW w:w="13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6B530E17" w14:textId="77777777" w:rsidR="006F3662" w:rsidRDefault="00B42244">
            <w:pPr>
              <w:jc w:val="center"/>
            </w:pPr>
            <w:r>
              <w:rPr>
                <w:color w:val="222222"/>
                <w:sz w:val="19"/>
                <w:szCs w:val="19"/>
              </w:rPr>
              <w:t>2.65%</w:t>
            </w:r>
          </w:p>
        </w:tc>
        <w:tc>
          <w:tcPr>
            <w:tcW w:w="16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6C506BDC" w14:textId="77777777" w:rsidR="006F3662" w:rsidRDefault="00B42244">
            <w:pPr>
              <w:jc w:val="center"/>
            </w:pPr>
            <w:r>
              <w:rPr>
                <w:b/>
                <w:bCs/>
                <w:color w:val="222222"/>
                <w:sz w:val="19"/>
                <w:szCs w:val="19"/>
              </w:rPr>
              <w:t>2.5%</w:t>
            </w:r>
          </w:p>
        </w:tc>
      </w:tr>
      <w:tr w:rsidR="006F3662" w14:paraId="52B94218" w14:textId="77777777">
        <w:tblPrEx>
          <w:tblCellMar>
            <w:top w:w="0" w:type="dxa"/>
            <w:bottom w:w="0" w:type="dxa"/>
          </w:tblCellMar>
        </w:tblPrEx>
        <w:tc>
          <w:tcPr>
            <w:tcW w:w="17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0839EC1B" w14:textId="77777777" w:rsidR="006F3662" w:rsidRDefault="00B42244">
            <w:r>
              <w:rPr>
                <w:b/>
                <w:bCs/>
                <w:color w:val="1F7A8C"/>
                <w:sz w:val="19"/>
                <w:szCs w:val="19"/>
              </w:rPr>
              <w:t>Capital &amp; Liquidity</w:t>
            </w:r>
          </w:p>
        </w:tc>
        <w:tc>
          <w:tcPr>
            <w:tcW w:w="216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3123809B" w14:textId="77777777" w:rsidR="006F3662" w:rsidRDefault="00B42244">
            <w:r>
              <w:rPr>
                <w:color w:val="222222"/>
                <w:sz w:val="19"/>
                <w:szCs w:val="19"/>
              </w:rPr>
              <w:t>CET1 ratio</w:t>
            </w:r>
          </w:p>
        </w:tc>
        <w:tc>
          <w:tcPr>
            <w:tcW w:w="13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3A098803" w14:textId="77777777" w:rsidR="006F3662" w:rsidRDefault="00B42244">
            <w:pPr>
              <w:jc w:val="center"/>
            </w:pPr>
            <w:r>
              <w:rPr>
                <w:color w:val="222222"/>
                <w:sz w:val="19"/>
                <w:szCs w:val="19"/>
              </w:rPr>
              <w:t>12.8%</w:t>
            </w:r>
          </w:p>
        </w:tc>
        <w:tc>
          <w:tcPr>
            <w:tcW w:w="13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1AB39C6E" w14:textId="77777777" w:rsidR="006F3662" w:rsidRDefault="00B42244">
            <w:pPr>
              <w:jc w:val="center"/>
            </w:pPr>
            <w:r>
              <w:rPr>
                <w:color w:val="222222"/>
                <w:sz w:val="19"/>
                <w:szCs w:val="19"/>
              </w:rPr>
              <w:t>13.2%</w:t>
            </w:r>
          </w:p>
        </w:tc>
        <w:tc>
          <w:tcPr>
            <w:tcW w:w="13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7784EA6B" w14:textId="77777777" w:rsidR="006F3662" w:rsidRDefault="00B42244">
            <w:pPr>
              <w:jc w:val="center"/>
            </w:pPr>
            <w:r>
              <w:rPr>
                <w:color w:val="222222"/>
                <w:sz w:val="19"/>
                <w:szCs w:val="19"/>
              </w:rPr>
              <w:t>12.3%</w:t>
            </w:r>
          </w:p>
        </w:tc>
        <w:tc>
          <w:tcPr>
            <w:tcW w:w="16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41220F7F" w14:textId="77777777" w:rsidR="006F3662" w:rsidRDefault="00B42244">
            <w:pPr>
              <w:jc w:val="center"/>
            </w:pPr>
            <w:r>
              <w:rPr>
                <w:b/>
                <w:bCs/>
                <w:color w:val="222222"/>
                <w:sz w:val="19"/>
                <w:szCs w:val="19"/>
              </w:rPr>
              <w:t>12.6%</w:t>
            </w:r>
          </w:p>
        </w:tc>
      </w:tr>
      <w:tr w:rsidR="006F3662" w14:paraId="77EF134A" w14:textId="77777777">
        <w:tblPrEx>
          <w:tblCellMar>
            <w:top w:w="0" w:type="dxa"/>
            <w:bottom w:w="0" w:type="dxa"/>
          </w:tblCellMar>
        </w:tblPrEx>
        <w:tc>
          <w:tcPr>
            <w:tcW w:w="17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28296D16" w14:textId="77777777" w:rsidR="006F3662" w:rsidRDefault="006F3662"/>
        </w:tc>
        <w:tc>
          <w:tcPr>
            <w:tcW w:w="216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584A9AB7" w14:textId="77777777" w:rsidR="006F3662" w:rsidRDefault="00B42244">
            <w:r>
              <w:rPr>
                <w:color w:val="222222"/>
                <w:sz w:val="19"/>
                <w:szCs w:val="19"/>
              </w:rPr>
              <w:t>Capital adequacy ratio</w:t>
            </w:r>
          </w:p>
        </w:tc>
        <w:tc>
          <w:tcPr>
            <w:tcW w:w="13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411E4163" w14:textId="77777777" w:rsidR="006F3662" w:rsidRDefault="00B42244">
            <w:pPr>
              <w:jc w:val="center"/>
            </w:pPr>
            <w:r>
              <w:rPr>
                <w:color w:val="222222"/>
                <w:sz w:val="19"/>
                <w:szCs w:val="19"/>
              </w:rPr>
              <w:t>17.3%</w:t>
            </w:r>
          </w:p>
        </w:tc>
        <w:tc>
          <w:tcPr>
            <w:tcW w:w="13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40BF43D0" w14:textId="77777777" w:rsidR="006F3662" w:rsidRDefault="00B42244">
            <w:pPr>
              <w:jc w:val="center"/>
            </w:pPr>
            <w:r>
              <w:rPr>
                <w:color w:val="222222"/>
                <w:sz w:val="19"/>
                <w:szCs w:val="19"/>
              </w:rPr>
              <w:t>18.3%</w:t>
            </w:r>
          </w:p>
        </w:tc>
        <w:tc>
          <w:tcPr>
            <w:tcW w:w="13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04995C08" w14:textId="77777777" w:rsidR="006F3662" w:rsidRDefault="00B42244">
            <w:pPr>
              <w:jc w:val="center"/>
            </w:pPr>
            <w:r>
              <w:rPr>
                <w:color w:val="222222"/>
                <w:sz w:val="19"/>
                <w:szCs w:val="19"/>
              </w:rPr>
              <w:t>15.5%</w:t>
            </w:r>
          </w:p>
        </w:tc>
        <w:tc>
          <w:tcPr>
            <w:tcW w:w="16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0A6C4DBD" w14:textId="77777777" w:rsidR="006F3662" w:rsidRDefault="00B42244">
            <w:pPr>
              <w:jc w:val="center"/>
            </w:pPr>
            <w:r>
              <w:rPr>
                <w:b/>
                <w:bCs/>
                <w:color w:val="222222"/>
                <w:sz w:val="19"/>
                <w:szCs w:val="19"/>
              </w:rPr>
              <w:t>15.8%</w:t>
            </w:r>
          </w:p>
        </w:tc>
      </w:tr>
      <w:tr w:rsidR="006F3662" w14:paraId="45A5DF80" w14:textId="77777777">
        <w:tblPrEx>
          <w:tblCellMar>
            <w:top w:w="0" w:type="dxa"/>
            <w:bottom w:w="0" w:type="dxa"/>
          </w:tblCellMar>
        </w:tblPrEx>
        <w:tc>
          <w:tcPr>
            <w:tcW w:w="17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29C3F09A" w14:textId="77777777" w:rsidR="006F3662" w:rsidRDefault="006F3662"/>
        </w:tc>
        <w:tc>
          <w:tcPr>
            <w:tcW w:w="216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5CF1FB04" w14:textId="77777777" w:rsidR="006F3662" w:rsidRDefault="00B42244">
            <w:r>
              <w:rPr>
                <w:color w:val="222222"/>
                <w:sz w:val="19"/>
                <w:szCs w:val="19"/>
              </w:rPr>
              <w:t>Liquidity Coverage Ratio (LCR)</w:t>
            </w:r>
          </w:p>
        </w:tc>
        <w:tc>
          <w:tcPr>
            <w:tcW w:w="13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4A37B5B3" w14:textId="77777777" w:rsidR="006F3662" w:rsidRDefault="00B42244">
            <w:pPr>
              <w:jc w:val="center"/>
            </w:pPr>
            <w:r>
              <w:rPr>
                <w:color w:val="222222"/>
                <w:sz w:val="19"/>
                <w:szCs w:val="19"/>
              </w:rPr>
              <w:t>188.7%</w:t>
            </w:r>
          </w:p>
        </w:tc>
        <w:tc>
          <w:tcPr>
            <w:tcW w:w="13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5642676C" w14:textId="77777777" w:rsidR="006F3662" w:rsidRDefault="00B42244">
            <w:pPr>
              <w:jc w:val="center"/>
            </w:pPr>
            <w:r>
              <w:rPr>
                <w:color w:val="222222"/>
                <w:sz w:val="19"/>
                <w:szCs w:val="19"/>
              </w:rPr>
              <w:t>159.4%</w:t>
            </w:r>
          </w:p>
        </w:tc>
        <w:tc>
          <w:tcPr>
            <w:tcW w:w="13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4C867A71" w14:textId="77777777" w:rsidR="006F3662" w:rsidRDefault="00B42244">
            <w:pPr>
              <w:jc w:val="center"/>
            </w:pPr>
            <w:r>
              <w:rPr>
                <w:color w:val="222222"/>
                <w:sz w:val="19"/>
                <w:szCs w:val="19"/>
              </w:rPr>
              <w:t>157.0%</w:t>
            </w:r>
          </w:p>
        </w:tc>
        <w:tc>
          <w:tcPr>
            <w:tcW w:w="16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5E142394" w14:textId="77777777" w:rsidR="006F3662" w:rsidRDefault="00B42244">
            <w:pPr>
              <w:jc w:val="center"/>
            </w:pPr>
            <w:r>
              <w:rPr>
                <w:b/>
                <w:bCs/>
                <w:color w:val="222222"/>
                <w:sz w:val="19"/>
                <w:szCs w:val="19"/>
              </w:rPr>
              <w:t>121.0%</w:t>
            </w:r>
          </w:p>
        </w:tc>
      </w:tr>
    </w:tbl>
    <w:p w14:paraId="077BF936" w14:textId="77777777" w:rsidR="006F3662" w:rsidRDefault="00B42244">
      <w:pPr>
        <w:spacing w:after="120"/>
      </w:pPr>
      <w:r>
        <w:rPr>
          <w:i/>
          <w:iCs/>
          <w:color w:val="6B7280"/>
          <w:sz w:val="17"/>
          <w:szCs w:val="17"/>
        </w:rPr>
        <w:t>FY2023–FY2025 are audited full years; Q1 2026 is an unaudited 3-month interim (profit figures are quarterly, not annualised). NSFR was 108.8% at FY2025 and 106% at Q1 2026 (minimum 100%); post-tax RoTE was 20% / 22% / 18% across FY2023–FY2025 and pre-tax RoTE was 21% in Q1 2026.</w:t>
      </w:r>
    </w:p>
    <w:p w14:paraId="3A143993" w14:textId="77777777" w:rsidR="006F3662" w:rsidRDefault="00B42244">
      <w:pPr>
        <w:spacing w:after="120" w:line="264" w:lineRule="auto"/>
      </w:pPr>
      <w:r>
        <w:t>The trajectory shows materially stronger asset quality — NPF down from 5.4% (2023) to 2.65% (2025) and further to 2.5% at Q1 2026 — alongside record balance-sheet scale (assets AED 420 billion). Profitability remains robust: FY2025 pre-tax profit of AED 9.0 billion grew 20% on a normalised basis, and Q1 2026 sustained pre-tax profit of AED 2.1 billion despite a lower profit-rate environment. Post-tax returns reflect the full-year UAE corporate-tax charge rather than operational weakening.</w:t>
      </w:r>
    </w:p>
    <w:p w14:paraId="34F195A5" w14:textId="77777777" w:rsidR="006F3662" w:rsidRDefault="00B42244">
      <w:pPr>
        <w:spacing w:before="60" w:after="120"/>
        <w:jc w:val="center"/>
      </w:pPr>
      <w:r>
        <w:rPr>
          <w:noProof/>
        </w:rPr>
        <w:lastRenderedPageBreak/>
        <w:drawing>
          <wp:inline distT="0" distB="0" distL="0" distR="0" wp14:anchorId="0C343731" wp14:editId="4A36109E">
            <wp:extent cx="4476750" cy="2314575"/>
            <wp:effectExtent l="0" t="0" r="0" b="0"/>
            <wp:docPr id="1" name="DIB balance-sheet scale and asset quality" descr="DIB balance-sheet scale and asset quality" title="DIB balance-sheet scale and asset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314575"/>
                    </a:xfrm>
                    <a:prstGeom prst="rect">
                      <a:avLst/>
                    </a:prstGeom>
                  </pic:spPr>
                </pic:pic>
              </a:graphicData>
            </a:graphic>
          </wp:inline>
        </w:drawing>
      </w:r>
    </w:p>
    <w:p w14:paraId="33069B3B" w14:textId="77777777" w:rsidR="006F3662" w:rsidRDefault="00B42244">
      <w:pPr>
        <w:spacing w:before="140" w:after="70"/>
      </w:pPr>
      <w:r>
        <w:rPr>
          <w:b/>
          <w:bCs/>
          <w:color w:val="0B2D4D"/>
          <w:sz w:val="23"/>
          <w:szCs w:val="23"/>
        </w:rPr>
        <w:t>Peer Comparison — Top UAE Banks (FY2025 / latest available)</w:t>
      </w:r>
    </w:p>
    <w:p w14:paraId="1F7DFA6E" w14:textId="77777777" w:rsidR="006F3662" w:rsidRDefault="00B42244">
      <w:pPr>
        <w:spacing w:after="120" w:line="264" w:lineRule="auto"/>
      </w:pPr>
      <w:r>
        <w:t>DIB is benchmarked against the three largest UAE banks by assets — First Abu Dhabi Bank (FAB), Emirates NBD (ENBD) and Abu Dhabi Commercial Bank (ADCB). All three are substantially larger, conventional (non-Islamic) institutions; DIB ranks fourth nationally and is the largest Islamic bank.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750"/>
        <w:gridCol w:w="1750"/>
        <w:gridCol w:w="1750"/>
        <w:gridCol w:w="1750"/>
      </w:tblGrid>
      <w:tr w:rsidR="006F3662" w14:paraId="0B65630A" w14:textId="77777777">
        <w:tblPrEx>
          <w:tblCellMar>
            <w:top w:w="0" w:type="dxa"/>
            <w:bottom w:w="0" w:type="dxa"/>
          </w:tblCellMar>
        </w:tblPrEx>
        <w:trPr>
          <w:tblHeader/>
        </w:trPr>
        <w:tc>
          <w:tcPr>
            <w:tcW w:w="236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3EFD1930" w14:textId="77777777" w:rsidR="006F3662" w:rsidRDefault="00B42244">
            <w:r>
              <w:rPr>
                <w:b/>
                <w:bCs/>
                <w:color w:val="FFFFFF"/>
                <w:sz w:val="19"/>
                <w:szCs w:val="19"/>
              </w:rPr>
              <w:t>Item</w:t>
            </w:r>
          </w:p>
        </w:tc>
        <w:tc>
          <w:tcPr>
            <w:tcW w:w="175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0EBC2E5E" w14:textId="77777777" w:rsidR="006F3662" w:rsidRDefault="00B42244">
            <w:pPr>
              <w:jc w:val="center"/>
            </w:pPr>
            <w:r>
              <w:rPr>
                <w:b/>
                <w:bCs/>
                <w:color w:val="FFFFFF"/>
                <w:sz w:val="19"/>
                <w:szCs w:val="19"/>
              </w:rPr>
              <w:t>FAB</w:t>
            </w:r>
          </w:p>
        </w:tc>
        <w:tc>
          <w:tcPr>
            <w:tcW w:w="175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644B7D26" w14:textId="77777777" w:rsidR="006F3662" w:rsidRDefault="00B42244">
            <w:pPr>
              <w:jc w:val="center"/>
            </w:pPr>
            <w:r>
              <w:rPr>
                <w:b/>
                <w:bCs/>
                <w:color w:val="FFFFFF"/>
                <w:sz w:val="19"/>
                <w:szCs w:val="19"/>
              </w:rPr>
              <w:t>Emirates NBD</w:t>
            </w:r>
          </w:p>
        </w:tc>
        <w:tc>
          <w:tcPr>
            <w:tcW w:w="175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3F0D1311" w14:textId="77777777" w:rsidR="006F3662" w:rsidRDefault="00B42244">
            <w:pPr>
              <w:jc w:val="center"/>
            </w:pPr>
            <w:r>
              <w:rPr>
                <w:b/>
                <w:bCs/>
                <w:color w:val="FFFFFF"/>
                <w:sz w:val="19"/>
                <w:szCs w:val="19"/>
              </w:rPr>
              <w:t>ADCB</w:t>
            </w:r>
          </w:p>
        </w:tc>
        <w:tc>
          <w:tcPr>
            <w:tcW w:w="175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73A13B1B" w14:textId="77777777" w:rsidR="006F3662" w:rsidRDefault="00B42244">
            <w:pPr>
              <w:jc w:val="center"/>
            </w:pPr>
            <w:r>
              <w:rPr>
                <w:b/>
                <w:bCs/>
                <w:color w:val="FFFFFF"/>
                <w:sz w:val="19"/>
                <w:szCs w:val="19"/>
              </w:rPr>
              <w:t>DIB</w:t>
            </w:r>
          </w:p>
        </w:tc>
      </w:tr>
      <w:tr w:rsidR="006F3662" w14:paraId="77B38D04" w14:textId="77777777">
        <w:tblPrEx>
          <w:tblCellMar>
            <w:top w:w="0" w:type="dxa"/>
            <w:bottom w:w="0" w:type="dxa"/>
          </w:tblCellMar>
        </w:tblPrEx>
        <w:tc>
          <w:tcPr>
            <w:tcW w:w="236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4B951D38" w14:textId="77777777" w:rsidR="006F3662" w:rsidRDefault="00B42244">
            <w:r>
              <w:rPr>
                <w:b/>
                <w:bCs/>
                <w:color w:val="222222"/>
                <w:sz w:val="19"/>
                <w:szCs w:val="19"/>
              </w:rPr>
              <w:t>Rank by total assets</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328EDC17" w14:textId="77777777" w:rsidR="006F3662" w:rsidRDefault="00B42244">
            <w:pPr>
              <w:jc w:val="center"/>
            </w:pPr>
            <w:r>
              <w:rPr>
                <w:color w:val="222222"/>
                <w:sz w:val="19"/>
                <w:szCs w:val="19"/>
              </w:rPr>
              <w:t>1</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2D9E23AA" w14:textId="77777777" w:rsidR="006F3662" w:rsidRDefault="00B42244">
            <w:pPr>
              <w:jc w:val="center"/>
            </w:pPr>
            <w:r>
              <w:rPr>
                <w:color w:val="222222"/>
                <w:sz w:val="19"/>
                <w:szCs w:val="19"/>
              </w:rPr>
              <w:t>2</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26CB0B46" w14:textId="77777777" w:rsidR="006F3662" w:rsidRDefault="00B42244">
            <w:pPr>
              <w:jc w:val="center"/>
            </w:pPr>
            <w:r>
              <w:rPr>
                <w:color w:val="222222"/>
                <w:sz w:val="19"/>
                <w:szCs w:val="19"/>
              </w:rPr>
              <w:t>3</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567C4017" w14:textId="77777777" w:rsidR="006F3662" w:rsidRDefault="00B42244">
            <w:pPr>
              <w:jc w:val="center"/>
            </w:pPr>
            <w:r>
              <w:rPr>
                <w:b/>
                <w:bCs/>
                <w:color w:val="0B2D4D"/>
                <w:sz w:val="19"/>
                <w:szCs w:val="19"/>
              </w:rPr>
              <w:t>4</w:t>
            </w:r>
          </w:p>
        </w:tc>
      </w:tr>
      <w:tr w:rsidR="006F3662" w14:paraId="3CC65211" w14:textId="77777777">
        <w:tblPrEx>
          <w:tblCellMar>
            <w:top w:w="0" w:type="dxa"/>
            <w:bottom w:w="0" w:type="dxa"/>
          </w:tblCellMar>
        </w:tblPrEx>
        <w:tc>
          <w:tcPr>
            <w:tcW w:w="236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3E35CA6A" w14:textId="77777777" w:rsidR="006F3662" w:rsidRDefault="00B42244">
            <w:r>
              <w:rPr>
                <w:b/>
                <w:bCs/>
                <w:color w:val="222222"/>
                <w:sz w:val="19"/>
                <w:szCs w:val="19"/>
              </w:rPr>
              <w:t>Total assets (AED bn)</w:t>
            </w:r>
          </w:p>
        </w:tc>
        <w:tc>
          <w:tcPr>
            <w:tcW w:w="175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30A31701" w14:textId="77777777" w:rsidR="006F3662" w:rsidRDefault="00B42244">
            <w:pPr>
              <w:jc w:val="center"/>
            </w:pPr>
            <w:r>
              <w:rPr>
                <w:color w:val="222222"/>
                <w:sz w:val="19"/>
                <w:szCs w:val="19"/>
              </w:rPr>
              <w:t>~1,400</w:t>
            </w:r>
          </w:p>
        </w:tc>
        <w:tc>
          <w:tcPr>
            <w:tcW w:w="175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7BB65AAD" w14:textId="77777777" w:rsidR="006F3662" w:rsidRDefault="00B42244">
            <w:pPr>
              <w:jc w:val="center"/>
            </w:pPr>
            <w:r>
              <w:rPr>
                <w:color w:val="222222"/>
                <w:sz w:val="19"/>
                <w:szCs w:val="19"/>
              </w:rPr>
              <w:t>~1,050</w:t>
            </w:r>
          </w:p>
        </w:tc>
        <w:tc>
          <w:tcPr>
            <w:tcW w:w="175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1DC18C78" w14:textId="77777777" w:rsidR="006F3662" w:rsidRDefault="00B42244">
            <w:pPr>
              <w:jc w:val="center"/>
            </w:pPr>
            <w:r>
              <w:rPr>
                <w:color w:val="222222"/>
                <w:sz w:val="19"/>
                <w:szCs w:val="19"/>
              </w:rPr>
              <w:t>~720</w:t>
            </w:r>
          </w:p>
        </w:tc>
        <w:tc>
          <w:tcPr>
            <w:tcW w:w="175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2536A78B" w14:textId="77777777" w:rsidR="006F3662" w:rsidRDefault="00B42244">
            <w:pPr>
              <w:jc w:val="center"/>
            </w:pPr>
            <w:r>
              <w:rPr>
                <w:b/>
                <w:bCs/>
                <w:color w:val="0B2D4D"/>
                <w:sz w:val="19"/>
                <w:szCs w:val="19"/>
              </w:rPr>
              <w:t>416</w:t>
            </w:r>
          </w:p>
        </w:tc>
      </w:tr>
      <w:tr w:rsidR="006F3662" w14:paraId="1298D2BD" w14:textId="77777777">
        <w:tblPrEx>
          <w:tblCellMar>
            <w:top w:w="0" w:type="dxa"/>
            <w:bottom w:w="0" w:type="dxa"/>
          </w:tblCellMar>
        </w:tblPrEx>
        <w:tc>
          <w:tcPr>
            <w:tcW w:w="236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1F473676" w14:textId="77777777" w:rsidR="006F3662" w:rsidRDefault="00B42244">
            <w:r>
              <w:rPr>
                <w:b/>
                <w:bCs/>
                <w:color w:val="222222"/>
                <w:sz w:val="19"/>
                <w:szCs w:val="19"/>
              </w:rPr>
              <w:t>Net profit after tax (AED bn)</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0A011002" w14:textId="77777777" w:rsidR="006F3662" w:rsidRDefault="00B42244">
            <w:pPr>
              <w:jc w:val="center"/>
            </w:pPr>
            <w:r>
              <w:rPr>
                <w:color w:val="222222"/>
                <w:sz w:val="19"/>
                <w:szCs w:val="19"/>
              </w:rPr>
              <w:t>~21</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65CFC69C" w14:textId="77777777" w:rsidR="006F3662" w:rsidRDefault="00B42244">
            <w:pPr>
              <w:jc w:val="center"/>
            </w:pPr>
            <w:r>
              <w:rPr>
                <w:color w:val="222222"/>
                <w:sz w:val="19"/>
                <w:szCs w:val="19"/>
              </w:rPr>
              <w:t>~23.4</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6F033D1D" w14:textId="77777777" w:rsidR="006F3662" w:rsidRDefault="00B42244">
            <w:pPr>
              <w:jc w:val="center"/>
            </w:pPr>
            <w:r>
              <w:rPr>
                <w:color w:val="222222"/>
                <w:sz w:val="19"/>
                <w:szCs w:val="19"/>
              </w:rPr>
              <w:t>~11</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6A4C77B2" w14:textId="77777777" w:rsidR="006F3662" w:rsidRDefault="00B42244">
            <w:pPr>
              <w:jc w:val="center"/>
            </w:pPr>
            <w:r>
              <w:rPr>
                <w:b/>
                <w:bCs/>
                <w:color w:val="0B2D4D"/>
                <w:sz w:val="19"/>
                <w:szCs w:val="19"/>
              </w:rPr>
              <w:t>7.8</w:t>
            </w:r>
          </w:p>
        </w:tc>
      </w:tr>
      <w:tr w:rsidR="006F3662" w14:paraId="02A0615F" w14:textId="77777777">
        <w:tblPrEx>
          <w:tblCellMar>
            <w:top w:w="0" w:type="dxa"/>
            <w:bottom w:w="0" w:type="dxa"/>
          </w:tblCellMar>
        </w:tblPrEx>
        <w:tc>
          <w:tcPr>
            <w:tcW w:w="236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0BD965CB" w14:textId="77777777" w:rsidR="006F3662" w:rsidRDefault="00B42244">
            <w:r>
              <w:rPr>
                <w:b/>
                <w:bCs/>
                <w:color w:val="222222"/>
                <w:sz w:val="19"/>
                <w:szCs w:val="19"/>
              </w:rPr>
              <w:t>Net interest / profit margin</w:t>
            </w:r>
          </w:p>
        </w:tc>
        <w:tc>
          <w:tcPr>
            <w:tcW w:w="175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2E22DB03" w14:textId="77777777" w:rsidR="006F3662" w:rsidRDefault="00B42244">
            <w:pPr>
              <w:jc w:val="center"/>
            </w:pPr>
            <w:r>
              <w:rPr>
                <w:color w:val="222222"/>
                <w:sz w:val="19"/>
                <w:szCs w:val="19"/>
              </w:rPr>
              <w:t>1.84%</w:t>
            </w:r>
          </w:p>
        </w:tc>
        <w:tc>
          <w:tcPr>
            <w:tcW w:w="175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0A38D9C2" w14:textId="77777777" w:rsidR="006F3662" w:rsidRDefault="00B42244">
            <w:pPr>
              <w:jc w:val="center"/>
            </w:pPr>
            <w:r>
              <w:rPr>
                <w:color w:val="222222"/>
                <w:sz w:val="19"/>
                <w:szCs w:val="19"/>
              </w:rPr>
              <w:t>~3.4%</w:t>
            </w:r>
          </w:p>
        </w:tc>
        <w:tc>
          <w:tcPr>
            <w:tcW w:w="175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4206AEE2" w14:textId="77777777" w:rsidR="006F3662" w:rsidRDefault="00B42244">
            <w:pPr>
              <w:jc w:val="center"/>
            </w:pPr>
            <w:r>
              <w:rPr>
                <w:color w:val="222222"/>
                <w:sz w:val="19"/>
                <w:szCs w:val="19"/>
              </w:rPr>
              <w:t>~2.8%</w:t>
            </w:r>
          </w:p>
        </w:tc>
        <w:tc>
          <w:tcPr>
            <w:tcW w:w="175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156FF1EA" w14:textId="77777777" w:rsidR="006F3662" w:rsidRDefault="00B42244">
            <w:pPr>
              <w:jc w:val="center"/>
            </w:pPr>
            <w:r>
              <w:rPr>
                <w:b/>
                <w:bCs/>
                <w:color w:val="0B2D4D"/>
                <w:sz w:val="19"/>
                <w:szCs w:val="19"/>
              </w:rPr>
              <w:t>2.7%</w:t>
            </w:r>
          </w:p>
        </w:tc>
      </w:tr>
      <w:tr w:rsidR="006F3662" w14:paraId="36CF0C5A" w14:textId="77777777">
        <w:tblPrEx>
          <w:tblCellMar>
            <w:top w:w="0" w:type="dxa"/>
            <w:bottom w:w="0" w:type="dxa"/>
          </w:tblCellMar>
        </w:tblPrEx>
        <w:tc>
          <w:tcPr>
            <w:tcW w:w="236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5DC4384D" w14:textId="77777777" w:rsidR="006F3662" w:rsidRDefault="00B42244">
            <w:r>
              <w:rPr>
                <w:b/>
                <w:bCs/>
                <w:color w:val="222222"/>
                <w:sz w:val="19"/>
                <w:szCs w:val="19"/>
              </w:rPr>
              <w:t>Cost-to-income</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4BB0C40E" w14:textId="77777777" w:rsidR="006F3662" w:rsidRDefault="00B42244">
            <w:pPr>
              <w:jc w:val="center"/>
            </w:pPr>
            <w:r>
              <w:rPr>
                <w:color w:val="222222"/>
                <w:sz w:val="19"/>
                <w:szCs w:val="19"/>
              </w:rPr>
              <w:t>~22%</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575E3503" w14:textId="77777777" w:rsidR="006F3662" w:rsidRDefault="00B42244">
            <w:pPr>
              <w:jc w:val="center"/>
            </w:pPr>
            <w:r>
              <w:rPr>
                <w:color w:val="222222"/>
                <w:sz w:val="19"/>
                <w:szCs w:val="19"/>
              </w:rPr>
              <w:t>~30%</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54248B75" w14:textId="77777777" w:rsidR="006F3662" w:rsidRDefault="00B42244">
            <w:pPr>
              <w:jc w:val="center"/>
            </w:pPr>
            <w:r>
              <w:rPr>
                <w:color w:val="222222"/>
                <w:sz w:val="19"/>
                <w:szCs w:val="19"/>
              </w:rPr>
              <w:t>~33%</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1906D967" w14:textId="77777777" w:rsidR="006F3662" w:rsidRDefault="00B42244">
            <w:pPr>
              <w:jc w:val="center"/>
            </w:pPr>
            <w:r>
              <w:rPr>
                <w:b/>
                <w:bCs/>
                <w:color w:val="0B2D4D"/>
                <w:sz w:val="19"/>
                <w:szCs w:val="19"/>
              </w:rPr>
              <w:t>28.4%</w:t>
            </w:r>
          </w:p>
        </w:tc>
      </w:tr>
      <w:tr w:rsidR="006F3662" w14:paraId="368D37C7" w14:textId="77777777">
        <w:tblPrEx>
          <w:tblCellMar>
            <w:top w:w="0" w:type="dxa"/>
            <w:bottom w:w="0" w:type="dxa"/>
          </w:tblCellMar>
        </w:tblPrEx>
        <w:tc>
          <w:tcPr>
            <w:tcW w:w="236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40199A8F" w14:textId="77777777" w:rsidR="006F3662" w:rsidRDefault="00B42244">
            <w:r>
              <w:rPr>
                <w:b/>
                <w:bCs/>
                <w:color w:val="222222"/>
                <w:sz w:val="19"/>
                <w:szCs w:val="19"/>
              </w:rPr>
              <w:t>ROE / RoTE</w:t>
            </w:r>
          </w:p>
        </w:tc>
        <w:tc>
          <w:tcPr>
            <w:tcW w:w="175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314B2CD4" w14:textId="77777777" w:rsidR="006F3662" w:rsidRDefault="00B42244">
            <w:pPr>
              <w:jc w:val="center"/>
            </w:pPr>
            <w:r>
              <w:rPr>
                <w:color w:val="222222"/>
                <w:sz w:val="19"/>
                <w:szCs w:val="19"/>
              </w:rPr>
              <w:t>~20%</w:t>
            </w:r>
          </w:p>
        </w:tc>
        <w:tc>
          <w:tcPr>
            <w:tcW w:w="175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2C03826E" w14:textId="77777777" w:rsidR="006F3662" w:rsidRDefault="00B42244">
            <w:pPr>
              <w:jc w:val="center"/>
            </w:pPr>
            <w:r>
              <w:rPr>
                <w:color w:val="222222"/>
                <w:sz w:val="19"/>
                <w:szCs w:val="19"/>
              </w:rPr>
              <w:t>~17.7%</w:t>
            </w:r>
          </w:p>
        </w:tc>
        <w:tc>
          <w:tcPr>
            <w:tcW w:w="175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1DAF7F65" w14:textId="77777777" w:rsidR="006F3662" w:rsidRDefault="00B42244">
            <w:pPr>
              <w:jc w:val="center"/>
            </w:pPr>
            <w:r>
              <w:rPr>
                <w:color w:val="222222"/>
                <w:sz w:val="19"/>
                <w:szCs w:val="19"/>
              </w:rPr>
              <w:t>~15%</w:t>
            </w:r>
          </w:p>
        </w:tc>
        <w:tc>
          <w:tcPr>
            <w:tcW w:w="175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70B6F977" w14:textId="77777777" w:rsidR="006F3662" w:rsidRDefault="00B42244">
            <w:pPr>
              <w:jc w:val="center"/>
            </w:pPr>
            <w:r>
              <w:rPr>
                <w:b/>
                <w:bCs/>
                <w:color w:val="0B2D4D"/>
                <w:sz w:val="19"/>
                <w:szCs w:val="19"/>
              </w:rPr>
              <w:t>18%</w:t>
            </w:r>
          </w:p>
        </w:tc>
      </w:tr>
      <w:tr w:rsidR="006F3662" w14:paraId="33AB6633" w14:textId="77777777">
        <w:tblPrEx>
          <w:tblCellMar>
            <w:top w:w="0" w:type="dxa"/>
            <w:bottom w:w="0" w:type="dxa"/>
          </w:tblCellMar>
        </w:tblPrEx>
        <w:tc>
          <w:tcPr>
            <w:tcW w:w="236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62A19659" w14:textId="77777777" w:rsidR="006F3662" w:rsidRDefault="00B42244">
            <w:r>
              <w:rPr>
                <w:b/>
                <w:bCs/>
                <w:color w:val="222222"/>
                <w:sz w:val="19"/>
                <w:szCs w:val="19"/>
              </w:rPr>
              <w:t>NPL / NPF ratio</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6C11B1FD" w14:textId="77777777" w:rsidR="006F3662" w:rsidRDefault="00B42244">
            <w:pPr>
              <w:jc w:val="center"/>
            </w:pPr>
            <w:r>
              <w:rPr>
                <w:color w:val="222222"/>
                <w:sz w:val="19"/>
                <w:szCs w:val="19"/>
              </w:rPr>
              <w:t>~2.5%</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7DE6390F" w14:textId="77777777" w:rsidR="006F3662" w:rsidRDefault="00B42244">
            <w:pPr>
              <w:jc w:val="center"/>
            </w:pPr>
            <w:r>
              <w:rPr>
                <w:color w:val="222222"/>
                <w:sz w:val="19"/>
                <w:szCs w:val="19"/>
              </w:rPr>
              <w:t>2.8%</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0427E1EC" w14:textId="77777777" w:rsidR="006F3662" w:rsidRDefault="00B42244">
            <w:pPr>
              <w:jc w:val="center"/>
            </w:pPr>
            <w:r>
              <w:rPr>
                <w:color w:val="222222"/>
                <w:sz w:val="19"/>
                <w:szCs w:val="19"/>
              </w:rPr>
              <w:t>1.9%</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0912DCC0" w14:textId="77777777" w:rsidR="006F3662" w:rsidRDefault="00B42244">
            <w:pPr>
              <w:jc w:val="center"/>
            </w:pPr>
            <w:r>
              <w:rPr>
                <w:b/>
                <w:bCs/>
                <w:color w:val="0B2D4D"/>
                <w:sz w:val="19"/>
                <w:szCs w:val="19"/>
              </w:rPr>
              <w:t>2.65%</w:t>
            </w:r>
          </w:p>
        </w:tc>
      </w:tr>
      <w:tr w:rsidR="006F3662" w14:paraId="08FECCEC" w14:textId="77777777">
        <w:tblPrEx>
          <w:tblCellMar>
            <w:top w:w="0" w:type="dxa"/>
            <w:bottom w:w="0" w:type="dxa"/>
          </w:tblCellMar>
        </w:tblPrEx>
        <w:tc>
          <w:tcPr>
            <w:tcW w:w="236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517C920F" w14:textId="77777777" w:rsidR="006F3662" w:rsidRDefault="00B42244">
            <w:r>
              <w:rPr>
                <w:b/>
                <w:bCs/>
                <w:color w:val="222222"/>
                <w:sz w:val="19"/>
                <w:szCs w:val="19"/>
              </w:rPr>
              <w:t>CET1 ratio</w:t>
            </w:r>
          </w:p>
        </w:tc>
        <w:tc>
          <w:tcPr>
            <w:tcW w:w="175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32FC39FE" w14:textId="77777777" w:rsidR="006F3662" w:rsidRDefault="00B42244">
            <w:pPr>
              <w:jc w:val="center"/>
            </w:pPr>
            <w:r>
              <w:rPr>
                <w:color w:val="222222"/>
                <w:sz w:val="19"/>
                <w:szCs w:val="19"/>
              </w:rPr>
              <w:t>13.4%</w:t>
            </w:r>
          </w:p>
        </w:tc>
        <w:tc>
          <w:tcPr>
            <w:tcW w:w="175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1149985F" w14:textId="77777777" w:rsidR="006F3662" w:rsidRDefault="00B42244">
            <w:pPr>
              <w:jc w:val="center"/>
            </w:pPr>
            <w:r>
              <w:rPr>
                <w:color w:val="222222"/>
                <w:sz w:val="19"/>
                <w:szCs w:val="19"/>
              </w:rPr>
              <w:t>14.3%</w:t>
            </w:r>
          </w:p>
        </w:tc>
        <w:tc>
          <w:tcPr>
            <w:tcW w:w="175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4F6738D9" w14:textId="77777777" w:rsidR="006F3662" w:rsidRDefault="00B42244">
            <w:pPr>
              <w:jc w:val="center"/>
            </w:pPr>
            <w:r>
              <w:rPr>
                <w:color w:val="222222"/>
                <w:sz w:val="19"/>
                <w:szCs w:val="19"/>
              </w:rPr>
              <w:t>13.4%</w:t>
            </w:r>
          </w:p>
        </w:tc>
        <w:tc>
          <w:tcPr>
            <w:tcW w:w="175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45FCA97C" w14:textId="77777777" w:rsidR="006F3662" w:rsidRDefault="00B42244">
            <w:pPr>
              <w:jc w:val="center"/>
            </w:pPr>
            <w:r>
              <w:rPr>
                <w:b/>
                <w:bCs/>
                <w:color w:val="0B2D4D"/>
                <w:sz w:val="19"/>
                <w:szCs w:val="19"/>
              </w:rPr>
              <w:t>12.3%</w:t>
            </w:r>
          </w:p>
        </w:tc>
      </w:tr>
      <w:tr w:rsidR="006F3662" w14:paraId="4989C4F0" w14:textId="77777777">
        <w:tblPrEx>
          <w:tblCellMar>
            <w:top w:w="0" w:type="dxa"/>
            <w:bottom w:w="0" w:type="dxa"/>
          </w:tblCellMar>
        </w:tblPrEx>
        <w:tc>
          <w:tcPr>
            <w:tcW w:w="236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3208292A" w14:textId="77777777" w:rsidR="006F3662" w:rsidRDefault="00B42244">
            <w:r>
              <w:rPr>
                <w:b/>
                <w:bCs/>
                <w:color w:val="222222"/>
                <w:sz w:val="19"/>
                <w:szCs w:val="19"/>
              </w:rPr>
              <w:t>Capital adequacy ratio</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7E200945" w14:textId="77777777" w:rsidR="006F3662" w:rsidRDefault="00B42244">
            <w:pPr>
              <w:jc w:val="center"/>
            </w:pPr>
            <w:r>
              <w:rPr>
                <w:color w:val="222222"/>
                <w:sz w:val="19"/>
                <w:szCs w:val="19"/>
              </w:rPr>
              <w:t>~15%</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2E10942E" w14:textId="77777777" w:rsidR="006F3662" w:rsidRDefault="00B42244">
            <w:pPr>
              <w:jc w:val="center"/>
            </w:pPr>
            <w:r>
              <w:rPr>
                <w:color w:val="222222"/>
                <w:sz w:val="19"/>
                <w:szCs w:val="19"/>
              </w:rPr>
              <w:t>16.6%</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4D1162C8" w14:textId="77777777" w:rsidR="006F3662" w:rsidRDefault="00B42244">
            <w:pPr>
              <w:jc w:val="center"/>
            </w:pPr>
            <w:r>
              <w:rPr>
                <w:color w:val="222222"/>
                <w:sz w:val="19"/>
                <w:szCs w:val="19"/>
              </w:rPr>
              <w:t>~16%</w:t>
            </w:r>
          </w:p>
        </w:tc>
        <w:tc>
          <w:tcPr>
            <w:tcW w:w="175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2F0763BB" w14:textId="77777777" w:rsidR="006F3662" w:rsidRDefault="00B42244">
            <w:pPr>
              <w:jc w:val="center"/>
            </w:pPr>
            <w:r>
              <w:rPr>
                <w:b/>
                <w:bCs/>
                <w:color w:val="0B2D4D"/>
                <w:sz w:val="19"/>
                <w:szCs w:val="19"/>
              </w:rPr>
              <w:t>15.5%</w:t>
            </w:r>
          </w:p>
        </w:tc>
      </w:tr>
    </w:tbl>
    <w:p w14:paraId="45551A62" w14:textId="77777777" w:rsidR="006F3662" w:rsidRDefault="00B42244">
      <w:pPr>
        <w:spacing w:after="120"/>
      </w:pPr>
      <w:r>
        <w:rPr>
          <w:i/>
          <w:iCs/>
          <w:color w:val="6B7280"/>
          <w:sz w:val="17"/>
          <w:szCs w:val="17"/>
        </w:rPr>
        <w:t>Peer figures are FY2025 or latest available (some 9M’25 / annualised) and rounded; FAB and ADCB net-profit and certain ratios are estimates pending final FY2025 disclosures. DIB’s “margin” is its Islamic net profit margin, not directly comparable to conventional NIM.</w:t>
      </w:r>
    </w:p>
    <w:p w14:paraId="6CE1EA5B" w14:textId="77777777" w:rsidR="006F3662" w:rsidRDefault="00B42244">
      <w:pPr>
        <w:spacing w:after="120" w:line="264" w:lineRule="auto"/>
      </w:pPr>
      <w:r>
        <w:t>DIB compares favourably on asset quality (NPF 2.65% vs ENBD 2.8%) and operating efficiency relative to ENBD/ADCB, while its CET1 (12.3%) sits at the lower end of the peer set — a point flagged by Fitch as a constraint on the standalone profile. The large conventional peers benefit from greater scale, lower funding-cost-driven margins (FAB) and stronger headline capital. Overall, DIB’s profile — a dominant Islamic franchise, sharply improving asset quality, strong liquidity and a high likelihood of sovereign</w:t>
      </w:r>
      <w:r>
        <w:t xml:space="preserve"> support — makes it a sound and improving counterparty.</w:t>
      </w:r>
    </w:p>
    <w:p w14:paraId="31E88D36" w14:textId="77777777" w:rsidR="006F3662" w:rsidRDefault="00B42244">
      <w:pPr>
        <w:pStyle w:val="Heading1"/>
        <w:pageBreakBefore/>
      </w:pPr>
      <w:r>
        <w:lastRenderedPageBreak/>
        <w:t>3. Risk Analysis</w:t>
      </w:r>
    </w:p>
    <w:p w14:paraId="417E16AD" w14:textId="77777777" w:rsidR="006F3662" w:rsidRDefault="00B42244">
      <w:pPr>
        <w:pStyle w:val="Heading2"/>
      </w:pPr>
      <w:r>
        <w:t>3.1 Macro Business Environment — UAE / Dubai</w:t>
      </w:r>
    </w:p>
    <w:p w14:paraId="1D38BE52" w14:textId="77777777" w:rsidR="006F3662" w:rsidRDefault="00B42244">
      <w:pPr>
        <w:spacing w:after="120" w:line="264" w:lineRule="auto"/>
      </w:pPr>
      <w:r>
        <w:t xml:space="preserve">The UAE's macro outlook has shifted materially since the outbreak of the Iran war in early 2026. In its most recent sovereign review (23 May 2026), Fitch affirmed the UAE at ‘AA-’ with a Stable Outlook, but now projects real GDP to </w:t>
      </w:r>
      <w:r>
        <w:rPr>
          <w:b/>
          <w:bCs/>
        </w:rPr>
        <w:t>contract by 4.8% in 2026</w:t>
      </w:r>
      <w:r>
        <w:t xml:space="preserve"> — a sharp reversal from the c.4–5% growth recorded through 2025 — with non-oil GDP shrinking 3.2% and Dubai's GDP falling close to 7%. Hydrocarbon GDP is expected to decline c.10% in 2026 before rebounding strongly in 2027 as production is no longer constrained by OPEC+ quotas. Fitch expects a gradual re-opening of the Strait of Hormuz from July 2026, though the course of the war remains highly uncertain.</w:t>
      </w:r>
    </w:p>
    <w:p w14:paraId="24EA109B" w14:textId="77777777" w:rsidR="006F3662" w:rsidRDefault="00B42244">
      <w:pPr>
        <w:spacing w:after="120" w:line="264" w:lineRule="auto"/>
      </w:pPr>
      <w:r>
        <w:t>Crucially, the sovereign's buffers remain exceptional and underpin the affirmed rating. Abu Dhabi's sovereign net foreign assets are estimated at 164% of UAE GDP — among the highest of Fitch-rated sovereigns — and the consolidated budget is expected to stay in surplus at c.4.5% of GDP in 2026 despite a near-20% rise in spending on war-mitigation and recovery programmes. Resilient hydrocarbon revenue (oil averaging c.USD 87/bbl in 2026, with exports re-routed via the Fujairah pipeline) largely offsets the im</w:t>
      </w:r>
      <w:r>
        <w:t>mediate disruption. Consolidated government debt is forecast to rise moderately to 27% of GDP (from 24.3% at end-2025), and the current-account surplus is projected to narrow sharply to 1.3% of GDP (from 10.6% in 2025), while CBUAE FX reserves eased c.9% to USD 277 billion by March 2026. The USD/AED peg (3.6725) remains well-anchored by these buffers. S&amp;P (AA/A-1+, Stable) similarly affirmed the UAE in March 2026, citing a government consolidated net asset position of c.184% of GDP.</w:t>
      </w:r>
    </w:p>
    <w:p w14:paraId="428BC25B" w14:textId="77777777" w:rsidR="006F3662" w:rsidRDefault="00B42244">
      <w:pPr>
        <w:spacing w:after="120" w:line="264" w:lineRule="auto"/>
      </w:pPr>
      <w:r>
        <w:t>For Dubai — DIB's home market — Fitch expects real GDP to remain below its 2025 level even in 2027, as investment is delayed and tourism and expatriate inflows return only gradually. This tempers the previous D33-driven growth narrative and is the key swing factor for near-term consumer lending, real-estate and trade-flow volumes underpinning DIB's franchise. The principal downside risk is a renewed flare-up or a prolonged closure of the Strait of Hormuz, which would weigh further on growth and public finan</w:t>
      </w:r>
      <w:r>
        <w:t>ces.</w:t>
      </w:r>
    </w:p>
    <w:p w14:paraId="06ABF1CE" w14:textId="77777777" w:rsidR="006F3662" w:rsidRDefault="00B42244">
      <w:pPr>
        <w:spacing w:before="60" w:after="120"/>
        <w:jc w:val="center"/>
      </w:pPr>
      <w:r>
        <w:rPr>
          <w:noProof/>
        </w:rPr>
        <w:drawing>
          <wp:inline distT="0" distB="0" distL="0" distR="0" wp14:anchorId="1728519F" wp14:editId="00CFFA89">
            <wp:extent cx="4476750" cy="2305050"/>
            <wp:effectExtent l="0" t="0" r="0" b="0"/>
            <wp:docPr id="142353809" name="UAE real GDP growth" descr="UAE real GDP growth" title="UAE real GDP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305050"/>
                    </a:xfrm>
                    <a:prstGeom prst="rect">
                      <a:avLst/>
                    </a:prstGeom>
                  </pic:spPr>
                </pic:pic>
              </a:graphicData>
            </a:graphic>
          </wp:inline>
        </w:drawing>
      </w:r>
    </w:p>
    <w:p w14:paraId="0D683006" w14:textId="77777777" w:rsidR="006F3662" w:rsidRDefault="00B42244">
      <w:pPr>
        <w:pStyle w:val="Heading2"/>
      </w:pPr>
      <w:r>
        <w:t>3.2 Banking Sector Outlook — UAE</w:t>
      </w:r>
    </w:p>
    <w:p w14:paraId="710714E4" w14:textId="77777777" w:rsidR="006F3662" w:rsidRDefault="00B42244">
      <w:pPr>
        <w:spacing w:after="120" w:line="264" w:lineRule="auto"/>
      </w:pPr>
      <w:r>
        <w:t xml:space="preserve">UAE banks entered the Iran war from a position of strength, having grown sector assets to around AED 5.3 trillion through 2025 (c.14–17% growth) with credit expanding c.18%, supported by government spending, retail demand and cross-border corporate lending. Fitch's assessment is that </w:t>
      </w:r>
      <w:r>
        <w:rPr>
          <w:b/>
          <w:bCs/>
        </w:rPr>
        <w:t>UAE banks appear resilient under its base case for the war</w:t>
      </w:r>
      <w:r>
        <w:t xml:space="preserve">, reflecting sound financial metrics and ample liquidity and capital buffers. The war does, however, introduce a clear downside skew: </w:t>
      </w:r>
      <w:r>
        <w:lastRenderedPageBreak/>
        <w:t>under an adverse scenario in which the conflict has severe and prolonged effects, banks' Viability Ratings could face pressure from asset-quality deterioration, with real-estate lending the most likely source of stress. This sits behind Moody's earlier (pre-war) move to a Positive system outlook and frames the sector a</w:t>
      </w:r>
      <w:r>
        <w:t>s fundamentally sound but now navigating heightened geopolitical risk.</w:t>
      </w:r>
    </w:p>
    <w:p w14:paraId="37B9704E" w14:textId="77777777" w:rsidR="006F3662" w:rsidRDefault="00B42244">
      <w:pPr>
        <w:pStyle w:val="ListParagraph"/>
        <w:numPr>
          <w:ilvl w:val="0"/>
          <w:numId w:val="2"/>
        </w:numPr>
        <w:spacing w:after="90" w:line="264" w:lineRule="auto"/>
      </w:pPr>
      <w:r>
        <w:rPr>
          <w:b/>
          <w:bCs/>
        </w:rPr>
        <w:t xml:space="preserve">Asset quality improving: </w:t>
      </w:r>
      <w:r>
        <w:t>sector gross NPLs fell to c.3.6% by September 2025 from a 2021 peak of c.6.1%, supported by strong recoveries and a shift toward secured lending.</w:t>
      </w:r>
    </w:p>
    <w:p w14:paraId="60163561" w14:textId="77777777" w:rsidR="006F3662" w:rsidRDefault="00B42244">
      <w:pPr>
        <w:pStyle w:val="ListParagraph"/>
        <w:numPr>
          <w:ilvl w:val="0"/>
          <w:numId w:val="2"/>
        </w:numPr>
        <w:spacing w:after="90" w:line="264" w:lineRule="auto"/>
      </w:pPr>
      <w:r>
        <w:rPr>
          <w:b/>
          <w:bCs/>
        </w:rPr>
        <w:t xml:space="preserve">Margins &amp; rates: </w:t>
      </w:r>
      <w:r>
        <w:t>the rate path is now clouded by war-driven uncertainty; profitability is supported by entrenched low-cost deposit franchises, though provisioning needs could rise if the conflict escalates.</w:t>
      </w:r>
    </w:p>
    <w:p w14:paraId="4F0AAA4C" w14:textId="77777777" w:rsidR="006F3662" w:rsidRDefault="00B42244">
      <w:pPr>
        <w:pStyle w:val="ListParagraph"/>
        <w:numPr>
          <w:ilvl w:val="0"/>
          <w:numId w:val="2"/>
        </w:numPr>
        <w:spacing w:after="90" w:line="264" w:lineRule="auto"/>
      </w:pPr>
      <w:r>
        <w:rPr>
          <w:b/>
          <w:bCs/>
        </w:rPr>
        <w:t xml:space="preserve">Strong funding &amp; liquidity: </w:t>
      </w:r>
      <w:r>
        <w:t>core deposit franchises dominate; sector LCR was c.149% and NSFR c.111% (Sep-2025), with limited reliance on external funding — a key shock absorber during the conflict.</w:t>
      </w:r>
    </w:p>
    <w:p w14:paraId="6733FA34" w14:textId="77777777" w:rsidR="006F3662" w:rsidRDefault="00B42244">
      <w:pPr>
        <w:pStyle w:val="ListParagraph"/>
        <w:numPr>
          <w:ilvl w:val="0"/>
          <w:numId w:val="2"/>
        </w:numPr>
        <w:spacing w:after="90" w:line="264" w:lineRule="auto"/>
      </w:pPr>
      <w:r>
        <w:rPr>
          <w:b/>
          <w:bCs/>
        </w:rPr>
        <w:t xml:space="preserve">Key risk — real estate: </w:t>
      </w:r>
      <w:r>
        <w:t>Fitch identifies real-estate lending as the most likely source of stress under an adverse war scenario, given Dubai's projected GDP contraction and delayed investment.</w:t>
      </w:r>
    </w:p>
    <w:p w14:paraId="50127980" w14:textId="77777777" w:rsidR="006F3662" w:rsidRDefault="00B42244">
      <w:pPr>
        <w:pStyle w:val="ListParagraph"/>
        <w:numPr>
          <w:ilvl w:val="0"/>
          <w:numId w:val="2"/>
        </w:numPr>
        <w:spacing w:after="90" w:line="264" w:lineRule="auto"/>
      </w:pPr>
      <w:r>
        <w:rPr>
          <w:b/>
          <w:bCs/>
        </w:rPr>
        <w:t xml:space="preserve">Structural tailwinds: </w:t>
      </w:r>
      <w:r>
        <w:t>Islamic finance continues to gain share, and the UAE’s Digital Dirham (CBDC) pilot, open-banking and digital-asset frameworks are reshaping competition while established franchises remain entrenched.</w:t>
      </w:r>
    </w:p>
    <w:p w14:paraId="6FCC10D1" w14:textId="77777777" w:rsidR="006F3662" w:rsidRDefault="00B42244">
      <w:pPr>
        <w:spacing w:before="60" w:after="120"/>
        <w:jc w:val="center"/>
      </w:pPr>
      <w:r>
        <w:rPr>
          <w:noProof/>
        </w:rPr>
        <w:drawing>
          <wp:inline distT="0" distB="0" distL="0" distR="0" wp14:anchorId="45CB0EF8" wp14:editId="1A0A1896">
            <wp:extent cx="4476750" cy="2238375"/>
            <wp:effectExtent l="0" t="0" r="0" b="0"/>
            <wp:docPr id="1349305127" name="UAE banking sector gross NPL ratio" descr="UAE banking sector gross NPL ratio" title="UAE banking sector gross NPL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238375"/>
                    </a:xfrm>
                    <a:prstGeom prst="rect">
                      <a:avLst/>
                    </a:prstGeom>
                  </pic:spPr>
                </pic:pic>
              </a:graphicData>
            </a:graphic>
          </wp:inline>
        </w:drawing>
      </w:r>
    </w:p>
    <w:p w14:paraId="02AE22A8" w14:textId="77777777" w:rsidR="006F3662" w:rsidRDefault="00B42244">
      <w:pPr>
        <w:pStyle w:val="Heading2"/>
      </w:pPr>
      <w:r>
        <w:t>3.3 Company Risk Management</w:t>
      </w:r>
    </w:p>
    <w:p w14:paraId="6D743CE7" w14:textId="77777777" w:rsidR="006F3662" w:rsidRDefault="00B42244">
      <w:pPr>
        <w:spacing w:after="120" w:line="264" w:lineRule="auto"/>
      </w:pPr>
      <w:r>
        <w:t>Risk is managed under a three-lines-of-defence model overseen by the Board Risk Committee, with an independent risk function consistent with CBUAE guidance. The Bank manages credit, market, profit-rate, liquidity, operational and Shari’ah-compliance risks within Board-approved appetite and an annual ICAAP stress-testing exercise.</w:t>
      </w:r>
    </w:p>
    <w:p w14:paraId="1F515AC4" w14:textId="77777777" w:rsidR="006F3662" w:rsidRDefault="00B42244">
      <w:pPr>
        <w:spacing w:before="140" w:after="70"/>
      </w:pPr>
      <w:r>
        <w:rPr>
          <w:b/>
          <w:bCs/>
          <w:color w:val="0B2D4D"/>
          <w:sz w:val="23"/>
          <w:szCs w:val="23"/>
        </w:rPr>
        <w:t>Credit Risk</w:t>
      </w:r>
    </w:p>
    <w:p w14:paraId="0F13CA87" w14:textId="77777777" w:rsidR="006F3662" w:rsidRDefault="00B42244">
      <w:pPr>
        <w:spacing w:after="120" w:line="264" w:lineRule="auto"/>
      </w:pPr>
      <w:r>
        <w:t>Credit risk is the Bank’s most material exposure. The financing book is well diversified across consumer (AED 77 billion), local and cross-border wholesale (AED 185 billion) and a high-quality Sukuk investment portfolio (AED 91 billion, 77% sovereign / FI). Corporate exposures span utilities, oil &amp; gas, aviation, manufacturing, financial institutions, services and real estate; real-estate concentration, historically a legacy issue, has reduced as the portfolio mix shifted toward secured and higher-quality a</w:t>
      </w:r>
      <w:r>
        <w:t xml:space="preserve">ssets. Asset quality has improved structurally — NPF down from 5.4% (2023) to 2.65% (2025), cost of risk of just 14 bps, cash coverage of 120% and total coverage of 160%. Fitch </w:t>
      </w:r>
      <w:r>
        <w:lastRenderedPageBreak/>
        <w:t>notes that relatively high single-name concentration and reliance on hard (real-estate) collateral for provisioning are the principal residual credit considerations.</w:t>
      </w:r>
    </w:p>
    <w:p w14:paraId="054D4ECD" w14:textId="77777777" w:rsidR="006F3662" w:rsidRDefault="00B42244">
      <w:pPr>
        <w:spacing w:before="60" w:after="120"/>
        <w:jc w:val="center"/>
      </w:pPr>
      <w:r>
        <w:rPr>
          <w:noProof/>
        </w:rPr>
        <w:drawing>
          <wp:inline distT="0" distB="0" distL="0" distR="0" wp14:anchorId="105E054B" wp14:editId="01FDB6B6">
            <wp:extent cx="4476750" cy="2314575"/>
            <wp:effectExtent l="0" t="0" r="0" b="0"/>
            <wp:docPr id="1147021793" name="DIB credit exposure by segment FY2025" descr="DIB credit exposure by segment FY2025" title="DIB credit exposure by segment FY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314575"/>
                    </a:xfrm>
                    <a:prstGeom prst="rect">
                      <a:avLst/>
                    </a:prstGeom>
                  </pic:spPr>
                </pic:pic>
              </a:graphicData>
            </a:graphic>
          </wp:inline>
        </w:drawing>
      </w:r>
    </w:p>
    <w:p w14:paraId="01D4B2F8" w14:textId="77777777" w:rsidR="006F3662" w:rsidRDefault="00B42244">
      <w:pPr>
        <w:spacing w:before="140" w:after="70"/>
      </w:pPr>
      <w:r>
        <w:rPr>
          <w:b/>
          <w:bCs/>
          <w:color w:val="0B2D4D"/>
          <w:sz w:val="23"/>
          <w:szCs w:val="23"/>
        </w:rPr>
        <w:t>Market Risk</w:t>
      </w:r>
    </w:p>
    <w:p w14:paraId="57E272D0" w14:textId="77777777" w:rsidR="006F3662" w:rsidRDefault="00B42244">
      <w:pPr>
        <w:spacing w:after="120" w:line="264" w:lineRule="auto"/>
      </w:pPr>
      <w:r>
        <w:t>Market risk arises from profit-rate, FX and equity/Sukuk price exposures and is governed by the Asset &amp; Liability Committee (ALCO) and Market Risk function within Board-approved limits. The USD/AED peg substantially eliminates bilateral FX risk on USD-denominated exposures. Trading positions are modest; the investment Sukuk portfolio is managed under an approved investment policy and is weighted toward high-grade sovereign and FI names.</w:t>
      </w:r>
    </w:p>
    <w:p w14:paraId="255B818A" w14:textId="77777777" w:rsidR="006F3662" w:rsidRDefault="00B42244">
      <w:pPr>
        <w:spacing w:before="140" w:after="70"/>
      </w:pPr>
      <w:r>
        <w:rPr>
          <w:b/>
          <w:bCs/>
          <w:color w:val="0B2D4D"/>
          <w:sz w:val="23"/>
          <w:szCs w:val="23"/>
        </w:rPr>
        <w:t>Profit-Rate Risk in the Banking Book</w:t>
      </w:r>
    </w:p>
    <w:p w14:paraId="42854BCC" w14:textId="77777777" w:rsidR="006F3662" w:rsidRDefault="00B42244">
      <w:pPr>
        <w:spacing w:after="120" w:line="264" w:lineRule="auto"/>
      </w:pPr>
      <w:r>
        <w:t>As an Islamic bank, DIB manages profit-rate risk (the Shari’ah-compliant equivalent of interest-rate risk) through re-pricing gap analysis and net-profit-margin / economic-value sensitivity under its Enterprise Risk Management policy. With the rate path now clouded by war-driven uncertainty, the net profit margin (2.7% in 2025) is exposed to two-sided risk; however, DIB’s large, low-cost CASA base (AED 110 billion, c.34% of deposits) provides a structural buffer through asymmetric deposit re-pricing.</w:t>
      </w:r>
    </w:p>
    <w:p w14:paraId="0EB9A196" w14:textId="77777777" w:rsidR="006F3662" w:rsidRDefault="00B42244">
      <w:pPr>
        <w:spacing w:before="140" w:after="70"/>
      </w:pPr>
      <w:r>
        <w:rPr>
          <w:b/>
          <w:bCs/>
          <w:color w:val="0B2D4D"/>
          <w:sz w:val="23"/>
          <w:szCs w:val="23"/>
        </w:rPr>
        <w:t>Liquidity Risk</w:t>
      </w:r>
    </w:p>
    <w:p w14:paraId="0278AE1E" w14:textId="77777777" w:rsidR="006F3662" w:rsidRDefault="00B42244">
      <w:pPr>
        <w:spacing w:after="120" w:line="264" w:lineRule="auto"/>
      </w:pPr>
      <w:r>
        <w:t>Liquidity risk is managed under CBUAE requirements and ALCO oversight. DIB relies primarily on a granular, relationship-based retail and corporate deposit franchise, supplemented opportunistically by Sukuk issuance (typically &gt;3-year tenor) and short-term interbank funding. A portfolio of high-quality liquid assets — central-bank balances, CBUAE certificates and high-grade Sukuk — backs the liquidity position. As a larger Basel III bank, DIB monitors the Liquidity Coverage Ratio (LCR) and Net Stable Funding</w:t>
      </w:r>
      <w:r>
        <w:t xml:space="preserve"> Ratio (NSFR) rather than ELAR/ASRR; the LCR (157% at FY2025, 121% at Q1 2026) and NSFR (108.8% at FY2025, 106% at Q1 2026) comfortably exceed the 100% regulatory minima.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6F3662" w14:paraId="0D48EF34" w14:textId="77777777">
        <w:tblPrEx>
          <w:tblCellMar>
            <w:top w:w="0" w:type="dxa"/>
            <w:bottom w:w="0" w:type="dxa"/>
          </w:tblCellMar>
        </w:tblPrEx>
        <w:trPr>
          <w:tblHeader/>
        </w:trPr>
        <w:tc>
          <w:tcPr>
            <w:tcW w:w="336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6ABC7855" w14:textId="77777777" w:rsidR="006F3662" w:rsidRDefault="00B42244">
            <w:r>
              <w:rPr>
                <w:b/>
                <w:bCs/>
                <w:color w:val="FFFFFF"/>
                <w:sz w:val="19"/>
                <w:szCs w:val="19"/>
              </w:rPr>
              <w:t>Ratio (CBUAE / Basel III)</w:t>
            </w:r>
          </w:p>
        </w:tc>
        <w:tc>
          <w:tcPr>
            <w:tcW w:w="150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5B614100" w14:textId="77777777" w:rsidR="006F3662" w:rsidRDefault="00B42244">
            <w:pPr>
              <w:jc w:val="center"/>
            </w:pPr>
            <w:r>
              <w:rPr>
                <w:b/>
                <w:bCs/>
                <w:color w:val="FFFFFF"/>
                <w:sz w:val="19"/>
                <w:szCs w:val="19"/>
              </w:rPr>
              <w:t>2023</w:t>
            </w:r>
          </w:p>
        </w:tc>
        <w:tc>
          <w:tcPr>
            <w:tcW w:w="150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3D0791F7" w14:textId="77777777" w:rsidR="006F3662" w:rsidRDefault="00B42244">
            <w:pPr>
              <w:jc w:val="center"/>
            </w:pPr>
            <w:r>
              <w:rPr>
                <w:b/>
                <w:bCs/>
                <w:color w:val="FFFFFF"/>
                <w:sz w:val="19"/>
                <w:szCs w:val="19"/>
              </w:rPr>
              <w:t>2024</w:t>
            </w:r>
          </w:p>
        </w:tc>
        <w:tc>
          <w:tcPr>
            <w:tcW w:w="150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667778F6" w14:textId="77777777" w:rsidR="006F3662" w:rsidRDefault="00B42244">
            <w:pPr>
              <w:jc w:val="center"/>
            </w:pPr>
            <w:r>
              <w:rPr>
                <w:b/>
                <w:bCs/>
                <w:color w:val="FFFFFF"/>
                <w:sz w:val="19"/>
                <w:szCs w:val="19"/>
              </w:rPr>
              <w:t>2025</w:t>
            </w:r>
          </w:p>
        </w:tc>
        <w:tc>
          <w:tcPr>
            <w:tcW w:w="150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1068531B" w14:textId="77777777" w:rsidR="006F3662" w:rsidRDefault="00B42244">
            <w:pPr>
              <w:jc w:val="center"/>
            </w:pPr>
            <w:r>
              <w:rPr>
                <w:b/>
                <w:bCs/>
                <w:color w:val="FFFFFF"/>
                <w:sz w:val="19"/>
                <w:szCs w:val="19"/>
              </w:rPr>
              <w:t>Q1 2026</w:t>
            </w:r>
          </w:p>
        </w:tc>
      </w:tr>
      <w:tr w:rsidR="006F3662" w14:paraId="399F27C1" w14:textId="77777777">
        <w:tblPrEx>
          <w:tblCellMar>
            <w:top w:w="0" w:type="dxa"/>
            <w:bottom w:w="0" w:type="dxa"/>
          </w:tblCellMar>
        </w:tblPrEx>
        <w:tc>
          <w:tcPr>
            <w:tcW w:w="336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420D60CD" w14:textId="77777777" w:rsidR="006F3662" w:rsidRDefault="00B42244">
            <w:r>
              <w:rPr>
                <w:b/>
                <w:bCs/>
                <w:color w:val="222222"/>
                <w:sz w:val="19"/>
                <w:szCs w:val="19"/>
              </w:rPr>
              <w:t>Liquidity Coverage Ratio (LCR)</w:t>
            </w:r>
          </w:p>
        </w:tc>
        <w:tc>
          <w:tcPr>
            <w:tcW w:w="15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16477A2F" w14:textId="77777777" w:rsidR="006F3662" w:rsidRDefault="00B42244">
            <w:pPr>
              <w:jc w:val="center"/>
            </w:pPr>
            <w:r>
              <w:rPr>
                <w:color w:val="222222"/>
                <w:sz w:val="19"/>
                <w:szCs w:val="19"/>
              </w:rPr>
              <w:t>188.7%</w:t>
            </w:r>
          </w:p>
        </w:tc>
        <w:tc>
          <w:tcPr>
            <w:tcW w:w="15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4F270B28" w14:textId="77777777" w:rsidR="006F3662" w:rsidRDefault="00B42244">
            <w:pPr>
              <w:jc w:val="center"/>
            </w:pPr>
            <w:r>
              <w:rPr>
                <w:color w:val="222222"/>
                <w:sz w:val="19"/>
                <w:szCs w:val="19"/>
              </w:rPr>
              <w:t>159.4%</w:t>
            </w:r>
          </w:p>
        </w:tc>
        <w:tc>
          <w:tcPr>
            <w:tcW w:w="15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27E3CC35" w14:textId="77777777" w:rsidR="006F3662" w:rsidRDefault="00B42244">
            <w:pPr>
              <w:jc w:val="center"/>
            </w:pPr>
            <w:r>
              <w:rPr>
                <w:color w:val="222222"/>
                <w:sz w:val="19"/>
                <w:szCs w:val="19"/>
              </w:rPr>
              <w:t>157.0%</w:t>
            </w:r>
          </w:p>
        </w:tc>
        <w:tc>
          <w:tcPr>
            <w:tcW w:w="15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691DDC73" w14:textId="77777777" w:rsidR="006F3662" w:rsidRDefault="00B42244">
            <w:pPr>
              <w:jc w:val="center"/>
            </w:pPr>
            <w:r>
              <w:rPr>
                <w:color w:val="222222"/>
                <w:sz w:val="19"/>
                <w:szCs w:val="19"/>
              </w:rPr>
              <w:t>121.0%</w:t>
            </w:r>
          </w:p>
        </w:tc>
      </w:tr>
    </w:tbl>
    <w:p w14:paraId="29C4FA3F" w14:textId="77777777" w:rsidR="006F3662" w:rsidRDefault="00B42244">
      <w:pPr>
        <w:spacing w:after="120"/>
      </w:pPr>
      <w:r>
        <w:rPr>
          <w:i/>
          <w:iCs/>
          <w:color w:val="6B7280"/>
          <w:sz w:val="17"/>
          <w:szCs w:val="17"/>
        </w:rPr>
        <w:t>Source: DIB CBUAE-regulated liquidity disclosures. CBUAE minimum: LCR ≥ 100%. The Net Stable Funding Ratio (NSFR) was 108.8% at FY2025 and 106% at Q1 2026, above the 100% minimum. As a larger Basel III bank, DIB monitors LCR/NSFR rather than the ELAR/ASRR ratios used by smaller UAE banks. The lower Q1 2026 LCR (still well above the minimum) reflects strong financing deployment and normal quarter-end positioning.</w:t>
      </w:r>
    </w:p>
    <w:p w14:paraId="04C10248" w14:textId="77777777" w:rsidR="006F3662" w:rsidRDefault="00B42244">
      <w:pPr>
        <w:pStyle w:val="Heading1"/>
        <w:pageBreakBefore/>
      </w:pPr>
      <w:r>
        <w:lastRenderedPageBreak/>
        <w:t>4. Internal and External Rating of DIB</w:t>
      </w:r>
    </w:p>
    <w:p w14:paraId="7B812AE4" w14:textId="77777777" w:rsidR="006F3662" w:rsidRDefault="00B42244">
      <w:pPr>
        <w:pStyle w:val="Heading2"/>
      </w:pPr>
      <w:r>
        <w:t>4.1 Credit Rating Review</w:t>
      </w:r>
    </w:p>
    <w:p w14:paraId="25576983" w14:textId="77777777" w:rsidR="006F3662" w:rsidRDefault="00B42244">
      <w:pPr>
        <w:spacing w:after="120" w:line="264" w:lineRule="auto"/>
      </w:pPr>
      <w:r>
        <w:t>DIB carries strong investment-grade external ratings, each on a Stable outlook, with several notches of uplift attributable to a very high likelihood of UAE / Dubai government support. Fitch rates DIB ‘A’ (Long-Term IDR) with a ‘F1’ Short-Term IDR; Moody’s rates DIB ‘A3’; and the Islamic International Rating Agency (IIRA) assigns ‘A+’ on the international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F3662" w14:paraId="00A5E33B" w14:textId="77777777">
        <w:tblPrEx>
          <w:tblCellMar>
            <w:top w:w="0" w:type="dxa"/>
            <w:bottom w:w="0" w:type="dxa"/>
          </w:tblCellMar>
        </w:tblPrEx>
        <w:trPr>
          <w:tblHeader/>
        </w:trPr>
        <w:tc>
          <w:tcPr>
            <w:tcW w:w="468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257783A9" w14:textId="77777777" w:rsidR="006F3662" w:rsidRDefault="00B42244">
            <w:r>
              <w:rPr>
                <w:b/>
                <w:bCs/>
                <w:color w:val="FFFFFF"/>
                <w:sz w:val="19"/>
                <w:szCs w:val="19"/>
              </w:rPr>
              <w:t>Rating Agency</w:t>
            </w:r>
          </w:p>
        </w:tc>
        <w:tc>
          <w:tcPr>
            <w:tcW w:w="468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75029F4A" w14:textId="77777777" w:rsidR="006F3662" w:rsidRDefault="00B42244">
            <w:pPr>
              <w:jc w:val="center"/>
            </w:pPr>
            <w:r>
              <w:rPr>
                <w:b/>
                <w:bCs/>
                <w:color w:val="FFFFFF"/>
                <w:sz w:val="19"/>
                <w:szCs w:val="19"/>
              </w:rPr>
              <w:t>Rating / Outlook</w:t>
            </w:r>
          </w:p>
        </w:tc>
      </w:tr>
      <w:tr w:rsidR="006F3662" w14:paraId="34925C33" w14:textId="77777777">
        <w:tblPrEx>
          <w:tblCellMar>
            <w:top w:w="0" w:type="dxa"/>
            <w:bottom w:w="0" w:type="dxa"/>
          </w:tblCellMar>
        </w:tblPrEx>
        <w:tc>
          <w:tcPr>
            <w:tcW w:w="468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770AFFF5" w14:textId="77777777" w:rsidR="006F3662" w:rsidRDefault="00B42244">
            <w:r>
              <w:rPr>
                <w:b/>
                <w:bCs/>
                <w:color w:val="222222"/>
                <w:sz w:val="19"/>
                <w:szCs w:val="19"/>
              </w:rPr>
              <w:t>Moody’s</w:t>
            </w:r>
          </w:p>
        </w:tc>
        <w:tc>
          <w:tcPr>
            <w:tcW w:w="468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7C0A5CAD" w14:textId="77777777" w:rsidR="006F3662" w:rsidRDefault="00B42244">
            <w:pPr>
              <w:jc w:val="center"/>
            </w:pPr>
            <w:r>
              <w:rPr>
                <w:color w:val="222222"/>
                <w:sz w:val="19"/>
                <w:szCs w:val="19"/>
              </w:rPr>
              <w:t>A3 / Stable (LT issuer); affirmed Apr-2025</w:t>
            </w:r>
          </w:p>
        </w:tc>
      </w:tr>
      <w:tr w:rsidR="006F3662" w14:paraId="2D1DB343" w14:textId="77777777">
        <w:tblPrEx>
          <w:tblCellMar>
            <w:top w:w="0" w:type="dxa"/>
            <w:bottom w:w="0" w:type="dxa"/>
          </w:tblCellMar>
        </w:tblPrEx>
        <w:tc>
          <w:tcPr>
            <w:tcW w:w="468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6DE7D409" w14:textId="77777777" w:rsidR="006F3662" w:rsidRDefault="00B42244">
            <w:r>
              <w:rPr>
                <w:b/>
                <w:bCs/>
                <w:color w:val="222222"/>
                <w:sz w:val="19"/>
                <w:szCs w:val="19"/>
              </w:rPr>
              <w:t>Fitch</w:t>
            </w:r>
          </w:p>
        </w:tc>
        <w:tc>
          <w:tcPr>
            <w:tcW w:w="468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71BE505B" w14:textId="77777777" w:rsidR="006F3662" w:rsidRDefault="00B42244">
            <w:pPr>
              <w:jc w:val="center"/>
            </w:pPr>
            <w:r>
              <w:rPr>
                <w:color w:val="222222"/>
                <w:sz w:val="19"/>
                <w:szCs w:val="19"/>
              </w:rPr>
              <w:t>A / Stable (LT IDR); F1 (ST IDR)</w:t>
            </w:r>
          </w:p>
        </w:tc>
      </w:tr>
      <w:tr w:rsidR="006F3662" w14:paraId="3E4D7DCD" w14:textId="77777777">
        <w:tblPrEx>
          <w:tblCellMar>
            <w:top w:w="0" w:type="dxa"/>
            <w:bottom w:w="0" w:type="dxa"/>
          </w:tblCellMar>
        </w:tblPrEx>
        <w:tc>
          <w:tcPr>
            <w:tcW w:w="468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6772E316" w14:textId="77777777" w:rsidR="006F3662" w:rsidRDefault="00B42244">
            <w:r>
              <w:rPr>
                <w:b/>
                <w:bCs/>
                <w:color w:val="222222"/>
                <w:sz w:val="19"/>
                <w:szCs w:val="19"/>
              </w:rPr>
              <w:t>IIRA (Islamic International Rating Agency)</w:t>
            </w:r>
          </w:p>
        </w:tc>
        <w:tc>
          <w:tcPr>
            <w:tcW w:w="468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3D7EA35A" w14:textId="77777777" w:rsidR="006F3662" w:rsidRDefault="00B42244">
            <w:pPr>
              <w:jc w:val="center"/>
            </w:pPr>
            <w:r>
              <w:rPr>
                <w:color w:val="222222"/>
                <w:sz w:val="19"/>
                <w:szCs w:val="19"/>
              </w:rPr>
              <w:t>A+ (international) / A (national), Stable</w:t>
            </w:r>
          </w:p>
        </w:tc>
      </w:tr>
    </w:tbl>
    <w:p w14:paraId="3DDFED9A" w14:textId="77777777" w:rsidR="006F3662" w:rsidRDefault="00B42244">
      <w:pPr>
        <w:spacing w:after="120" w:line="264" w:lineRule="auto"/>
      </w:pPr>
      <w:r>
        <w:t>Internally, DIB’s GCMS-derived rating is consistent with its A3 / A external profile, mapping to an internal rank of approximately AAA / sAA+ — one to two notches above the AA+ rank applied to comparable Baa1 / BBB+ counterparties. The internal rating should be confirmed in the GCMS system at the point of approval.</w:t>
      </w:r>
    </w:p>
    <w:p w14:paraId="52AAF566" w14:textId="77777777" w:rsidR="006F3662" w:rsidRDefault="00B42244">
      <w:pPr>
        <w:pStyle w:val="Heading2"/>
      </w:pPr>
      <w:r>
        <w:t>4.2 Credit Limit Availability</w:t>
      </w:r>
    </w:p>
    <w:p w14:paraId="03953CB3" w14:textId="77777777" w:rsidR="006F3662" w:rsidRDefault="00B42244">
      <w:pPr>
        <w:spacing w:after="120" w:line="264" w:lineRule="auto"/>
      </w:pPr>
      <w:r>
        <w:t>The proposed and outstanding ICBC credit lines for DIB are summarised below. Figures are to be completed from FID / GCMS records (placeholders shown).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7"/>
        <w:gridCol w:w="978"/>
        <w:gridCol w:w="978"/>
        <w:gridCol w:w="978"/>
        <w:gridCol w:w="1351"/>
        <w:gridCol w:w="978"/>
        <w:gridCol w:w="1234"/>
        <w:gridCol w:w="1096"/>
      </w:tblGrid>
      <w:tr w:rsidR="006F3662" w14:paraId="4F2DD6C6" w14:textId="77777777">
        <w:tblPrEx>
          <w:tblCellMar>
            <w:top w:w="0" w:type="dxa"/>
            <w:bottom w:w="0" w:type="dxa"/>
          </w:tblCellMar>
        </w:tblPrEx>
        <w:trPr>
          <w:tblHeader/>
        </w:trPr>
        <w:tc>
          <w:tcPr>
            <w:tcW w:w="170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0F464F0F" w14:textId="77777777" w:rsidR="006F3662" w:rsidRDefault="00B42244">
            <w:r>
              <w:rPr>
                <w:b/>
                <w:bCs/>
                <w:color w:val="FFFFFF"/>
                <w:sz w:val="16"/>
                <w:szCs w:val="16"/>
              </w:rPr>
              <w:t>USD million</w:t>
            </w:r>
          </w:p>
        </w:tc>
        <w:tc>
          <w:tcPr>
            <w:tcW w:w="94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1753B67D" w14:textId="77777777" w:rsidR="006F3662" w:rsidRDefault="00B42244">
            <w:pPr>
              <w:jc w:val="center"/>
            </w:pPr>
            <w:r>
              <w:rPr>
                <w:b/>
                <w:bCs/>
                <w:color w:val="FFFFFF"/>
                <w:sz w:val="16"/>
                <w:szCs w:val="16"/>
              </w:rPr>
              <w:t>Max credit line</w:t>
            </w:r>
          </w:p>
        </w:tc>
        <w:tc>
          <w:tcPr>
            <w:tcW w:w="94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018C8A31" w14:textId="77777777" w:rsidR="006F3662" w:rsidRDefault="00B42244">
            <w:pPr>
              <w:jc w:val="center"/>
            </w:pPr>
            <w:r>
              <w:rPr>
                <w:b/>
                <w:bCs/>
                <w:color w:val="FFFFFF"/>
                <w:sz w:val="16"/>
                <w:szCs w:val="16"/>
              </w:rPr>
              <w:t>Non-specific</w:t>
            </w:r>
          </w:p>
        </w:tc>
        <w:tc>
          <w:tcPr>
            <w:tcW w:w="94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079E36CC" w14:textId="77777777" w:rsidR="006F3662" w:rsidRDefault="00B42244">
            <w:pPr>
              <w:jc w:val="center"/>
            </w:pPr>
            <w:r>
              <w:rPr>
                <w:b/>
                <w:bCs/>
                <w:color w:val="FFFFFF"/>
                <w:sz w:val="16"/>
                <w:szCs w:val="16"/>
              </w:rPr>
              <w:t>Interbank ≤1yr</w:t>
            </w:r>
          </w:p>
        </w:tc>
        <w:tc>
          <w:tcPr>
            <w:tcW w:w="94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5BA8DE0A" w14:textId="77777777" w:rsidR="006F3662" w:rsidRDefault="00B42244">
            <w:pPr>
              <w:jc w:val="center"/>
            </w:pPr>
            <w:r>
              <w:rPr>
                <w:b/>
                <w:bCs/>
                <w:color w:val="FFFFFF"/>
                <w:sz w:val="16"/>
                <w:szCs w:val="16"/>
              </w:rPr>
              <w:t>Interbank &gt;1yr</w:t>
            </w:r>
          </w:p>
        </w:tc>
        <w:tc>
          <w:tcPr>
            <w:tcW w:w="94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785B183C" w14:textId="77777777" w:rsidR="006F3662" w:rsidRDefault="00B42244">
            <w:pPr>
              <w:jc w:val="center"/>
            </w:pPr>
            <w:r>
              <w:rPr>
                <w:b/>
                <w:bCs/>
                <w:color w:val="FFFFFF"/>
                <w:sz w:val="16"/>
                <w:szCs w:val="16"/>
              </w:rPr>
              <w:t>Debt invest.</w:t>
            </w:r>
          </w:p>
        </w:tc>
        <w:tc>
          <w:tcPr>
            <w:tcW w:w="94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59BD9BD9" w14:textId="77777777" w:rsidR="006F3662" w:rsidRDefault="00B42244">
            <w:pPr>
              <w:jc w:val="center"/>
            </w:pPr>
            <w:r>
              <w:rPr>
                <w:b/>
                <w:bCs/>
                <w:color w:val="FFFFFF"/>
                <w:sz w:val="16"/>
                <w:szCs w:val="16"/>
              </w:rPr>
              <w:t>Underwriting</w:t>
            </w:r>
          </w:p>
        </w:tc>
        <w:tc>
          <w:tcPr>
            <w:tcW w:w="1020" w:type="dxa"/>
            <w:tcBorders>
              <w:top w:val="single" w:sz="1" w:space="0" w:color="C5CFD8"/>
              <w:left w:val="single" w:sz="1" w:space="0" w:color="C5CFD8"/>
              <w:bottom w:val="single" w:sz="1" w:space="0" w:color="C5CFD8"/>
              <w:right w:val="single" w:sz="1" w:space="0" w:color="C5CFD8"/>
            </w:tcBorders>
            <w:shd w:val="clear" w:color="auto" w:fill="0B2D4D"/>
            <w:tcMar>
              <w:top w:w="60" w:type="dxa"/>
              <w:left w:w="100" w:type="dxa"/>
              <w:bottom w:w="60" w:type="dxa"/>
              <w:right w:w="100" w:type="dxa"/>
            </w:tcMar>
            <w:vAlign w:val="center"/>
          </w:tcPr>
          <w:p w14:paraId="5A10BCF5" w14:textId="77777777" w:rsidR="006F3662" w:rsidRDefault="00B42244">
            <w:pPr>
              <w:jc w:val="center"/>
            </w:pPr>
            <w:r>
              <w:rPr>
                <w:b/>
                <w:bCs/>
                <w:color w:val="FFFFFF"/>
                <w:sz w:val="16"/>
                <w:szCs w:val="16"/>
              </w:rPr>
              <w:t>Derivatives</w:t>
            </w:r>
          </w:p>
        </w:tc>
      </w:tr>
      <w:tr w:rsidR="006F3662" w14:paraId="39C5FA8B" w14:textId="77777777">
        <w:tblPrEx>
          <w:tblCellMar>
            <w:top w:w="0" w:type="dxa"/>
            <w:bottom w:w="0" w:type="dxa"/>
          </w:tblCellMar>
        </w:tblPrEx>
        <w:tc>
          <w:tcPr>
            <w:tcW w:w="17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2C95469E" w14:textId="77777777" w:rsidR="006F3662" w:rsidRDefault="00B42244">
            <w:r>
              <w:rPr>
                <w:b/>
                <w:bCs/>
                <w:color w:val="222222"/>
                <w:sz w:val="16"/>
                <w:szCs w:val="16"/>
              </w:rPr>
              <w:t>Current Outstanding</w:t>
            </w:r>
          </w:p>
        </w:tc>
        <w:tc>
          <w:tcPr>
            <w:tcW w:w="94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75C2E952" w14:textId="77777777" w:rsidR="006F3662" w:rsidRDefault="00B42244">
            <w:pPr>
              <w:jc w:val="center"/>
            </w:pPr>
            <w:r>
              <w:rPr>
                <w:color w:val="222222"/>
                <w:sz w:val="16"/>
                <w:szCs w:val="16"/>
              </w:rPr>
              <w:t>[ TBD ]</w:t>
            </w:r>
          </w:p>
        </w:tc>
        <w:tc>
          <w:tcPr>
            <w:tcW w:w="94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517DEB65" w14:textId="77777777" w:rsidR="006F3662" w:rsidRDefault="00B42244">
            <w:pPr>
              <w:jc w:val="center"/>
            </w:pPr>
            <w:r>
              <w:rPr>
                <w:color w:val="222222"/>
                <w:sz w:val="16"/>
                <w:szCs w:val="16"/>
              </w:rPr>
              <w:t>[ TBD ]</w:t>
            </w:r>
          </w:p>
        </w:tc>
        <w:tc>
          <w:tcPr>
            <w:tcW w:w="94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66BC5E3A" w14:textId="77777777" w:rsidR="006F3662" w:rsidRDefault="00B42244">
            <w:pPr>
              <w:jc w:val="center"/>
            </w:pPr>
            <w:r>
              <w:rPr>
                <w:color w:val="222222"/>
                <w:sz w:val="16"/>
                <w:szCs w:val="16"/>
              </w:rPr>
              <w:t>[ TBD ]</w:t>
            </w:r>
          </w:p>
        </w:tc>
        <w:tc>
          <w:tcPr>
            <w:tcW w:w="94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6377BD6C" w14:textId="77777777" w:rsidR="006F3662" w:rsidRDefault="00B42244">
            <w:pPr>
              <w:jc w:val="center"/>
            </w:pPr>
            <w:r>
              <w:rPr>
                <w:color w:val="222222"/>
                <w:sz w:val="16"/>
                <w:szCs w:val="16"/>
              </w:rPr>
              <w:t>[ TBD ]</w:t>
            </w:r>
          </w:p>
        </w:tc>
        <w:tc>
          <w:tcPr>
            <w:tcW w:w="94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03AAB6B9" w14:textId="77777777" w:rsidR="006F3662" w:rsidRDefault="00B42244">
            <w:pPr>
              <w:jc w:val="center"/>
            </w:pPr>
            <w:r>
              <w:rPr>
                <w:color w:val="222222"/>
                <w:sz w:val="16"/>
                <w:szCs w:val="16"/>
              </w:rPr>
              <w:t>[ TBD ]</w:t>
            </w:r>
          </w:p>
        </w:tc>
        <w:tc>
          <w:tcPr>
            <w:tcW w:w="94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47308C8E" w14:textId="77777777" w:rsidR="006F3662" w:rsidRDefault="00B42244">
            <w:pPr>
              <w:jc w:val="center"/>
            </w:pPr>
            <w:r>
              <w:rPr>
                <w:color w:val="222222"/>
                <w:sz w:val="16"/>
                <w:szCs w:val="16"/>
              </w:rPr>
              <w:t>[ TBD ]</w:t>
            </w:r>
          </w:p>
        </w:tc>
        <w:tc>
          <w:tcPr>
            <w:tcW w:w="102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2C8D0A04" w14:textId="77777777" w:rsidR="006F3662" w:rsidRDefault="00B42244">
            <w:pPr>
              <w:jc w:val="center"/>
            </w:pPr>
            <w:r>
              <w:rPr>
                <w:color w:val="222222"/>
                <w:sz w:val="16"/>
                <w:szCs w:val="16"/>
              </w:rPr>
              <w:t>[ TBD ]</w:t>
            </w:r>
          </w:p>
        </w:tc>
      </w:tr>
      <w:tr w:rsidR="006F3662" w14:paraId="075822AD" w14:textId="77777777">
        <w:tblPrEx>
          <w:tblCellMar>
            <w:top w:w="0" w:type="dxa"/>
            <w:bottom w:w="0" w:type="dxa"/>
          </w:tblCellMar>
        </w:tblPrEx>
        <w:tc>
          <w:tcPr>
            <w:tcW w:w="170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7B297E15" w14:textId="77777777" w:rsidR="006F3662" w:rsidRDefault="00B42244">
            <w:r>
              <w:rPr>
                <w:b/>
                <w:bCs/>
                <w:color w:val="222222"/>
                <w:sz w:val="16"/>
                <w:szCs w:val="16"/>
              </w:rPr>
              <w:t>Current Limit</w:t>
            </w:r>
          </w:p>
        </w:tc>
        <w:tc>
          <w:tcPr>
            <w:tcW w:w="94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01D6F8CC" w14:textId="77777777" w:rsidR="006F3662" w:rsidRDefault="00B42244">
            <w:pPr>
              <w:jc w:val="center"/>
            </w:pPr>
            <w:r>
              <w:rPr>
                <w:color w:val="222222"/>
                <w:sz w:val="16"/>
                <w:szCs w:val="16"/>
              </w:rPr>
              <w:t>[ TBD ]</w:t>
            </w:r>
          </w:p>
        </w:tc>
        <w:tc>
          <w:tcPr>
            <w:tcW w:w="94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2F1365AE" w14:textId="77777777" w:rsidR="006F3662" w:rsidRDefault="00B42244">
            <w:pPr>
              <w:jc w:val="center"/>
            </w:pPr>
            <w:r>
              <w:rPr>
                <w:color w:val="222222"/>
                <w:sz w:val="16"/>
                <w:szCs w:val="16"/>
              </w:rPr>
              <w:t>[ TBD ]</w:t>
            </w:r>
          </w:p>
        </w:tc>
        <w:tc>
          <w:tcPr>
            <w:tcW w:w="94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16308734" w14:textId="77777777" w:rsidR="006F3662" w:rsidRDefault="00B42244">
            <w:pPr>
              <w:jc w:val="center"/>
            </w:pPr>
            <w:r>
              <w:rPr>
                <w:color w:val="222222"/>
                <w:sz w:val="16"/>
                <w:szCs w:val="16"/>
              </w:rPr>
              <w:t>[ TBD ]</w:t>
            </w:r>
          </w:p>
        </w:tc>
        <w:tc>
          <w:tcPr>
            <w:tcW w:w="94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5EBF88D7" w14:textId="77777777" w:rsidR="006F3662" w:rsidRDefault="00B42244">
            <w:pPr>
              <w:jc w:val="center"/>
            </w:pPr>
            <w:r>
              <w:rPr>
                <w:color w:val="222222"/>
                <w:sz w:val="16"/>
                <w:szCs w:val="16"/>
              </w:rPr>
              <w:t>[ TBD ]</w:t>
            </w:r>
          </w:p>
        </w:tc>
        <w:tc>
          <w:tcPr>
            <w:tcW w:w="94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74F18DB9" w14:textId="77777777" w:rsidR="006F3662" w:rsidRDefault="00B42244">
            <w:pPr>
              <w:jc w:val="center"/>
            </w:pPr>
            <w:r>
              <w:rPr>
                <w:color w:val="222222"/>
                <w:sz w:val="16"/>
                <w:szCs w:val="16"/>
              </w:rPr>
              <w:t>[ TBD ]</w:t>
            </w:r>
          </w:p>
        </w:tc>
        <w:tc>
          <w:tcPr>
            <w:tcW w:w="94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71D6E871" w14:textId="77777777" w:rsidR="006F3662" w:rsidRDefault="00B42244">
            <w:pPr>
              <w:jc w:val="center"/>
            </w:pPr>
            <w:r>
              <w:rPr>
                <w:color w:val="222222"/>
                <w:sz w:val="16"/>
                <w:szCs w:val="16"/>
              </w:rPr>
              <w:t>[ TBD ]</w:t>
            </w:r>
          </w:p>
        </w:tc>
        <w:tc>
          <w:tcPr>
            <w:tcW w:w="1020" w:type="dxa"/>
            <w:tcBorders>
              <w:top w:val="single" w:sz="1" w:space="0" w:color="C5CFD8"/>
              <w:left w:val="single" w:sz="1" w:space="0" w:color="C5CFD8"/>
              <w:bottom w:val="single" w:sz="1" w:space="0" w:color="C5CFD8"/>
              <w:right w:val="single" w:sz="1" w:space="0" w:color="C5CFD8"/>
            </w:tcBorders>
            <w:shd w:val="clear" w:color="auto" w:fill="EEF3F7"/>
            <w:tcMar>
              <w:top w:w="60" w:type="dxa"/>
              <w:left w:w="100" w:type="dxa"/>
              <w:bottom w:w="60" w:type="dxa"/>
              <w:right w:w="100" w:type="dxa"/>
            </w:tcMar>
            <w:vAlign w:val="center"/>
          </w:tcPr>
          <w:p w14:paraId="5CA0292A" w14:textId="77777777" w:rsidR="006F3662" w:rsidRDefault="00B42244">
            <w:pPr>
              <w:jc w:val="center"/>
            </w:pPr>
            <w:r>
              <w:rPr>
                <w:color w:val="222222"/>
                <w:sz w:val="16"/>
                <w:szCs w:val="16"/>
              </w:rPr>
              <w:t>[ TBD ]</w:t>
            </w:r>
          </w:p>
        </w:tc>
      </w:tr>
      <w:tr w:rsidR="006F3662" w14:paraId="152BEE30" w14:textId="77777777">
        <w:tblPrEx>
          <w:tblCellMar>
            <w:top w:w="0" w:type="dxa"/>
            <w:bottom w:w="0" w:type="dxa"/>
          </w:tblCellMar>
        </w:tblPrEx>
        <w:tc>
          <w:tcPr>
            <w:tcW w:w="170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5B370855" w14:textId="77777777" w:rsidR="006F3662" w:rsidRDefault="00B42244">
            <w:r>
              <w:rPr>
                <w:b/>
                <w:bCs/>
                <w:color w:val="222222"/>
                <w:sz w:val="16"/>
                <w:szCs w:val="16"/>
              </w:rPr>
              <w:t>Recommended Limit</w:t>
            </w:r>
          </w:p>
        </w:tc>
        <w:tc>
          <w:tcPr>
            <w:tcW w:w="94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69479BA3" w14:textId="77777777" w:rsidR="006F3662" w:rsidRDefault="00B42244">
            <w:pPr>
              <w:jc w:val="center"/>
            </w:pPr>
            <w:r>
              <w:rPr>
                <w:color w:val="222222"/>
                <w:sz w:val="16"/>
                <w:szCs w:val="16"/>
              </w:rPr>
              <w:t>[ TBD ]</w:t>
            </w:r>
          </w:p>
        </w:tc>
        <w:tc>
          <w:tcPr>
            <w:tcW w:w="94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7B2AB898" w14:textId="77777777" w:rsidR="006F3662" w:rsidRDefault="00B42244">
            <w:pPr>
              <w:jc w:val="center"/>
            </w:pPr>
            <w:r>
              <w:rPr>
                <w:color w:val="222222"/>
                <w:sz w:val="16"/>
                <w:szCs w:val="16"/>
              </w:rPr>
              <w:t>[ TBD ]</w:t>
            </w:r>
          </w:p>
        </w:tc>
        <w:tc>
          <w:tcPr>
            <w:tcW w:w="94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30F88D24" w14:textId="77777777" w:rsidR="006F3662" w:rsidRDefault="00B42244">
            <w:pPr>
              <w:jc w:val="center"/>
            </w:pPr>
            <w:r>
              <w:rPr>
                <w:color w:val="222222"/>
                <w:sz w:val="16"/>
                <w:szCs w:val="16"/>
              </w:rPr>
              <w:t>[ TBD ]</w:t>
            </w:r>
          </w:p>
        </w:tc>
        <w:tc>
          <w:tcPr>
            <w:tcW w:w="94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4A4B6389" w14:textId="77777777" w:rsidR="006F3662" w:rsidRDefault="00B42244">
            <w:pPr>
              <w:jc w:val="center"/>
            </w:pPr>
            <w:r>
              <w:rPr>
                <w:color w:val="222222"/>
                <w:sz w:val="16"/>
                <w:szCs w:val="16"/>
              </w:rPr>
              <w:t>[ TBD ]</w:t>
            </w:r>
          </w:p>
        </w:tc>
        <w:tc>
          <w:tcPr>
            <w:tcW w:w="94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49366738" w14:textId="77777777" w:rsidR="006F3662" w:rsidRDefault="00B42244">
            <w:pPr>
              <w:jc w:val="center"/>
            </w:pPr>
            <w:r>
              <w:rPr>
                <w:color w:val="222222"/>
                <w:sz w:val="16"/>
                <w:szCs w:val="16"/>
              </w:rPr>
              <w:t>[ TBD ]</w:t>
            </w:r>
          </w:p>
        </w:tc>
        <w:tc>
          <w:tcPr>
            <w:tcW w:w="94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4722B120" w14:textId="77777777" w:rsidR="006F3662" w:rsidRDefault="00B42244">
            <w:pPr>
              <w:jc w:val="center"/>
            </w:pPr>
            <w:r>
              <w:rPr>
                <w:color w:val="222222"/>
                <w:sz w:val="16"/>
                <w:szCs w:val="16"/>
              </w:rPr>
              <w:t>[ TBD ]</w:t>
            </w:r>
          </w:p>
        </w:tc>
        <w:tc>
          <w:tcPr>
            <w:tcW w:w="1020" w:type="dxa"/>
            <w:tcBorders>
              <w:top w:val="single" w:sz="1" w:space="0" w:color="C5CFD8"/>
              <w:left w:val="single" w:sz="1" w:space="0" w:color="C5CFD8"/>
              <w:bottom w:val="single" w:sz="1" w:space="0" w:color="C5CFD8"/>
              <w:right w:val="single" w:sz="1" w:space="0" w:color="C5CFD8"/>
            </w:tcBorders>
            <w:tcMar>
              <w:top w:w="60" w:type="dxa"/>
              <w:left w:w="100" w:type="dxa"/>
              <w:bottom w:w="60" w:type="dxa"/>
              <w:right w:w="100" w:type="dxa"/>
            </w:tcMar>
            <w:vAlign w:val="center"/>
          </w:tcPr>
          <w:p w14:paraId="18F1F40A" w14:textId="77777777" w:rsidR="006F3662" w:rsidRDefault="00B42244">
            <w:pPr>
              <w:jc w:val="center"/>
            </w:pPr>
            <w:r>
              <w:rPr>
                <w:color w:val="222222"/>
                <w:sz w:val="16"/>
                <w:szCs w:val="16"/>
              </w:rPr>
              <w:t>[ TBD ]</w:t>
            </w:r>
          </w:p>
        </w:tc>
      </w:tr>
    </w:tbl>
    <w:p w14:paraId="515D7703" w14:textId="77777777" w:rsidR="006F3662" w:rsidRDefault="00B42244">
      <w:pPr>
        <w:spacing w:after="120"/>
      </w:pPr>
      <w:r>
        <w:rPr>
          <w:i/>
          <w:iCs/>
          <w:color w:val="6B7280"/>
          <w:sz w:val="17"/>
          <w:szCs w:val="17"/>
        </w:rPr>
        <w:t>Placeholder: insert current utilisation, approved limits and the recommended limit per product line from FID records. The reference (maximum) limit derived from the HO model is set out in Section 6.</w:t>
      </w:r>
    </w:p>
    <w:p w14:paraId="09AB8430" w14:textId="77777777" w:rsidR="006F3662" w:rsidRDefault="00B42244">
      <w:pPr>
        <w:pStyle w:val="Heading1"/>
      </w:pPr>
      <w:r>
        <w:t>5. Historical Banking Relationship and Plan</w:t>
      </w:r>
    </w:p>
    <w:p w14:paraId="13FACD9A" w14:textId="77777777" w:rsidR="006F3662" w:rsidRDefault="00B42244">
      <w:pPr>
        <w:spacing w:after="120" w:line="264" w:lineRule="auto"/>
      </w:pPr>
      <w:r>
        <w:t xml:space="preserve">[Placeholder — to be completed by the Relationship Manager.] Summarise ICBC’s historical and current relationship with DIB, including: </w:t>
      </w:r>
    </w:p>
    <w:p w14:paraId="17AE4E36" w14:textId="77777777" w:rsidR="006F3662" w:rsidRDefault="00B42244">
      <w:pPr>
        <w:pStyle w:val="ListParagraph"/>
        <w:numPr>
          <w:ilvl w:val="0"/>
          <w:numId w:val="2"/>
        </w:numPr>
        <w:spacing w:after="90" w:line="264" w:lineRule="auto"/>
      </w:pPr>
      <w:r>
        <w:t>[ Existing bilateral loans / interbank placements — amounts, tenors, maturities and repayment performance. ]</w:t>
      </w:r>
    </w:p>
    <w:p w14:paraId="14FB291D" w14:textId="77777777" w:rsidR="006F3662" w:rsidRDefault="00B42244">
      <w:pPr>
        <w:pStyle w:val="ListParagraph"/>
        <w:numPr>
          <w:ilvl w:val="0"/>
          <w:numId w:val="2"/>
        </w:numPr>
        <w:spacing w:after="90" w:line="264" w:lineRule="auto"/>
      </w:pPr>
      <w:r>
        <w:t>[ Bond / Sukuk investment holdings and any DCM mandates (joint bookrunner / lead manager roles) and amounts allocated. ]</w:t>
      </w:r>
    </w:p>
    <w:p w14:paraId="0264F98F" w14:textId="77777777" w:rsidR="006F3662" w:rsidRDefault="00B42244">
      <w:pPr>
        <w:pStyle w:val="ListParagraph"/>
        <w:numPr>
          <w:ilvl w:val="0"/>
          <w:numId w:val="2"/>
        </w:numPr>
        <w:spacing w:after="90" w:line="264" w:lineRule="auto"/>
      </w:pPr>
      <w:r>
        <w:t>[ Trade-finance, derivatives (ISDA / GMRA status) and treasury cooperation, including outstanding notionals. ]</w:t>
      </w:r>
    </w:p>
    <w:p w14:paraId="76C68304" w14:textId="77777777" w:rsidR="006F3662" w:rsidRDefault="00B42244">
      <w:pPr>
        <w:pStyle w:val="ListParagraph"/>
        <w:numPr>
          <w:ilvl w:val="0"/>
          <w:numId w:val="2"/>
        </w:numPr>
        <w:spacing w:after="90" w:line="264" w:lineRule="auto"/>
      </w:pPr>
      <w:r>
        <w:t>[ Account conduct, prior CRC approvals, and any covenant / repayment track record. ]</w:t>
      </w:r>
    </w:p>
    <w:p w14:paraId="389D26C5" w14:textId="77777777" w:rsidR="006F3662" w:rsidRDefault="00B42244">
      <w:pPr>
        <w:pStyle w:val="ListParagraph"/>
        <w:numPr>
          <w:ilvl w:val="0"/>
          <w:numId w:val="2"/>
        </w:numPr>
        <w:spacing w:after="90" w:line="264" w:lineRule="auto"/>
      </w:pPr>
      <w:r>
        <w:t>[ Strategic rationale and forward plan — proposed product lines, CNY / cross-border opportunities, and the recommended limit increase, if any. ]</w:t>
      </w:r>
    </w:p>
    <w:p w14:paraId="7FE516C6" w14:textId="77777777" w:rsidR="006F3662" w:rsidRDefault="00B42244">
      <w:pPr>
        <w:pStyle w:val="Heading1"/>
        <w:pageBreakBefore/>
      </w:pPr>
      <w:r>
        <w:lastRenderedPageBreak/>
        <w:t>6. Evaluation of Credit Risk and Reference Value of Credit Line</w:t>
      </w:r>
    </w:p>
    <w:p w14:paraId="12A7A783" w14:textId="77777777" w:rsidR="006F3662" w:rsidRDefault="00B42244">
      <w:pPr>
        <w:pStyle w:val="Heading2"/>
      </w:pPr>
      <w:r>
        <w:t>6.1 Maximum Credit Limit (Credit Limit Appetite, “CTA”)</w:t>
      </w:r>
    </w:p>
    <w:p w14:paraId="44D2108D" w14:textId="77777777" w:rsidR="006F3662" w:rsidRDefault="00B42244">
      <w:pPr>
        <w:spacing w:after="120" w:line="264" w:lineRule="auto"/>
      </w:pPr>
      <w:r>
        <w:t>The maximum limit is derived from the HO model for overseas bank clients (1 USD = 3.6725 AED):</w:t>
      </w:r>
    </w:p>
    <w:p w14:paraId="49D1C165" w14:textId="77777777" w:rsidR="006F3662" w:rsidRDefault="00B42244">
      <w:pPr>
        <w:spacing w:before="60" w:after="120"/>
        <w:jc w:val="center"/>
      </w:pPr>
      <w:r>
        <w:rPr>
          <w:b/>
          <w:bCs/>
          <w:color w:val="0B2D4D"/>
          <w:sz w:val="24"/>
          <w:szCs w:val="24"/>
        </w:rPr>
        <w:t>CTA = min (CTA1, CTA2) × Adj1 × Adj2  ≈  USD 434.7 million</w:t>
      </w:r>
    </w:p>
    <w:p w14:paraId="0EF5272C" w14:textId="77777777" w:rsidR="006F3662" w:rsidRDefault="00B42244">
      <w:pPr>
        <w:pStyle w:val="ListParagraph"/>
        <w:numPr>
          <w:ilvl w:val="0"/>
          <w:numId w:val="2"/>
        </w:numPr>
        <w:spacing w:after="90" w:line="264" w:lineRule="auto"/>
      </w:pPr>
      <w:r>
        <w:t>CTA1 = a × CT0 = 24% × USD 200,000m = USD 48,000m. Per DIB’s A3 / A external rating (internal rank ≈ AAA / AA+), risk-factor weight a ≈ 24%; CT0 = USD 200 bn per HO rule. CTA1 is non-binding.</w:t>
      </w:r>
    </w:p>
    <w:p w14:paraId="6DEC708A" w14:textId="77777777" w:rsidR="006F3662" w:rsidRDefault="00B42244">
      <w:pPr>
        <w:pStyle w:val="ListParagraph"/>
        <w:numPr>
          <w:ilvl w:val="0"/>
          <w:numId w:val="2"/>
        </w:numPr>
        <w:spacing w:after="90" w:line="264" w:lineRule="auto"/>
      </w:pPr>
      <w:r>
        <w:t>CTA2 = b × L = 0.4% × USD 98,791m = USD 395.2m. DIB’s audited FY2025 total liabilities of AED 362,813m = USD 98,791m. As total assets exceed USD 50 bn, a concentration factor b ≈ 0.4% is applied (see note).</w:t>
      </w:r>
    </w:p>
    <w:p w14:paraId="22A648C2" w14:textId="77777777" w:rsidR="006F3662" w:rsidRDefault="00B42244">
      <w:pPr>
        <w:pStyle w:val="ListParagraph"/>
        <w:numPr>
          <w:ilvl w:val="0"/>
          <w:numId w:val="2"/>
        </w:numPr>
        <w:spacing w:after="90" w:line="264" w:lineRule="auto"/>
      </w:pPr>
      <w:r>
        <w:t>Client significance factor Adj1 = 1.0 (DIB is a strategically important, government-linked counterparty).</w:t>
      </w:r>
    </w:p>
    <w:p w14:paraId="6042003C" w14:textId="77777777" w:rsidR="006F3662" w:rsidRDefault="00B42244">
      <w:pPr>
        <w:pStyle w:val="ListParagraph"/>
        <w:numPr>
          <w:ilvl w:val="0"/>
          <w:numId w:val="2"/>
        </w:numPr>
        <w:spacing w:after="90" w:line="264" w:lineRule="auto"/>
      </w:pPr>
      <w:r>
        <w:t>Client relationship factor Adj2 = 1.1 (ICBC maintains branches within the UAE).</w:t>
      </w:r>
    </w:p>
    <w:p w14:paraId="5F0FDBC1" w14:textId="77777777" w:rsidR="006F3662" w:rsidRDefault="00B42244">
      <w:pPr>
        <w:spacing w:after="120" w:line="264" w:lineRule="auto"/>
      </w:pPr>
      <w:r>
        <w:t xml:space="preserve">Therefore CTA = min(48,000 ; 395.2) × 1.0 × 1.1 = </w:t>
      </w:r>
      <w:r>
        <w:rPr>
          <w:b/>
          <w:bCs/>
        </w:rPr>
        <w:t>USD 434.7 million</w:t>
      </w:r>
      <w:r>
        <w:t xml:space="preserve"> — i.e. the concentration limb (CTA2) binds. Sensitivity to the concentration factor: b = 0.3% → ≈ USD 326m; b = 0.5% → ≈ USD 543m.</w:t>
      </w:r>
    </w:p>
    <w:p w14:paraId="7E6E72C5" w14:textId="77777777" w:rsidR="006F3662" w:rsidRDefault="00B42244">
      <w:pPr>
        <w:spacing w:after="120"/>
      </w:pPr>
      <w:r>
        <w:rPr>
          <w:i/>
          <w:iCs/>
          <w:color w:val="6B7280"/>
          <w:sz w:val="17"/>
          <w:szCs w:val="17"/>
        </w:rPr>
        <w:t>Note: the attached “Bank Clients Credit Limit Calculation Formula” provides the formula but not the populated Risk-Factor (Tab 1) and Concentration (Tab 2) schedules. The risk-factor weight a and the concentration factor b for the &gt; USD 50 bn asset tier are therefore assumptions anchored to the AA+ / 0.5% (USD 10–50 bn) precedent and must be confirmed against the current HO tables before approval.</w:t>
      </w:r>
    </w:p>
    <w:p w14:paraId="6E35F2D7" w14:textId="77777777" w:rsidR="006F3662" w:rsidRDefault="00B42244">
      <w:pPr>
        <w:pStyle w:val="Heading2"/>
      </w:pPr>
      <w:r>
        <w:t>6.2 Summary</w:t>
      </w:r>
    </w:p>
    <w:p w14:paraId="26B204F0" w14:textId="77777777" w:rsidR="006F3662" w:rsidRDefault="00B42244">
      <w:pPr>
        <w:spacing w:after="120" w:line="264" w:lineRule="auto"/>
      </w:pPr>
      <w:r>
        <w:t>DIB is a financially strong, systemically important and improving counterparty: the largest Islamic bank in the UAE and fourth-largest bank nationally, majority-controlled by the Government of Dubai (via ICD), with A3 / A external ratings, record FY2025 scale (assets AED 416 bn), markedly improved asset quality (NPF 2.65%), strong liquidity (LCR 157%) and a very high likelihood of sovereign support. The model-derived reference (maximum) credit limit is approximately USD 435 million on the base-case concentr</w:t>
      </w:r>
      <w:r>
        <w:t>ation factor. FID recommends approving credit limits for DIB within this appetite, with the specific product-line allocations to be inserted in Section 4.2 from FID records.</w:t>
      </w:r>
    </w:p>
    <w:p w14:paraId="16743525" w14:textId="77777777" w:rsidR="006F3662" w:rsidRDefault="00B42244">
      <w:pPr>
        <w:pBdr>
          <w:top w:val="single" w:sz="8" w:space="6" w:color="C8A24B"/>
        </w:pBdr>
        <w:spacing w:before="200" w:after="40"/>
      </w:pPr>
      <w:r>
        <w:rPr>
          <w:sz w:val="20"/>
          <w:szCs w:val="20"/>
        </w:rPr>
        <w:t xml:space="preserve">Relationship Manager: </w:t>
      </w:r>
      <w:r>
        <w:rPr>
          <w:b/>
          <w:bCs/>
          <w:sz w:val="20"/>
          <w:szCs w:val="20"/>
        </w:rPr>
        <w:t>Hanfang Bao</w:t>
      </w:r>
    </w:p>
    <w:p w14:paraId="03278AA3" w14:textId="77777777" w:rsidR="006F3662" w:rsidRDefault="00B42244">
      <w:pPr>
        <w:spacing w:after="120" w:line="264" w:lineRule="auto"/>
      </w:pPr>
      <w:r>
        <w:rPr>
          <w:sz w:val="20"/>
          <w:szCs w:val="20"/>
        </w:rPr>
        <w:t xml:space="preserve">Second Investigator: </w:t>
      </w:r>
      <w:r>
        <w:rPr>
          <w:b/>
          <w:bCs/>
          <w:sz w:val="20"/>
          <w:szCs w:val="20"/>
        </w:rPr>
        <w:t>Weida Zhou</w:t>
      </w:r>
    </w:p>
    <w:p w14:paraId="1EFE398D" w14:textId="77777777" w:rsidR="006F3662" w:rsidRDefault="00B42244">
      <w:pPr>
        <w:spacing w:after="120" w:line="264" w:lineRule="auto"/>
      </w:pPr>
      <w:r>
        <w:rPr>
          <w:sz w:val="20"/>
          <w:szCs w:val="20"/>
        </w:rPr>
        <w:t xml:space="preserve">Primary Responsible Person of Operation: </w:t>
      </w:r>
      <w:r>
        <w:rPr>
          <w:b/>
          <w:bCs/>
          <w:sz w:val="20"/>
          <w:szCs w:val="20"/>
        </w:rPr>
        <w:t>Rudy Benayoun</w:t>
      </w:r>
    </w:p>
    <w:p w14:paraId="19F2A1C1" w14:textId="77777777" w:rsidR="006F3662" w:rsidRDefault="00B42244">
      <w:pPr>
        <w:spacing w:after="120" w:line="264" w:lineRule="auto"/>
      </w:pPr>
      <w:r>
        <w:rPr>
          <w:b/>
          <w:bCs/>
          <w:color w:val="0B2D4D"/>
          <w:sz w:val="20"/>
          <w:szCs w:val="20"/>
        </w:rPr>
        <w:t>Financial Institution Department  —  March 2026</w:t>
      </w:r>
    </w:p>
    <w:sectPr w:rsidR="006F3662">
      <w:headerReference w:type="default" r:id="rId11"/>
      <w:footerReference w:type="default" r:id="rId12"/>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4EF0" w14:textId="77777777" w:rsidR="00B42244" w:rsidRDefault="00B42244">
      <w:r>
        <w:separator/>
      </w:r>
    </w:p>
  </w:endnote>
  <w:endnote w:type="continuationSeparator" w:id="0">
    <w:p w14:paraId="432A6231" w14:textId="77777777" w:rsidR="00B42244" w:rsidRDefault="00B42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3C0DD" w14:textId="77777777" w:rsidR="006F3662" w:rsidRDefault="00B42244">
    <w:pPr>
      <w:jc w:val="center"/>
    </w:pPr>
    <w:r>
      <w:rPr>
        <w:color w:val="6B7280"/>
        <w:sz w:val="15"/>
        <w:szCs w:val="15"/>
      </w:rPr>
      <w:t xml:space="preserve">Confidential — ICBC Internal   |   Page </w:t>
    </w:r>
    <w:r>
      <w:rPr>
        <w:color w:val="6B7280"/>
        <w:sz w:val="15"/>
        <w:szCs w:val="15"/>
      </w:rPr>
      <w:fldChar w:fldCharType="begin"/>
    </w:r>
    <w:r>
      <w:rPr>
        <w:color w:val="6B7280"/>
        <w:sz w:val="15"/>
        <w:szCs w:val="15"/>
      </w:rPr>
      <w:instrText>PAGE</w:instrText>
    </w:r>
    <w:r>
      <w:rPr>
        <w:color w:val="6B7280"/>
        <w:sz w:val="15"/>
        <w:szCs w:val="15"/>
      </w:rPr>
      <w:fldChar w:fldCharType="separate"/>
    </w:r>
    <w:r w:rsidR="00123800">
      <w:rPr>
        <w:noProof/>
        <w:color w:val="6B7280"/>
        <w:sz w:val="15"/>
        <w:szCs w:val="15"/>
      </w:rPr>
      <w:t>1</w:t>
    </w:r>
    <w:r>
      <w:rPr>
        <w:color w:val="6B7280"/>
        <w:sz w:val="15"/>
        <w:szCs w:val="15"/>
      </w:rPr>
      <w:fldChar w:fldCharType="end"/>
    </w:r>
    <w:r>
      <w:rPr>
        <w:color w:val="6B7280"/>
        <w:sz w:val="15"/>
        <w:szCs w:val="15"/>
      </w:rPr>
      <w:t xml:space="preserve"> of </w:t>
    </w:r>
    <w:r>
      <w:rPr>
        <w:color w:val="6B7280"/>
        <w:sz w:val="15"/>
        <w:szCs w:val="15"/>
      </w:rPr>
      <w:fldChar w:fldCharType="begin"/>
    </w:r>
    <w:r>
      <w:rPr>
        <w:color w:val="6B7280"/>
        <w:sz w:val="15"/>
        <w:szCs w:val="15"/>
      </w:rPr>
      <w:instrText>NUMPAGES</w:instrText>
    </w:r>
    <w:r>
      <w:rPr>
        <w:color w:val="6B7280"/>
        <w:sz w:val="15"/>
        <w:szCs w:val="15"/>
      </w:rPr>
      <w:fldChar w:fldCharType="separate"/>
    </w:r>
    <w:r w:rsidR="00123800">
      <w:rPr>
        <w:noProof/>
        <w:color w:val="6B7280"/>
        <w:sz w:val="15"/>
        <w:szCs w:val="15"/>
      </w:rPr>
      <w:t>2</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014C1" w14:textId="77777777" w:rsidR="00B42244" w:rsidRDefault="00B42244">
      <w:r>
        <w:separator/>
      </w:r>
    </w:p>
  </w:footnote>
  <w:footnote w:type="continuationSeparator" w:id="0">
    <w:p w14:paraId="0CFD64EE" w14:textId="77777777" w:rsidR="00B42244" w:rsidRDefault="00B422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2280" w14:textId="77777777" w:rsidR="006F3662" w:rsidRDefault="00B42244">
    <w:pPr>
      <w:pBdr>
        <w:bottom w:val="single" w:sz="6" w:space="2" w:color="C8A24B"/>
      </w:pBdr>
      <w:jc w:val="right"/>
    </w:pPr>
    <w:r>
      <w:rPr>
        <w:color w:val="6B7280"/>
        <w:sz w:val="15"/>
        <w:szCs w:val="15"/>
      </w:rPr>
      <w:t>ICBC FID  —  Dubai Islamic Bank PJSC  —  Credit Rating &amp; Limit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80083"/>
    <w:multiLevelType w:val="hybridMultilevel"/>
    <w:tmpl w:val="906AA730"/>
    <w:lvl w:ilvl="0" w:tplc="74F66532">
      <w:start w:val="1"/>
      <w:numFmt w:val="bullet"/>
      <w:lvlText w:val="•"/>
      <w:lvlJc w:val="left"/>
      <w:pPr>
        <w:ind w:left="460" w:hanging="240"/>
      </w:pPr>
    </w:lvl>
    <w:lvl w:ilvl="1" w:tplc="A8043FF0">
      <w:numFmt w:val="decimal"/>
      <w:lvlText w:val=""/>
      <w:lvlJc w:val="left"/>
    </w:lvl>
    <w:lvl w:ilvl="2" w:tplc="358CBEC4">
      <w:numFmt w:val="decimal"/>
      <w:lvlText w:val=""/>
      <w:lvlJc w:val="left"/>
    </w:lvl>
    <w:lvl w:ilvl="3" w:tplc="0D7CC050">
      <w:numFmt w:val="decimal"/>
      <w:lvlText w:val=""/>
      <w:lvlJc w:val="left"/>
    </w:lvl>
    <w:lvl w:ilvl="4" w:tplc="63622578">
      <w:numFmt w:val="decimal"/>
      <w:lvlText w:val=""/>
      <w:lvlJc w:val="left"/>
    </w:lvl>
    <w:lvl w:ilvl="5" w:tplc="AE86C7D8">
      <w:numFmt w:val="decimal"/>
      <w:lvlText w:val=""/>
      <w:lvlJc w:val="left"/>
    </w:lvl>
    <w:lvl w:ilvl="6" w:tplc="2AEE4A02">
      <w:numFmt w:val="decimal"/>
      <w:lvlText w:val=""/>
      <w:lvlJc w:val="left"/>
    </w:lvl>
    <w:lvl w:ilvl="7" w:tplc="96AA7614">
      <w:numFmt w:val="decimal"/>
      <w:lvlText w:val=""/>
      <w:lvlJc w:val="left"/>
    </w:lvl>
    <w:lvl w:ilvl="8" w:tplc="38E4D8FE">
      <w:numFmt w:val="decimal"/>
      <w:lvlText w:val=""/>
      <w:lvlJc w:val="left"/>
    </w:lvl>
  </w:abstractNum>
  <w:abstractNum w:abstractNumId="1" w15:restartNumberingAfterBreak="0">
    <w:nsid w:val="35692FB4"/>
    <w:multiLevelType w:val="hybridMultilevel"/>
    <w:tmpl w:val="14CA1002"/>
    <w:lvl w:ilvl="0" w:tplc="9680500C">
      <w:start w:val="1"/>
      <w:numFmt w:val="bullet"/>
      <w:lvlText w:val="●"/>
      <w:lvlJc w:val="left"/>
      <w:pPr>
        <w:ind w:left="720" w:hanging="360"/>
      </w:pPr>
    </w:lvl>
    <w:lvl w:ilvl="1" w:tplc="6A0E2672">
      <w:start w:val="1"/>
      <w:numFmt w:val="bullet"/>
      <w:lvlText w:val="○"/>
      <w:lvlJc w:val="left"/>
      <w:pPr>
        <w:ind w:left="1440" w:hanging="360"/>
      </w:pPr>
    </w:lvl>
    <w:lvl w:ilvl="2" w:tplc="29A891FE">
      <w:start w:val="1"/>
      <w:numFmt w:val="bullet"/>
      <w:lvlText w:val="■"/>
      <w:lvlJc w:val="left"/>
      <w:pPr>
        <w:ind w:left="2160" w:hanging="360"/>
      </w:pPr>
    </w:lvl>
    <w:lvl w:ilvl="3" w:tplc="4D205D3C">
      <w:start w:val="1"/>
      <w:numFmt w:val="bullet"/>
      <w:lvlText w:val="●"/>
      <w:lvlJc w:val="left"/>
      <w:pPr>
        <w:ind w:left="2880" w:hanging="360"/>
      </w:pPr>
    </w:lvl>
    <w:lvl w:ilvl="4" w:tplc="4C8039EC">
      <w:start w:val="1"/>
      <w:numFmt w:val="bullet"/>
      <w:lvlText w:val="○"/>
      <w:lvlJc w:val="left"/>
      <w:pPr>
        <w:ind w:left="3600" w:hanging="360"/>
      </w:pPr>
    </w:lvl>
    <w:lvl w:ilvl="5" w:tplc="84D4596A">
      <w:start w:val="1"/>
      <w:numFmt w:val="bullet"/>
      <w:lvlText w:val="■"/>
      <w:lvlJc w:val="left"/>
      <w:pPr>
        <w:ind w:left="4320" w:hanging="360"/>
      </w:pPr>
    </w:lvl>
    <w:lvl w:ilvl="6" w:tplc="A1AA7D60">
      <w:start w:val="1"/>
      <w:numFmt w:val="bullet"/>
      <w:lvlText w:val="●"/>
      <w:lvlJc w:val="left"/>
      <w:pPr>
        <w:ind w:left="5040" w:hanging="360"/>
      </w:pPr>
    </w:lvl>
    <w:lvl w:ilvl="7" w:tplc="31864C5E">
      <w:start w:val="1"/>
      <w:numFmt w:val="bullet"/>
      <w:lvlText w:val="●"/>
      <w:lvlJc w:val="left"/>
      <w:pPr>
        <w:ind w:left="5760" w:hanging="360"/>
      </w:pPr>
    </w:lvl>
    <w:lvl w:ilvl="8" w:tplc="2D1845B6">
      <w:start w:val="1"/>
      <w:numFmt w:val="bullet"/>
      <w:lvlText w:val="●"/>
      <w:lvlJc w:val="left"/>
      <w:pPr>
        <w:ind w:left="6480" w:hanging="360"/>
      </w:pPr>
    </w:lvl>
  </w:abstractNum>
  <w:num w:numId="1" w16cid:durableId="370424577">
    <w:abstractNumId w:val="1"/>
    <w:lvlOverride w:ilvl="0">
      <w:startOverride w:val="1"/>
    </w:lvlOverride>
  </w:num>
  <w:num w:numId="2" w16cid:durableId="83110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662"/>
    <w:rsid w:val="00123800"/>
    <w:rsid w:val="006F3662"/>
    <w:rsid w:val="00AE4A97"/>
    <w:rsid w:val="00B42244"/>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22048"/>
  <w15:docId w15:val="{1D38370A-2F8B-4B99-B8A0-7FE39F99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color w:val="0B2D4D"/>
      <w:sz w:val="30"/>
      <w:szCs w:val="30"/>
    </w:rPr>
  </w:style>
  <w:style w:type="paragraph" w:styleId="Heading2">
    <w:name w:val="heading 2"/>
    <w:uiPriority w:val="9"/>
    <w:unhideWhenUsed/>
    <w:qFormat/>
    <w:pPr>
      <w:spacing w:before="180" w:after="100"/>
      <w:outlineLvl w:val="1"/>
    </w:pPr>
    <w:rPr>
      <w:b/>
      <w:bCs/>
      <w:color w:val="1F7A8C"/>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4435</Words>
  <Characters>25283</Characters>
  <Application>Microsoft Office Word</Application>
  <DocSecurity>0</DocSecurity>
  <Lines>210</Lines>
  <Paragraphs>59</Paragraphs>
  <ScaleCrop>false</ScaleCrop>
  <Company/>
  <LinksUpToDate>false</LinksUpToDate>
  <CharactersWithSpaces>29659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Dubai Islamic Bank PJSC – Credit Rating &amp; Credit Limit Application Report</dc:title>
  <dc:creator>ICBC Financial Institution Department</dc:creator>
  <cp:lastModifiedBy>Hanfang Lydia Bao</cp:lastModifiedBy>
  <cp:revision>2</cp:revision>
  <dcterms:created xsi:type="dcterms:W3CDTF">2026-06-22T07:55:00Z</dcterms:created>
  <dcterms:modified xsi:type="dcterms:W3CDTF">2026-06-22T07:55:00Z</dcterms:modified>
</cp:coreProperties>
</file>