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Bank of China (Dubai) Branch, as coordinator, is expected to commit CNH 500 million (understood to have been approved within Bank of China (Dubai)); the ICBC Group, with an aggregate commitment of CNH </w:t>
      </w:r>
      <w:r w:rsidR="00DA0764">
        <w:rPr>
          <w:rFonts w:hint="eastAsia"/>
          <w:color w:val="1A1A1A"/>
        </w:rPr>
        <w:t>5</w:t>
      </w:r>
      <w:r>
        <w:rPr>
          <w:color w:val="1A1A1A"/>
        </w:rPr>
        <w:t>00 million</w:t>
      </w:r>
      <w:r w:rsidR="00DA0764">
        <w:rPr>
          <w:rFonts w:hint="eastAsia"/>
          <w:color w:val="1A1A1A"/>
        </w:rPr>
        <w:t xml:space="preserve"> CNH</w:t>
      </w:r>
      <w:r>
        <w:rPr>
          <w:color w:val="1A1A1A"/>
        </w:rPr>
        <w:t>, will therefore not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2025</w:t>
      </w:r>
    </w:p>
    <w:p w14:paraId="36284C12" w14:textId="77777777"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14:paraId="42FB1220" w14:textId="77777777" w:rsidR="0059742E" w:rsidRDefault="00C764C0">
      <w:pPr>
        <w:spacing w:before="160" w:after="60"/>
      </w:pPr>
      <w:r>
        <w:rPr>
          <w:b/>
          <w:bCs/>
          <w:color w:val="2E6DA4"/>
        </w:rPr>
        <w:t>Asset Analysis</w:t>
      </w:r>
    </w:p>
    <w:p w14:paraId="34F32952" w14:textId="77777777"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14:paraId="6F850481" w14:textId="77777777" w:rsidR="0059742E" w:rsidRDefault="00C764C0">
      <w:pPr>
        <w:pStyle w:val="ListParagraph"/>
        <w:numPr>
          <w:ilvl w:val="0"/>
          <w:numId w:val="2"/>
        </w:numPr>
        <w:spacing w:before="40" w:after="40"/>
      </w:pPr>
      <w:r>
        <w:rPr>
          <w:color w:val="1A1A1A"/>
        </w:rPr>
        <w:t xml:space="preserve">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w:t>
      </w:r>
      <w:r>
        <w:rPr>
          <w:color w:val="1A1A1A"/>
        </w:rPr>
        <w:lastRenderedPageBreak/>
        <w:t>from, and should not be read as, the non-performing loan (NPL) ratio: NBU’s regulatory NPL ratio reported to the Central Bank of Uzbekistan (CBU) was approximately 2.8% as of 1 January 2026 (see Section 2.4).</w:t>
      </w:r>
    </w:p>
    <w:p w14:paraId="5D0AC146" w14:textId="77777777"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14:paraId="00A57060" w14:textId="77777777"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14:paraId="65D4D376" w14:textId="77777777"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14:paraId="30C145BD" w14:textId="77777777" w:rsidR="0059742E" w:rsidRDefault="00C764C0">
      <w:pPr>
        <w:spacing w:before="160" w:after="60"/>
      </w:pPr>
      <w:r>
        <w:rPr>
          <w:b/>
          <w:bCs/>
          <w:color w:val="2E6DA4"/>
        </w:rPr>
        <w:t>Liability Analysis</w:t>
      </w:r>
    </w:p>
    <w:p w14:paraId="019D29DF" w14:textId="77777777"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14:paraId="055C0B0F" w14:textId="77777777"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14:paraId="3720F706" w14:textId="77777777"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14:paraId="06B1657A" w14:textId="77777777" w:rsidR="0059742E" w:rsidRDefault="00C764C0">
      <w:pPr>
        <w:spacing w:before="160" w:after="60"/>
      </w:pPr>
      <w:r>
        <w:rPr>
          <w:b/>
          <w:bCs/>
          <w:color w:val="2E6DA4"/>
        </w:rPr>
        <w:t>Income Analysis</w:t>
      </w:r>
    </w:p>
    <w:p w14:paraId="5E8EA7B3" w14:textId="77777777"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14:paraId="21C46894" w14:textId="77777777"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14:paraId="06ECB47C" w14:textId="77777777"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14:paraId="41D4ADCC" w14:textId="77777777"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14:paraId="171C4028" w14:textId="77777777"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(Stage 3 / gross loans)</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4.2%¹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2.8%</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NBU NPL is shown on the IFRS Stage 3 / gross-loans basis (4.2%); NBU’s regulatory NPL reported to the CBU is 2.8%, and the 5.6% figure cited elsewhere is the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1.46% per annum (146 bps).</w:t>
      </w:r>
    </w:p>
    <w:p w14:paraId="4DF74925" w14:textId="77777777" w:rsidR="00BA183A" w:rsidRDefault="00000000">
      <w:pPr>
        <w:spacing w:before="60" w:after="80"/>
      </w:pPr>
      <w:r>
        <w:rPr>
          <w:color w:val="1A1A1A"/>
        </w:rPr>
        <w:t>Net interest spread: 3.80% - 1.46% = 2.34% per annum (234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2.34%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