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pageBreakBefore w:val="false"/>
        <w:widowControl/>
        <w:shd w:val="clear" w:fill="auto"/>
        <w:spacing w:lineRule="auto" w:line="312" w:before="0" w:after="0"/>
        <w:ind w:left="0" w:right="0" w:hanging="0"/>
        <w:jc w:val="center"/>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Contrat de location de logement à usage d'habitation principale non meublé</w:t>
      </w:r>
    </w:p>
    <w:p>
      <w:pPr>
        <w:pStyle w:val="LOnormal"/>
        <w:jc w:val="center"/>
        <w:rPr/>
      </w:pPr>
      <w:r>
        <w:rPr/>
      </w:r>
    </w:p>
    <w:p>
      <w:pPr>
        <w:pStyle w:val="LOnormal"/>
        <w:jc w:val="center"/>
        <w:rPr/>
      </w:pPr>
      <w:r>
        <w:rPr/>
        <w:t>Titre 1er de la loi du 6 juillet 1989</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Désignation des Parties</w:t>
      </w:r>
    </w:p>
    <w:p>
      <w:pPr>
        <w:pStyle w:val="LOnormal"/>
        <w:rPr/>
      </w:pPr>
      <w:r>
        <w:rPr/>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Le(s) Bailleur(s)</w:t>
      </w:r>
    </w:p>
    <w:p>
      <w:pPr>
        <w:pStyle w:val="LOnormal"/>
        <w:rPr/>
      </w:pPr>
      <w:r>
        <w:rPr/>
      </w:r>
    </w:p>
    <w:p>
      <w:pPr>
        <w:pStyle w:val="LOnormal"/>
        <w:rPr/>
      </w:pPr>
      <w:r>
        <w:rPr/>
        <w:t>﻿</w:t>
      </w:r>
      <w:r>
        <w:rPr>
          <w:rStyle w:val="Textesource"/>
          <w:rFonts w:ascii="inherit" w:hAnsi="inherit"/>
          <w:b w:val="false"/>
          <w:bCs w:val="false"/>
          <w:i w:val="false"/>
          <w:caps w:val="false"/>
          <w:smallCaps w:val="false"/>
          <w:shd w:fill="B4C7DC" w:val="clear"/>
        </w:rPr>
        <w:t>{{companyName}}</w:t>
      </w:r>
      <w:r>
        <w:rPr>
          <w:shd w:fill="FF8000" w:val="clear"/>
        </w:rPr>
        <w:t>﻿</w:t>
      </w:r>
      <w:r>
        <w:rPr>
          <w:shd w:fill="FF8000" w:val="clear"/>
        </w:rPr>
        <w:t xml:space="preserve">, SCI, dont le siège social est situé </w:t>
      </w:r>
      <w:r>
        <w:rPr>
          <w:rStyle w:val="Textesource"/>
          <w:rFonts w:ascii="inherit" w:hAnsi="inherit"/>
          <w:b w:val="false"/>
          <w:bCs w:val="false"/>
          <w:i w:val="false"/>
          <w:caps w:val="false"/>
          <w:smallCaps w:val="false"/>
          <w:shd w:fill="B4C7DC" w:val="clear"/>
        </w:rPr>
        <w:t>{{officeStreetNumber}}</w:t>
      </w:r>
      <w:r>
        <w:rPr>
          <w:shd w:fill="FF8000" w:val="clear"/>
        </w:rPr>
        <w:t xml:space="preserve"> </w:t>
      </w:r>
      <w:r>
        <w:rPr>
          <w:rStyle w:val="Textesource"/>
          <w:rFonts w:ascii="inherit" w:hAnsi="inherit"/>
          <w:b w:val="false"/>
          <w:bCs w:val="false"/>
          <w:i w:val="false"/>
          <w:caps w:val="false"/>
          <w:smallCaps w:val="false"/>
          <w:shd w:fill="B4C7DC" w:val="clear"/>
        </w:rPr>
        <w:t>{{officeStreetName}}</w:t>
      </w:r>
      <w:r>
        <w:rPr>
          <w:shd w:fill="FF8000" w:val="clear"/>
        </w:rPr>
        <w:t xml:space="preserve">, immatriculée au registre du commerce et des sociétés sous le numéro d'identification </w:t>
      </w:r>
      <w:r>
        <w:rPr>
          <w:rStyle w:val="Textesource"/>
          <w:rFonts w:ascii="inherit" w:hAnsi="inherit"/>
          <w:b w:val="false"/>
          <w:bCs w:val="false"/>
          <w:i w:val="false"/>
          <w:caps w:val="false"/>
          <w:smallCaps w:val="false"/>
          <w:shd w:fill="B4C7DC" w:val="clear"/>
        </w:rPr>
        <w:t>{{siren}}</w:t>
      </w:r>
      <w:r>
        <w:rPr>
          <w:shd w:fill="FF8000" w:val="clear"/>
        </w:rPr>
        <w:t xml:space="preserve"> RCS </w:t>
      </w:r>
      <w:r>
        <w:rPr>
          <w:rStyle w:val="Textesource"/>
          <w:rFonts w:ascii="inherit" w:hAnsi="inherit"/>
          <w:b w:val="false"/>
          <w:bCs w:val="false"/>
          <w:i w:val="false"/>
          <w:caps w:val="false"/>
          <w:smallCaps w:val="false"/>
          <w:shd w:fill="B4C7DC" w:val="clear"/>
        </w:rPr>
        <w:t>{{officeCity}}</w:t>
      </w:r>
      <w:r>
        <w:rPr>
          <w:shd w:fill="FF8000" w:val="clear"/>
        </w:rPr>
        <w:t xml:space="preserve">, représentée par </w:t>
      </w:r>
      <w:r>
        <w:rPr>
          <w:rStyle w:val="Textesource"/>
          <w:rFonts w:ascii="inherit" w:hAnsi="inherit"/>
          <w:b w:val="false"/>
          <w:bCs w:val="false"/>
          <w:i w:val="false"/>
          <w:caps w:val="false"/>
          <w:smallCaps w:val="false"/>
          <w:shd w:fill="B4C7DC" w:val="clear"/>
        </w:rPr>
        <w:t>{{managerFirstName}}</w:t>
      </w:r>
      <w:r>
        <w:rPr>
          <w:shd w:fill="FF8000" w:val="clear"/>
        </w:rPr>
        <w:t xml:space="preserve"> </w:t>
      </w:r>
      <w:r>
        <w:rPr>
          <w:rStyle w:val="Textesource"/>
          <w:rFonts w:ascii="inherit" w:hAnsi="inherit"/>
          <w:b w:val="false"/>
          <w:bCs w:val="false"/>
          <w:i w:val="false"/>
          <w:caps w:val="false"/>
          <w:smallCaps w:val="false"/>
          <w:shd w:fill="B4C7DC" w:val="clear"/>
        </w:rPr>
        <w:t xml:space="preserve">{{managerLastName}} </w:t>
      </w:r>
      <w:r>
        <w:rPr>
          <w:shd w:fill="FF8000" w:val="clear"/>
        </w:rPr>
        <w:t xml:space="preserve"> en sa qualité de </w:t>
      </w:r>
      <w:r>
        <w:rPr>
          <w:rStyle w:val="Textesource"/>
          <w:rFonts w:ascii="inherit" w:hAnsi="inherit"/>
          <w:b w:val="false"/>
          <w:bCs w:val="false"/>
          <w:i w:val="false"/>
          <w:caps w:val="false"/>
          <w:smallCaps w:val="false"/>
          <w:shd w:fill="B4C7DC" w:val="clear"/>
        </w:rPr>
        <w:t>{{position}}</w:t>
      </w:r>
      <w:r>
        <w:rPr>
          <w:shd w:fill="FF8000" w:val="clear"/>
        </w:rPr>
        <w:t>, dument habilité ;</w:t>
      </w:r>
    </w:p>
    <w:p>
      <w:pPr>
        <w:pStyle w:val="Texteprformat"/>
        <w:bidi w:val="0"/>
        <w:spacing w:before="0" w:after="0"/>
        <w:ind w:left="0" w:right="0" w:hanging="0"/>
        <w:rPr>
          <w:rStyle w:val="Textesource"/>
          <w:rFonts w:ascii="inherit" w:hAnsi="inherit"/>
          <w:b w:val="false"/>
          <w:b w:val="false"/>
          <w:bCs w:val="false"/>
          <w:i w:val="false"/>
          <w:i w:val="false"/>
          <w:caps w:val="false"/>
          <w:smallCaps w:val="false"/>
          <w:shd w:fill="B4C7DC" w:val="clear"/>
        </w:rPr>
      </w:pPr>
      <w:r>
        <w:rPr/>
      </w:r>
    </w:p>
    <w:p>
      <w:pPr>
        <w:pStyle w:val="LOnormal"/>
        <w:rPr/>
      </w:pPr>
      <w:r>
        <w:rPr/>
        <w:t>Désigné(s) ci-après, le "</w:t>
      </w:r>
      <w:r>
        <w:rPr>
          <w:b/>
        </w:rPr>
        <w:t>Bailleur</w:t>
      </w:r>
      <w:r>
        <w:rPr/>
        <w:t>" ;</w:t>
      </w:r>
    </w:p>
    <w:p>
      <w:pPr>
        <w:pStyle w:val="LOnormal"/>
        <w:rPr/>
      </w:pPr>
      <w:r>
        <w:rPr/>
      </w:r>
    </w:p>
    <w:p>
      <w:pPr>
        <w:pStyle w:val="LOnormal"/>
        <w:rPr/>
      </w:pPr>
      <w:r>
        <w:rPr/>
        <w:t>Et, d'autre part,</w:t>
      </w:r>
    </w:p>
    <w:p>
      <w:pPr>
        <w:pStyle w:val="LOnormal"/>
        <w:rPr/>
      </w:pPr>
      <w:r>
        <w:rPr>
          <w:b/>
        </w:rPr>
        <w:t>2. Le(s) Locataire(s)</w:t>
      </w:r>
    </w:p>
    <w:p>
      <w:pPr>
        <w:pStyle w:val="LOnormal"/>
        <w:rPr/>
      </w:pPr>
      <w:r>
        <w:rPr/>
      </w:r>
    </w:p>
    <w:p>
      <w:pPr>
        <w:pStyle w:val="LOnormal"/>
        <w:jc w:val="left"/>
        <w:rPr/>
      </w:pPr>
      <w:r>
        <w:rPr/>
        <w:t>﻿</w:t>
      </w:r>
      <w:r>
        <w:rPr>
          <w:rStyle w:val="Textesource"/>
          <w:rFonts w:ascii="inherit" w:hAnsi="inherit"/>
          <w:b w:val="false"/>
          <w:bCs w:val="false"/>
          <w:i w:val="false"/>
          <w:caps w:val="false"/>
          <w:smallCaps w:val="false"/>
          <w:shd w:fill="B4C7DC" w:val="clear"/>
        </w:rPr>
        <w:t>{{genderSalutation}}</w:t>
      </w:r>
      <w:r>
        <w:rPr>
          <w:shd w:fill="FF8000" w:val="clear"/>
        </w:rPr>
        <w:t xml:space="preserve"> </w:t>
      </w:r>
      <w:r>
        <w:rPr>
          <w:rStyle w:val="Textesource"/>
          <w:rFonts w:ascii="inherit" w:hAnsi="inherit"/>
          <w:b w:val="false"/>
          <w:bCs w:val="false"/>
          <w:i w:val="false"/>
          <w:caps w:val="false"/>
          <w:smallCaps w:val="false"/>
          <w:shd w:fill="B4C7DC" w:val="clear"/>
        </w:rPr>
        <w:t>{{tenantFirstName}}</w:t>
      </w:r>
      <w:r>
        <w:rPr>
          <w:shd w:fill="FF8000" w:val="clear"/>
        </w:rPr>
        <w:t xml:space="preserve">, JEAN, MARC </w:t>
      </w:r>
      <w:r>
        <w:rPr>
          <w:rStyle w:val="Textesource"/>
          <w:rFonts w:ascii="inherit" w:hAnsi="inherit"/>
          <w:b w:val="false"/>
          <w:bCs w:val="false"/>
          <w:i w:val="false"/>
          <w:caps w:val="false"/>
          <w:smallCaps w:val="false"/>
          <w:shd w:fill="B4C7DC" w:val="clear"/>
        </w:rPr>
        <w:t>{{tenantLastName}}</w:t>
      </w:r>
      <w:r>
        <w:rPr>
          <w:shd w:fill="FF8000" w:val="clear"/>
        </w:rPr>
        <w:t xml:space="preserve">, né le </w:t>
      </w:r>
      <w:r>
        <w:rPr>
          <w:rStyle w:val="Textesource"/>
          <w:rFonts w:ascii="inherit" w:hAnsi="inherit"/>
          <w:b w:val="false"/>
          <w:bCs w:val="false"/>
          <w:i w:val="false"/>
          <w:caps w:val="false"/>
          <w:smallCaps w:val="false"/>
          <w:shd w:fill="B4C7DC" w:val="clear"/>
        </w:rPr>
        <w:t>{{dateOfBirth}}</w:t>
      </w:r>
      <w:r>
        <w:rPr>
          <w:shd w:fill="FF8000" w:val="clear"/>
        </w:rPr>
        <w:t xml:space="preserve"> à </w:t>
      </w:r>
      <w:r>
        <w:rPr>
          <w:rStyle w:val="Textesource"/>
          <w:rFonts w:ascii="inherit" w:hAnsi="inherit"/>
          <w:b w:val="false"/>
          <w:bCs w:val="false"/>
          <w:i w:val="false"/>
          <w:caps w:val="false"/>
          <w:smallCaps w:val="false"/>
          <w:shd w:fill="B4C7DC" w:val="clear"/>
        </w:rPr>
        <w:t>{{birthCity}}</w:t>
      </w:r>
      <w:r>
        <w:rPr>
          <w:shd w:fill="FF8000" w:val="clear"/>
        </w:rPr>
        <w:t xml:space="preserve">, demeurant </w:t>
      </w:r>
      <w:r>
        <w:rPr>
          <w:rStyle w:val="Textesource"/>
          <w:rFonts w:ascii="inherit" w:hAnsi="inherit"/>
          <w:b w:val="false"/>
          <w:bCs w:val="false"/>
          <w:i w:val="false"/>
          <w:caps w:val="false"/>
          <w:smallCaps w:val="false"/>
          <w:shd w:fill="B4C7DC" w:val="clear"/>
        </w:rPr>
        <w:t>{{tenantStreetNumber}}</w:t>
      </w:r>
      <w:r>
        <w:rPr>
          <w:shd w:fill="FF8000" w:val="clear"/>
        </w:rPr>
        <w:t xml:space="preserve"> </w:t>
      </w:r>
      <w:r>
        <w:rPr>
          <w:rStyle w:val="Textesource"/>
          <w:rFonts w:ascii="inherit" w:hAnsi="inherit"/>
          <w:b w:val="false"/>
          <w:bCs w:val="false"/>
          <w:i w:val="false"/>
          <w:caps w:val="false"/>
          <w:smallCaps w:val="false"/>
          <w:shd w:fill="B4C7DC" w:val="clear"/>
        </w:rPr>
        <w:t>{{tenantStreetName}}</w:t>
      </w:r>
      <w:r>
        <w:rPr>
          <w:shd w:fill="FF8000" w:val="clear"/>
        </w:rPr>
        <w:t xml:space="preserve"> 59410 </w:t>
      </w:r>
      <w:r>
        <w:rPr>
          <w:rStyle w:val="Textesource"/>
          <w:rFonts w:ascii="inherit" w:hAnsi="inherit"/>
          <w:b w:val="false"/>
          <w:bCs w:val="false"/>
          <w:i w:val="false"/>
          <w:caps w:val="false"/>
          <w:smallCaps w:val="false"/>
          <w:shd w:fill="B4C7DC" w:val="clear"/>
        </w:rPr>
        <w:t>{{tenantCity}}</w:t>
      </w:r>
      <w:r>
        <w:rPr>
          <w:shd w:fill="FF8000" w:val="clear"/>
        </w:rPr>
        <w:t xml:space="preserve"> ;</w:t>
      </w:r>
    </w:p>
    <w:p>
      <w:pPr>
        <w:pStyle w:val="LOnormal"/>
        <w:jc w:val="left"/>
        <w:rPr>
          <w:highlight w:val="none"/>
          <w:shd w:fill="FF8000" w:val="clear"/>
        </w:rPr>
      </w:pPr>
      <w:r>
        <w:rPr>
          <w:shd w:fill="FF8000" w:val="clear"/>
        </w:rPr>
      </w:r>
    </w:p>
    <w:p>
      <w:pPr>
        <w:pStyle w:val="LOnormal"/>
        <w:jc w:val="left"/>
        <w:rPr>
          <w:highlight w:val="none"/>
          <w:shd w:fill="FF8000" w:val="clear"/>
        </w:rPr>
      </w:pPr>
      <w:r>
        <w:rPr>
          <w:shd w:fill="FF8000" w:val="clear"/>
        </w:rPr>
        <w:t>﻿</w:t>
      </w:r>
      <w:r>
        <w:rPr>
          <w:shd w:fill="FF8000" w:val="clear"/>
        </w:rPr>
        <w:t>Madame FLORENCE SOANAMBININA ep. BOUCHER, né le 21/11/1990 à MAHAVOKY MAHAJANGA, demeurant 11 B RUE JEAN JAURES 59410 ANZIN ;</w:t>
      </w:r>
      <w:r>
        <w:rPr>
          <w:rStyle w:val="Textesource"/>
          <w:rFonts w:ascii="inherit" w:hAnsi="inherit"/>
          <w:b w:val="false"/>
          <w:bCs w:val="false"/>
          <w:i w:val="false"/>
          <w:caps w:val="false"/>
          <w:smallCaps w:val="false"/>
          <w:shd w:fill="B4C7DC" w:val="clear"/>
        </w:rPr>
        <w:t xml:space="preserve">  </w:t>
      </w:r>
    </w:p>
    <w:p>
      <w:pPr>
        <w:pStyle w:val="LOnormal"/>
        <w:jc w:val="left"/>
        <w:rPr/>
      </w:pPr>
      <w:r>
        <w:rPr/>
      </w:r>
    </w:p>
    <w:p>
      <w:pPr>
        <w:pStyle w:val="LOnormal"/>
        <w:jc w:val="left"/>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LOnormal"/>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Il a été convenu ce qui suit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Par les présentes, le Bailleur consent un bail d’habitation portant sur le bien désigné ci-après, dans les conditions prévues par la loi n° 89-462 du 6 juillet 1989, au Locataire qui déclare y installer sa résidence principale et les accepte.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1 - Objet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Le présent contrat a pour objet la location d’un appartement ainsi déterminé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1.1 Consistance du logement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1.1.1 Adresse du logement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 xml:space="preserve">Le logement est situé </w:t>
      </w:r>
      <w:r>
        <w:rPr>
          <w:rStyle w:val="Textesource"/>
          <w:rFonts w:ascii="inherit" w:hAnsi="inherit"/>
          <w:b w:val="false"/>
          <w:bCs w:val="false"/>
          <w:i w:val="false"/>
          <w:caps w:val="false"/>
          <w:smallCaps w:val="false"/>
          <w:shd w:fill="B4C7DC" w:val="clear"/>
        </w:rPr>
        <w:t>{{residenceStreetNumber}}</w:t>
      </w:r>
      <w:r>
        <w:rPr>
          <w:shd w:fill="FF8000" w:val="clear"/>
        </w:rPr>
        <w:t xml:space="preserve"> </w:t>
      </w:r>
      <w:r>
        <w:rPr>
          <w:rStyle w:val="Textesource"/>
          <w:rFonts w:ascii="inherit" w:hAnsi="inherit"/>
          <w:b w:val="false"/>
          <w:bCs w:val="false"/>
          <w:i w:val="false"/>
          <w:caps w:val="false"/>
          <w:smallCaps w:val="false"/>
          <w:shd w:fill="B4C7DC" w:val="clear"/>
        </w:rPr>
        <w:t>{{residenceStreetName}}</w:t>
      </w:r>
      <w:r>
        <w:rPr>
          <w:shd w:fill="FF8000" w:val="clear"/>
        </w:rPr>
        <w:t xml:space="preserve">, 59590 </w:t>
      </w:r>
      <w:r>
        <w:rPr>
          <w:rStyle w:val="Textesource"/>
          <w:rFonts w:ascii="inherit" w:hAnsi="inherit"/>
          <w:b w:val="false"/>
          <w:bCs w:val="false"/>
          <w:i w:val="false"/>
          <w:caps w:val="false"/>
          <w:smallCaps w:val="false"/>
          <w:shd w:fill="B4C7DC" w:val="clear"/>
        </w:rPr>
        <w:t>{{residenceCity}}.</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1.1.2 Caractéristiques du logement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numPr>
          <w:ilvl w:val="0"/>
          <w:numId w:val="12"/>
        </w:numPr>
        <w:ind w:left="720" w:hanging="360"/>
        <w:rPr/>
      </w:pPr>
      <w:r>
        <w:rPr/>
        <w:t xml:space="preserve">Le bien immobilier a été construit </w:t>
      </w:r>
      <w:r>
        <w:rPr>
          <w:shd w:fill="FFFF00" w:val="clear"/>
        </w:rPr>
        <w:t>avant 1949</w:t>
      </w:r>
      <w:r>
        <w:rPr/>
        <w:t>.</w:t>
      </w:r>
    </w:p>
    <w:p>
      <w:pPr>
        <w:pStyle w:val="LOnormal"/>
        <w:numPr>
          <w:ilvl w:val="0"/>
          <w:numId w:val="13"/>
        </w:numPr>
        <w:ind w:left="720" w:hanging="360"/>
        <w:rPr/>
      </w:pPr>
      <w:r>
        <w:rPr/>
        <w:t xml:space="preserve">Surface habitable : </w:t>
      </w:r>
      <w:r>
        <w:rPr>
          <w:rStyle w:val="Textesource"/>
          <w:rFonts w:ascii="inherit" w:hAnsi="inherit"/>
          <w:b w:val="false"/>
          <w:bCs w:val="false"/>
          <w:i w:val="false"/>
          <w:caps w:val="false"/>
          <w:smallCaps w:val="false"/>
          <w:shd w:fill="B4C7DC" w:val="clear"/>
        </w:rPr>
        <w:t>{{livingArea}}</w:t>
      </w:r>
      <w:r>
        <w:rPr>
          <w:shd w:fill="FF8000" w:val="clear"/>
        </w:rPr>
        <w:t xml:space="preserve"> m²</w:t>
      </w:r>
    </w:p>
    <w:p>
      <w:pPr>
        <w:pStyle w:val="LOnormal"/>
        <w:numPr>
          <w:ilvl w:val="0"/>
          <w:numId w:val="13"/>
        </w:numPr>
        <w:ind w:left="720" w:hanging="360"/>
        <w:rPr/>
      </w:pPr>
      <w:r>
        <w:rPr/>
        <w:t xml:space="preserve">Nombre de pièces principales : </w:t>
      </w:r>
      <w:r>
        <w:rPr>
          <w:shd w:fill="FFFF00" w:val="clear"/>
        </w:rPr>
        <w:t>3</w:t>
      </w:r>
    </w:p>
    <w:p>
      <w:pPr>
        <w:pStyle w:val="LOnormal"/>
        <w:numPr>
          <w:ilvl w:val="0"/>
          <w:numId w:val="13"/>
        </w:numPr>
        <w:ind w:left="720" w:hanging="360"/>
        <w:rPr/>
      </w:pPr>
      <w:r>
        <w:rPr/>
        <w:t xml:space="preserve">Types de pièces principales : </w:t>
      </w:r>
      <w:r>
        <w:rPr>
          <w:shd w:fill="FFFF00" w:val="clear"/>
        </w:rPr>
        <w:t>1 salon et 2 chambres</w:t>
      </w:r>
    </w:p>
    <w:p>
      <w:pPr>
        <w:pStyle w:val="LOnormal"/>
        <w:numPr>
          <w:ilvl w:val="0"/>
          <w:numId w:val="14"/>
        </w:numPr>
        <w:ind w:left="720" w:hanging="360"/>
        <w:rPr/>
      </w:pPr>
      <w:r>
        <w:rPr/>
        <w:t xml:space="preserve">Locaux loués </w:t>
      </w:r>
      <w:r>
        <w:rPr>
          <w:shd w:fill="FFFF00" w:val="clear"/>
        </w:rPr>
        <w:t>accessoires au logement</w:t>
      </w:r>
      <w:r>
        <w:rPr/>
        <w:t xml:space="preserve"> :</w:t>
      </w:r>
    </w:p>
    <w:p>
      <w:pPr>
        <w:pStyle w:val="LOnormal"/>
        <w:numPr>
          <w:ilvl w:val="0"/>
          <w:numId w:val="1"/>
        </w:numPr>
        <w:ind w:left="720" w:hanging="360"/>
        <w:rPr/>
      </w:pPr>
      <w:r>
        <w:rPr>
          <w:shd w:fill="FFFF00" w:val="clear"/>
        </w:rPr>
        <w:t>Autres parties du logement</w:t>
      </w:r>
      <w:r>
        <w:rPr/>
        <w:t xml:space="preserve"> : Il existe un balcon.</w:t>
      </w:r>
    </w:p>
    <w:p>
      <w:pPr>
        <w:pStyle w:val="LOnormal"/>
        <w:numPr>
          <w:ilvl w:val="0"/>
          <w:numId w:val="2"/>
        </w:numPr>
        <w:ind w:left="720" w:hanging="360"/>
        <w:rPr/>
      </w:pPr>
      <w:r>
        <w:rPr>
          <w:shd w:fill="FFFF00" w:val="clear"/>
        </w:rPr>
        <w:t>Eléments d'équipement du logement</w:t>
      </w:r>
      <w:r>
        <w:rPr/>
        <w:t xml:space="preserve"> : Cuisine équipée de 9 meubles / caissons, d'un évier avec son mitigeur, de plaques de cuisson et d'une hotte.</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Chauffage individuel</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individuelle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1.2 Destination des locaux</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Les locaux sont à usage exclusif d’habitation, le Locataire y installant sa résidence principale.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2 - Date de prise d'effet et durée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2.1 Date de prise d'effet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 xml:space="preserve">Le contrat prend effet à compter du </w:t>
      </w:r>
      <w:r>
        <w:rPr>
          <w:rStyle w:val="Textesource"/>
          <w:rFonts w:ascii="inherit" w:hAnsi="inherit"/>
          <w:b w:val="false"/>
          <w:bCs w:val="false"/>
          <w:i w:val="false"/>
          <w:caps w:val="false"/>
          <w:smallCaps w:val="false"/>
          <w:shd w:fill="B4C7DC" w:val="clear"/>
        </w:rPr>
        <w:t>{{contractEffectiveDate}}</w:t>
      </w:r>
      <w:r>
        <w:rPr/>
        <w: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2.2 Durée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 est d’une durée de trois (3) ans.</w:t>
      </w:r>
    </w:p>
    <w:p>
      <w:pPr>
        <w:pStyle w:val="LOnormal"/>
        <w:jc w:val="left"/>
        <w:rPr/>
      </w:pPr>
      <w:r>
        <w:rPr/>
        <w:t>En l’absence de proposition de renouvellement du contrat, celui-ci est, à son terme, reconduit tacitement pour trois (3) ans et dans les mêmes conditions.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2.3 Résiliation</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2.3.1 Par le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jc w:val="left"/>
        <w:rPr/>
      </w:pPr>
      <w:r>
        <w:rPr/>
        <w:t>Toutefois, le préavis pourra être ramené à un (1) mois dans les cas suivants :</w:t>
      </w:r>
    </w:p>
    <w:p>
      <w:pPr>
        <w:pStyle w:val="LOnormal"/>
        <w:numPr>
          <w:ilvl w:val="0"/>
          <w:numId w:val="3"/>
        </w:numPr>
        <w:ind w:left="720" w:hanging="360"/>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ind w:left="720" w:hanging="360"/>
        <w:rPr/>
      </w:pPr>
      <w:r>
        <w:rPr/>
        <w:t xml:space="preserve"> </w:t>
      </w:r>
      <w:r>
        <w:rPr/>
        <w:t xml:space="preserve">En cas d'obtention d'un premier emploi, de mutation, de perte d'emploi ou de nouvel emploi consécutif à une perte d'emploi ;   </w:t>
      </w:r>
    </w:p>
    <w:p>
      <w:pPr>
        <w:pStyle w:val="LOnormal"/>
        <w:numPr>
          <w:ilvl w:val="0"/>
          <w:numId w:val="3"/>
        </w:numPr>
        <w:ind w:left="720" w:hanging="360"/>
        <w:rPr/>
      </w:pPr>
      <w:r>
        <w:rPr/>
        <w:t xml:space="preserve"> </w:t>
      </w:r>
      <w:r>
        <w:rPr/>
        <w:t xml:space="preserve">Pour le Locataire dont l'état de santé, constaté par un certificat médical, justifie un changement de domicile ;   </w:t>
      </w:r>
    </w:p>
    <w:p>
      <w:pPr>
        <w:pStyle w:val="LOnormal"/>
        <w:numPr>
          <w:ilvl w:val="0"/>
          <w:numId w:val="3"/>
        </w:numPr>
        <w:ind w:left="720" w:hanging="360"/>
        <w:rPr/>
      </w:pPr>
      <w:r>
        <w:rPr/>
        <w:t xml:space="preserve"> </w:t>
      </w:r>
      <w:r>
        <w:rPr/>
        <w:t xml:space="preserve">Pour les bénéficiaires du revenu de solidarité active ou de l'allocation adulte handicapé ;   </w:t>
      </w:r>
    </w:p>
    <w:p>
      <w:pPr>
        <w:pStyle w:val="LOnormal"/>
        <w:numPr>
          <w:ilvl w:val="0"/>
          <w:numId w:val="3"/>
        </w:numPr>
        <w:ind w:left="720" w:hanging="360"/>
        <w:rPr/>
      </w:pPr>
      <w:r>
        <w:rPr/>
        <w:t xml:space="preserve"> </w:t>
      </w:r>
      <w:r>
        <w:rPr/>
        <w:t xml:space="preserve">Pour le Locataire qui s'est vu attribuer un logement défini à l'article L. 351-2 du code de la construction et de l'habitation.   </w:t>
      </w:r>
    </w:p>
    <w:p>
      <w:pPr>
        <w:pStyle w:val="LOnormal"/>
        <w:jc w:val="left"/>
        <w:rPr/>
      </w:pPr>
      <w:r>
        <w:rPr/>
      </w:r>
    </w:p>
    <w:p>
      <w:pPr>
        <w:pStyle w:val="LOnormal"/>
        <w:jc w:val="left"/>
        <w:rPr/>
      </w:pPr>
      <w:r>
        <w:rPr/>
        <w:t>Dans le cas d’un congé avec préavis d’un (1) mois, le Locataire informe le Bailleur du motif en joignant au courrier tout document permettant de le justifier. A défaut, le délai de préavis applicable à ce congé est de trois mois.</w:t>
      </w:r>
    </w:p>
    <w:p>
      <w:pPr>
        <w:pStyle w:val="LOnormal"/>
        <w:jc w:val="left"/>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2.3.2 Par le Bailleur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ind w:left="720" w:hanging="360"/>
        <w:rPr/>
      </w:pPr>
      <w:r>
        <w:rPr/>
        <w:t>reprise du logement en vue de l’occuper par lui-même ou une personne de sa famille,</w:t>
      </w:r>
    </w:p>
    <w:p>
      <w:pPr>
        <w:pStyle w:val="LOnormal"/>
        <w:numPr>
          <w:ilvl w:val="0"/>
          <w:numId w:val="6"/>
        </w:numPr>
        <w:ind w:left="720" w:hanging="360"/>
        <w:rPr/>
      </w:pPr>
      <w:r>
        <w:rPr/>
        <w:t xml:space="preserve"> </w:t>
      </w:r>
      <w:r>
        <w:rPr/>
        <w:t>vente du logement,</w:t>
      </w:r>
    </w:p>
    <w:p>
      <w:pPr>
        <w:pStyle w:val="LOnormal"/>
        <w:numPr>
          <w:ilvl w:val="0"/>
          <w:numId w:val="8"/>
        </w:numPr>
        <w:ind w:left="720" w:hanging="360"/>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2.4 Renouvellement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Six (6) mois au moins avant le terme du contrat le Bailleur pourra faire une proposition de renouvellement par lettre recommandée avec accusé de réception :</w:t>
      </w:r>
    </w:p>
    <w:p>
      <w:pPr>
        <w:pStyle w:val="LOnormal"/>
        <w:numPr>
          <w:ilvl w:val="0"/>
          <w:numId w:val="5"/>
        </w:numPr>
        <w:ind w:left="720" w:hanging="360"/>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ind w:left="720" w:hanging="360"/>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2.5 Abandon du domicile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2.6 Décès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3 - Conditions financières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3.1 Fixation du loyer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3.1.1 Fixation du loyer initial</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 xml:space="preserve">Le montant du loyer mensuel est fixé à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xml:space="preserve"> hors charges.</w:t>
      </w:r>
    </w:p>
    <w:p>
      <w:pPr>
        <w:pStyle w:val="LOnormal"/>
        <w:jc w:val="left"/>
        <w:rPr/>
      </w:pPr>
      <w:r>
        <w:rPr/>
        <w:t xml:space="preserve">Le montant du loyer sera payable d’avance au domicile du Bailleur ou à celui de son mandataire le </w:t>
      </w:r>
      <w:r>
        <w:rPr>
          <w:shd w:fill="FFFF00" w:val="clear"/>
        </w:rPr>
        <w:t>5</w:t>
      </w:r>
      <w:r>
        <w:rPr/>
        <w:t xml:space="preserve"> de chaque mois.</w:t>
      </w:r>
    </w:p>
    <w:p>
      <w:pPr>
        <w:pStyle w:val="LOnormal"/>
        <w:jc w:val="left"/>
        <w:rPr/>
      </w:pPr>
      <w:r>
        <w:rPr/>
        <w:t>Le preneur verse au jour de la signature du présent bail au Bailleur la somme de</w:t>
      </w:r>
      <w:r>
        <w:rPr>
          <w:rStyle w:val="Textesource"/>
          <w:rFonts w:ascii="inherit" w:hAnsi="inherit"/>
          <w:b w:val="false"/>
          <w:bCs w:val="false"/>
          <w:i w:val="false"/>
          <w:caps w:val="false"/>
          <w:smallCaps w:val="false"/>
          <w:shd w:fill="B4C7DC" w:val="clear"/>
        </w:rPr>
        <w:t xml:space="preserve"> {{rentExcludingCharges}} </w:t>
      </w:r>
      <w:r>
        <w:rPr>
          <w:shd w:fill="FF8000" w:val="clear"/>
        </w:rPr>
        <w:t>euros</w:t>
      </w:r>
      <w:r>
        <w:rPr/>
        <w:t xml:space="preserve"> correspondant au loyer calculé prorata temporis en fonction de la période restant à courir pour le premier mois de location.</w:t>
      </w:r>
    </w:p>
    <w:p>
      <w:pPr>
        <w:pStyle w:val="LOnormal"/>
        <w:jc w:val="left"/>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3.1.2 Révision du loyer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L’augmentation annuelle du loyer ne peut excéder la variation sur un (1) an de l’Indice de référence des loyers (IRL) publié par l’INSEE.</w:t>
      </w:r>
    </w:p>
    <w:p>
      <w:pPr>
        <w:pStyle w:val="LOnormal"/>
        <w:jc w:val="left"/>
        <w:rPr/>
      </w:pPr>
      <w:r>
        <w:rPr/>
        <w:t>Le loyer sera révisable annuellement à chaque date anniversaire de l’entrée en vigueur du présent bail.</w:t>
      </w:r>
    </w:p>
    <w:p>
      <w:pPr>
        <w:pStyle w:val="LOnormal"/>
        <w:jc w:val="left"/>
        <w:rPr/>
      </w:pPr>
      <w:r>
        <w:rPr/>
        <w:t>Le trimestre de référence de l'IRL est celui de la date de signature du présent contrat, l'indice applicable étant le dernier indice publié avant la signature du présent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3.2 Dépôt de garantie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 xml:space="preserve">Le dépôt de garantie est d’un montant de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Il est versé à la signature des présentes. Cette somme ne sera pas productive d'intérêts.</w:t>
      </w:r>
    </w:p>
    <w:p>
      <w:pPr>
        <w:pStyle w:val="LOnormal"/>
        <w:jc w:val="left"/>
        <w:rPr/>
      </w:pPr>
      <w:r>
        <w:rPr/>
        <w:t>Conformément aux dispositions de l’article 22 de la loi du 6 juillet 1989, le dépôt est restitué :</w:t>
      </w:r>
    </w:p>
    <w:p>
      <w:pPr>
        <w:pStyle w:val="LOnormal"/>
        <w:numPr>
          <w:ilvl w:val="0"/>
          <w:numId w:val="7"/>
        </w:numPr>
        <w:ind w:left="720" w:hanging="360"/>
        <w:jc w:val="left"/>
        <w:rPr/>
      </w:pPr>
      <w:r>
        <w:rPr/>
        <w:t>dans un délai maximal d'un mois à compter de la remise des clés par le Locataire lorsque l'état des lieux de sortie est conforme à l'état des lieux d'entrée.</w:t>
      </w:r>
    </w:p>
    <w:p>
      <w:pPr>
        <w:pStyle w:val="LOnormal"/>
        <w:numPr>
          <w:ilvl w:val="0"/>
          <w:numId w:val="7"/>
        </w:numPr>
        <w:ind w:left="720" w:hanging="360"/>
        <w:jc w:val="left"/>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jc w:val="left"/>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3.3 Charges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jc w:val="left"/>
        <w:rPr/>
      </w:pPr>
      <w:r>
        <w:rPr/>
        <w:t>La liste des charges récupérables par le Bailleur figure en annexe du présent contrat.</w:t>
      </w:r>
    </w:p>
    <w:p>
      <w:pPr>
        <w:pStyle w:val="LOnormal"/>
        <w:jc w:val="left"/>
        <w:rPr/>
      </w:pPr>
      <w:r>
        <w:rPr/>
      </w:r>
    </w:p>
    <w:p>
      <w:pPr>
        <w:pStyle w:val="LOnormal"/>
        <w:jc w:val="left"/>
        <w:rPr/>
      </w:pPr>
      <w:r>
        <w:rPr/>
        <w:t xml:space="preserve">Le Locataire est tenu d'acquitter, en même temps que le loyer, ladite provision sur charges fixée au jour de la signature du bail à </w:t>
      </w:r>
      <w:r>
        <w:rPr>
          <w:rStyle w:val="Textesource"/>
          <w:rFonts w:ascii="inherit" w:hAnsi="inherit"/>
          <w:b w:val="false"/>
          <w:bCs w:val="false"/>
          <w:i w:val="false"/>
          <w:caps w:val="false"/>
          <w:smallCaps w:val="false"/>
          <w:shd w:fill="B4C7DC" w:val="clear"/>
        </w:rPr>
        <w:t xml:space="preserve">{{charges}} </w:t>
      </w:r>
      <w:r>
        <w:rPr>
          <w:shd w:fill="FF8000" w:val="clear"/>
        </w:rPr>
        <w:t>euros</w:t>
      </w:r>
      <w:r>
        <w:rPr/>
        <w:t xml:space="preserve"> par mois. Le versement à ce titre pour le premier mois de location est calculé prorata temporis en fonction de la période restant à courir pour ledit premier mois de location.</w:t>
      </w:r>
    </w:p>
    <w:p>
      <w:pPr>
        <w:pStyle w:val="LOnormal"/>
        <w:jc w:val="left"/>
        <w:rPr/>
      </w:pPr>
      <w:r>
        <w:rPr/>
      </w:r>
    </w:p>
    <w:p>
      <w:pPr>
        <w:pStyle w:val="LOnormal"/>
        <w:jc w:val="left"/>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jc w:val="left"/>
        <w:rPr/>
      </w:pPr>
      <w:r>
        <w:rPr/>
      </w:r>
    </w:p>
    <w:p>
      <w:pPr>
        <w:pStyle w:val="LOnormal"/>
        <w:jc w:val="left"/>
        <w:rPr/>
      </w:pPr>
      <w:r>
        <w:rPr/>
        <w:t>Ce montant provisionnel de charges sera révisé chaque année pour tenir compte du coût des charges supportées l’année précédente.</w:t>
      </w:r>
    </w:p>
    <w:p>
      <w:pPr>
        <w:pStyle w:val="LOnormal"/>
        <w:jc w:val="left"/>
        <w:rPr/>
      </w:pPr>
      <w:r>
        <w:rPr/>
        <w:t>Lors du départ du Locataire les charges seront calculées prorata temporis, jusqu'à l’expiration du bail ou si le départ du Preneur intervient postérieurement à celle-ci, jusqu’au jour effectif de la remise des clefs.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4 - Etat des Lieux</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5 - Clause de solidarité</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Les Locataires, s'ils sont plusieurs, sont tenus solidairement et indivisiblement de l’exécution des obligations du présent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6 - Conditions générales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6.1 Obligations du Bailleur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est tenu des obligations principales suivantes :</w:t>
      </w:r>
    </w:p>
    <w:p>
      <w:pPr>
        <w:pStyle w:val="LOnormal"/>
        <w:numPr>
          <w:ilvl w:val="0"/>
          <w:numId w:val="9"/>
        </w:numPr>
        <w:ind w:left="720" w:hanging="360"/>
        <w:jc w:val="left"/>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ind w:left="720" w:hanging="360"/>
        <w:jc w:val="left"/>
        <w:rPr/>
      </w:pPr>
      <w:r>
        <w:rPr/>
        <w:t>Délivrer le logement en bon état d’usage et de réparations, ainsi que les équipements mentionnés au contrat en bon état de fonctionnement.</w:t>
      </w:r>
    </w:p>
    <w:p>
      <w:pPr>
        <w:pStyle w:val="LOnormal"/>
        <w:numPr>
          <w:ilvl w:val="0"/>
          <w:numId w:val="9"/>
        </w:numPr>
        <w:ind w:left="720" w:hanging="360"/>
        <w:jc w:val="left"/>
        <w:rPr/>
      </w:pPr>
      <w:r>
        <w:rPr/>
        <w:t>Délivrer le logement équipé d’un détecteur de fumée. Le Bailleur remet au Locataire la notice comportant les caractéristiques techniques du dispositif mis en place.</w:t>
      </w:r>
    </w:p>
    <w:p>
      <w:pPr>
        <w:pStyle w:val="LOnormal"/>
        <w:numPr>
          <w:ilvl w:val="0"/>
          <w:numId w:val="9"/>
        </w:numPr>
        <w:ind w:left="720" w:hanging="360"/>
        <w:jc w:val="left"/>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ind w:left="720" w:hanging="360"/>
        <w:jc w:val="left"/>
        <w:rPr/>
      </w:pPr>
      <w:r>
        <w:rPr/>
        <w:t>Entretenir les locaux en état de servir à l’usage prévu et y faire toutes les réparations nécessaires autres que locatives.</w:t>
      </w:r>
    </w:p>
    <w:p>
      <w:pPr>
        <w:pStyle w:val="LOnormal"/>
        <w:numPr>
          <w:ilvl w:val="0"/>
          <w:numId w:val="9"/>
        </w:numPr>
        <w:ind w:left="720" w:hanging="360"/>
        <w:jc w:val="left"/>
        <w:rPr/>
      </w:pPr>
      <w:r>
        <w:rPr/>
        <w:t>Remettre gratuitement et mensuellement une quittance de loyer au Locataire. Délivrer un reçu lorsque le Locataire fait un paiement partiel.</w:t>
      </w:r>
    </w:p>
    <w:p>
      <w:pPr>
        <w:pStyle w:val="LOnormal"/>
        <w:numPr>
          <w:ilvl w:val="0"/>
          <w:numId w:val="9"/>
        </w:numPr>
        <w:ind w:left="720" w:hanging="360"/>
        <w:jc w:val="left"/>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ind w:left="720" w:hanging="360"/>
        <w:jc w:val="left"/>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Locataire est tenu des obligations suivantes :</w:t>
      </w:r>
    </w:p>
    <w:p>
      <w:pPr>
        <w:pStyle w:val="LOnormal"/>
        <w:numPr>
          <w:ilvl w:val="0"/>
          <w:numId w:val="10"/>
        </w:numPr>
        <w:ind w:left="720" w:hanging="360"/>
        <w:jc w:val="left"/>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ind w:left="720" w:hanging="360"/>
        <w:jc w:val="left"/>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ind w:left="720" w:hanging="360"/>
        <w:jc w:val="left"/>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ind w:left="720" w:hanging="360"/>
        <w:jc w:val="left"/>
        <w:rPr/>
      </w:pPr>
      <w:r>
        <w:rPr/>
        <w:t>Veiller à l'entretien et au bon fonctionnement du détecteur de fumée pendant toute la durée de son occupation et jusqu'à son départ des lieux.</w:t>
      </w:r>
    </w:p>
    <w:p>
      <w:pPr>
        <w:pStyle w:val="LOnormal"/>
        <w:numPr>
          <w:ilvl w:val="0"/>
          <w:numId w:val="10"/>
        </w:numPr>
        <w:ind w:left="720" w:hanging="360"/>
        <w:jc w:val="left"/>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ind w:left="720" w:hanging="360"/>
        <w:jc w:val="left"/>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ind w:left="720" w:hanging="360"/>
        <w:jc w:val="left"/>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ind w:left="720" w:hanging="360"/>
        <w:jc w:val="left"/>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ind w:left="720" w:hanging="360"/>
        <w:jc w:val="left"/>
        <w:rPr/>
      </w:pPr>
      <w:r>
        <w:rPr/>
        <w:t>Respecter le règlement intérieur de l’immeuble et le règlement de copropriété sous réserve que le Bailleur ait communiqué ces documents.</w:t>
      </w:r>
    </w:p>
    <w:p>
      <w:pPr>
        <w:pStyle w:val="LOnormal"/>
        <w:numPr>
          <w:ilvl w:val="0"/>
          <w:numId w:val="10"/>
        </w:numPr>
        <w:ind w:left="720" w:hanging="360"/>
        <w:jc w:val="left"/>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ind w:left="720" w:hanging="360"/>
        <w:jc w:val="left"/>
        <w:rPr/>
      </w:pPr>
      <w:r>
        <w:rPr/>
        <w:t>Laisser visiter, en vue de la vente ou de la location, les lieux loués deux (2) heures par jour pendant les jours ouvrables.</w:t>
      </w:r>
    </w:p>
    <w:p>
      <w:pPr>
        <w:pStyle w:val="LOnormal"/>
        <w:numPr>
          <w:ilvl w:val="0"/>
          <w:numId w:val="10"/>
        </w:numPr>
        <w:ind w:left="720" w:hanging="360"/>
        <w:jc w:val="left"/>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ind w:left="720" w:hanging="360"/>
        <w:jc w:val="left"/>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7 - Clause résolutoire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Le présent acte sera résilié immédiatement et de plein droit, c’est-à-dire sans qu’il soit besoin de faire ordonner cette résolution en justice :</w:t>
      </w:r>
    </w:p>
    <w:p>
      <w:pPr>
        <w:pStyle w:val="LOnormal"/>
        <w:numPr>
          <w:ilvl w:val="0"/>
          <w:numId w:val="11"/>
        </w:numPr>
        <w:ind w:left="720" w:hanging="360"/>
        <w:jc w:val="left"/>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ind w:left="720" w:hanging="360"/>
        <w:jc w:val="left"/>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ind w:left="720" w:hanging="360"/>
        <w:jc w:val="left"/>
        <w:rPr/>
      </w:pPr>
      <w:r>
        <w:rPr/>
        <w:t>Un mois après un commandement demeuré infructueux à défaut d’assurance contre les risques locatifs.</w:t>
      </w:r>
    </w:p>
    <w:p>
      <w:pPr>
        <w:pStyle w:val="LOnormal"/>
        <w:jc w:val="left"/>
        <w:rPr/>
      </w:pPr>
      <w:r>
        <w:rPr/>
      </w:r>
    </w:p>
    <w:p>
      <w:pPr>
        <w:pStyle w:val="LOnormal"/>
        <w:jc w:val="left"/>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8 - Maintien dans les lieux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jc w:val="left"/>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LOnormal"/>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9 - Honoraires de location</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5"/>
        </w:numPr>
        <w:ind w:left="720" w:hanging="360"/>
        <w:rPr/>
      </w:pPr>
      <w:r>
        <w:rPr/>
        <w:t>Pour les logements situés en zone très tendue : 12 €/m2 de surface habitable.</w:t>
      </w:r>
    </w:p>
    <w:p>
      <w:pPr>
        <w:pStyle w:val="LOnormal"/>
        <w:numPr>
          <w:ilvl w:val="0"/>
          <w:numId w:val="15"/>
        </w:numPr>
        <w:ind w:left="720" w:hanging="360"/>
        <w:rPr/>
      </w:pPr>
      <w:r>
        <w:rPr/>
        <w:t>Pour les logements situés en zone tendue : 10 €/m2 de surface habitable.</w:t>
      </w:r>
    </w:p>
    <w:p>
      <w:pPr>
        <w:pStyle w:val="LOnormal"/>
        <w:numPr>
          <w:ilvl w:val="0"/>
          <w:numId w:val="15"/>
        </w:numPr>
        <w:ind w:left="720" w:hanging="360"/>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10 - Dossier de diagnostics techniques (DDT)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Conformément aux dispositions de l’article 3-3 de la loi n°89-462 du 6 juillet 1989, un dossier est annexé au présent contrat comprenant les éléments suivants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10.1 Etat des risques et pollutions (ERP)</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jc w:val="left"/>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10.2 Diagnostic de Performance Energétique (DPE)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Un diagnostic de performance énergétique a été établi, à titre informatif, conformément aux dispositions des articles L 134-1 et suivants du code de la construction et de l’habitation et a été communiqué au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10.3 Constat de risque d'exposition au plomb (CREP)</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10.4 Diagnostic amiante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10.5 Diagnostic électricité</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a communiqué au Locataire, qui le reconnaît, un état des installations électriques conformément aux dispositions du décret n° 2016-1105 du 11 août 2016.</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10.6 Diagnostic gaz</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a communiqué au Locataire, qui le reconnaît, un état des installations de gaz conformément aux dispositions du décret n° 2016-1104 du 11 août 2016.</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11 - Autres annexes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Outre le Dossier de Diagnostics Techniques, les documents suivants sont également remis au Locataire :</w:t>
      </w:r>
    </w:p>
    <w:p>
      <w:pPr>
        <w:pStyle w:val="LOnormal"/>
        <w:numPr>
          <w:ilvl w:val="0"/>
          <w:numId w:val="16"/>
        </w:numPr>
        <w:ind w:left="720" w:hanging="360"/>
        <w:rPr/>
      </w:pPr>
      <w:r>
        <w:rPr/>
        <w:t xml:space="preserve"> </w:t>
      </w:r>
      <w:r>
        <w:rPr/>
        <w:t xml:space="preserve">Un état des lieux.   </w:t>
      </w:r>
    </w:p>
    <w:p>
      <w:pPr>
        <w:pStyle w:val="LOnormal"/>
        <w:numPr>
          <w:ilvl w:val="0"/>
          <w:numId w:val="16"/>
        </w:numPr>
        <w:ind w:left="720" w:hanging="360"/>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6"/>
        </w:numPr>
        <w:ind w:left="720" w:hanging="360"/>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6"/>
        </w:numPr>
        <w:ind w:left="720" w:hanging="360"/>
        <w:rPr/>
      </w:pPr>
      <w:r>
        <w:rPr/>
        <w:t xml:space="preserve"> </w:t>
      </w:r>
      <w:r>
        <w:rPr/>
        <w:t xml:space="preserve">Annexe du décret n°87-713 du 26 août 1987 fixant la liste des charges récupérables.   </w:t>
      </w:r>
    </w:p>
    <w:p>
      <w:pPr>
        <w:pStyle w:val="LOnormal"/>
        <w:numPr>
          <w:ilvl w:val="0"/>
          <w:numId w:val="16"/>
        </w:numPr>
        <w:ind w:left="720" w:hanging="360"/>
        <w:jc w:val="left"/>
        <w:rPr/>
      </w:pPr>
      <w:r>
        <w:rPr/>
        <w:t>Le cas échéant, note écrite sur les causes des sinistres ayant donné lieu au versement d’une indemnité d’assurance garantissant les risques de catastrophes naturelles et/ou technologiques.</w:t>
      </w:r>
    </w:p>
    <w:p>
      <w:pPr>
        <w:pStyle w:val="LOnormal"/>
        <w:numPr>
          <w:ilvl w:val="0"/>
          <w:numId w:val="17"/>
        </w:numPr>
        <w:ind w:left="720" w:hanging="360"/>
        <w:jc w:val="left"/>
        <w:rPr/>
      </w:pPr>
      <w:r>
        <w:rPr/>
        <w:t>Le cas échéant, copie de l'acte de cautionnement.</w:t>
      </w:r>
    </w:p>
    <w:p>
      <w:pPr>
        <w:pStyle w:val="LOnormal"/>
        <w:numPr>
          <w:ilvl w:val="0"/>
          <w:numId w:val="18"/>
        </w:numPr>
        <w:ind w:left="720" w:hanging="360"/>
        <w:jc w:val="left"/>
        <w:rPr/>
      </w:pPr>
      <w:r>
        <w:rPr/>
        <w:t>Énumération des équipements d'accès aux technologies de l'information et de la communication.</w:t>
      </w:r>
    </w:p>
    <w:p>
      <w:pPr>
        <w:pStyle w:val="LOnormal"/>
        <w:jc w:val="left"/>
        <w:rPr/>
      </w:pPr>
      <w:r>
        <w:rPr/>
        <w:t xml:space="preserve"> </w:t>
      </w:r>
    </w:p>
    <w:p>
      <w:pPr>
        <w:pStyle w:val="LOnormal"/>
        <w:numPr>
          <w:ilvl w:val="0"/>
          <w:numId w:val="19"/>
        </w:numPr>
        <w:jc w:val="left"/>
        <w:rPr/>
      </w:pPr>
      <w:r>
        <w:rPr/>
        <w:t xml:space="preserve">Fait à </w:t>
      </w:r>
      <w:r>
        <w:rPr>
          <w:shd w:fill="FF8000" w:val="clear"/>
        </w:rPr>
        <w:t>_____________________</w:t>
      </w:r>
      <w:r>
        <w:rPr/>
        <w:t xml:space="preserve"> en </w:t>
      </w:r>
      <w:r>
        <w:rPr>
          <w:shd w:fill="FF8000" w:val="clear"/>
        </w:rPr>
        <w:t>______</w:t>
      </w:r>
      <w:r>
        <w:rPr/>
        <w:t xml:space="preserve"> exemplaire(s) original,</w:t>
      </w:r>
    </w:p>
    <w:p>
      <w:pPr>
        <w:pStyle w:val="LOnormal"/>
        <w:jc w:val="left"/>
        <w:rPr/>
      </w:pPr>
      <w:r>
        <w:rPr/>
        <w:br/>
        <w:t xml:space="preserve">Le </w:t>
      </w:r>
      <w:r>
        <w:rPr>
          <w:shd w:fill="FF8000" w:val="clear"/>
        </w:rPr>
        <w:t>_______________</w:t>
      </w:r>
      <w:r>
        <w:rPr/>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t>_______________</w:t>
        <w:br/>
      </w:r>
    </w:p>
    <w:p>
      <w:pPr>
        <w:pStyle w:val="LOnormal"/>
        <w:jc w:val="left"/>
        <w:rPr/>
      </w:pPr>
      <w:r>
        <w:rPr/>
        <w:br/>
        <w:t>Le(s) Bailleur(s)</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t>_______________</w:t>
        <w:br/>
      </w:r>
    </w:p>
    <w:p>
      <w:pPr>
        <w:pStyle w:val="LOnormal"/>
        <w:jc w:val="left"/>
        <w:rPr/>
      </w:pPr>
      <w:r>
        <w:rPr/>
        <w:br/>
        <w:t>Le(s) Locataires(s)</w:t>
      </w:r>
    </w:p>
    <w:p>
      <w:pPr>
        <w:pStyle w:val="LOnormal"/>
        <w:jc w:val="left"/>
        <w:rPr/>
      </w:pPr>
      <w:r>
        <w:rPr/>
        <w:t xml:space="preserve"> </w:t>
      </w:r>
    </w:p>
    <w:p>
      <w:pPr>
        <w:pStyle w:val="LOnormal"/>
        <w:jc w:val="left"/>
        <w:rPr/>
      </w:pPr>
      <w:r>
        <w:rPr/>
        <w:t xml:space="preserve"> </w:t>
      </w:r>
    </w:p>
    <w:p>
      <w:pPr>
        <w:pStyle w:val="LOnormal"/>
        <w:jc w:val="left"/>
        <w:rPr/>
      </w:pPr>
      <w:r>
        <w:rPr>
          <w:b/>
        </w:rPr>
        <w:t>Paraphez chaque page du contrat</w:t>
      </w:r>
    </w:p>
    <w:p>
      <w:pPr>
        <w:pStyle w:val="LOnormal"/>
        <w:jc w:val="both"/>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480" w:after="120"/>
    </w:pPr>
    <w:rPr>
      <w:b/>
      <w:sz w:val="48"/>
      <w:szCs w:val="48"/>
    </w:rPr>
  </w:style>
  <w:style w:type="paragraph" w:styleId="Titre2">
    <w:name w:val="Heading 2"/>
    <w:basedOn w:val="LOnormal"/>
    <w:next w:val="LOnormal"/>
    <w:qFormat/>
    <w:pPr>
      <w:keepNext w:val="true"/>
      <w:keepLines/>
      <w:pageBreakBefore w:val="false"/>
      <w:spacing w:lineRule="auto" w:line="240" w:before="360" w:after="80"/>
    </w:pPr>
    <w:rPr>
      <w:b/>
      <w:sz w:val="36"/>
      <w:szCs w:val="36"/>
    </w:rPr>
  </w:style>
  <w:style w:type="paragraph" w:styleId="Titre3">
    <w:name w:val="Heading 3"/>
    <w:basedOn w:val="LOnormal"/>
    <w:next w:val="LOnormal"/>
    <w:qFormat/>
    <w:pPr>
      <w:keepNext w:val="true"/>
      <w:keepLines/>
      <w:pageBreakBefore w:val="false"/>
      <w:spacing w:lineRule="auto" w:line="240" w:before="280" w:after="80"/>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132</TotalTime>
  <Application>LibreOffice/7.3.7.2$Linux_X86_64 LibreOffice_project/30$Build-2</Application>
  <AppVersion>15.0000</AppVersion>
  <Pages>12</Pages>
  <Words>3993</Words>
  <Characters>20707</Characters>
  <CharactersWithSpaces>24538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2024-08-17T22:22:42Z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