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F73"/>
          <w:sz w:val="68"/>
        </w:rPr>
        <w:t>SMART PLANNING IA</w:t>
      </w:r>
    </w:p>
    <w:p>
      <w:pPr>
        <w:jc w:val="center"/>
      </w:pPr>
      <w:r>
        <w:rPr>
          <w:b/>
          <w:color w:val="265AA0"/>
          <w:sz w:val="40"/>
        </w:rPr>
        <w:t>JCDecaux — Retail Media DOOH</w:t>
      </w:r>
    </w:p>
    <w:p>
      <w:pPr>
        <w:jc w:val="center"/>
      </w:pPr>
      <w:r>
        <w:rPr>
          <w:color w:val="555B66"/>
          <w:sz w:val="28"/>
        </w:rPr>
        <w:t>Documentation technique détaillée de l'application et du code</w:t>
      </w:r>
    </w:p>
    <w:p/>
    <w:p/>
    <w:p>
      <w:pPr>
        <w:jc w:val="center"/>
      </w:pPr>
      <w:r>
        <w:rPr>
          <w:i/>
          <w:color w:val="555B66"/>
          <w:sz w:val="24"/>
        </w:rPr>
        <w:t>Assistant IA conversationnel de recommandation de panneaux publicitaires</w:t>
      </w:r>
    </w:p>
    <w:p/>
    <w:p/>
    <w:p/>
    <w:p/>
    <w:p/>
    <w:p/>
    <w:p>
      <w:pPr>
        <w:jc w:val="center"/>
      </w:pPr>
      <w:r>
        <w:rPr>
          <w:color w:val="555B66"/>
          <w:sz w:val="20"/>
        </w:rPr>
        <w:t>Backend : Python / FastAPI  •  Frontend : Next.js / React  •  IA : Groq (LLM) + moteur de scoring déterministe</w:t>
      </w:r>
    </w:p>
    <w:p>
      <w:r>
        <w:br w:type="page"/>
      </w:r>
    </w:p>
    <w:p>
      <w:pPr>
        <w:pStyle w:val="Heading1"/>
      </w:pPr>
      <w:r>
        <w:t>Sommaire</w:t>
      </w:r>
    </w:p>
    <w:p>
      <w:r>
        <w:rPr>
          <w:b w:val="0"/>
          <w:i/>
          <w:color w:val="555B66"/>
          <w:sz w:val="18"/>
        </w:rPr>
        <w:t>Pour mettre à jour le sommaire dans Word : clic droit dessus → « Mettre à jour les champs » (ou touche F9).</w:t>
      </w:r>
    </w:p>
    <w:p>
      <w:r>
        <w:fldChar w:fldCharType="begin"/>
        <w:instrText xml:space="preserve">TOC \o "1-3" \h \z \u</w:instrText>
        <w:fldChar w:fldCharType="separate"/>
        <w:t>Le sommaire s'affichera ici après mise à jour (F9).</w:t>
        <w:fldChar w:fldCharType="end"/>
      </w:r>
    </w:p>
    <w:p>
      <w:r>
        <w:br w:type="page"/>
      </w:r>
    </w:p>
    <w:p>
      <w:pPr>
        <w:pStyle w:val="Heading1"/>
      </w:pPr>
      <w:r>
        <w:t>1. Présentation générale de l'application</w:t>
      </w:r>
    </w:p>
    <w:p>
      <w:r>
        <w:rPr>
          <w:b w:val="0"/>
          <w:i w:val="0"/>
        </w:rPr>
        <w:t>Smart Planning IA est un assistant conversationnel qui aide les commerciaux et les annonceurs JCDecaux à construire un dispositif publicitaire DOOH (affichage numérique extérieur) en langage naturel. L'utilisateur décrit son besoin — par exemple « Je veux une campagne à proximité des magasins Nicolas dans le 15e arrondissement de Paris » — et l'application propose automatiquement une sélection de panneaux, une carte interactive, des indicateurs clés (nombre de faces, impressions, budget) et une justification rédigée pour chaque panneau.</w:t>
      </w:r>
    </w:p>
    <w:p>
      <w:r>
        <w:rPr>
          <w:b w:val="0"/>
          <w:i w:val="0"/>
        </w:rPr>
        <w:t>L'application est capable de dialoguer : à chaque nouveau message, le client peut affiner ses critères (ville, budget, rayon autour des magasins, nombre de faces, durée…) et le plan se recalcule dynamiquement, comme une vraie conversation avec un expert média.</w:t>
      </w:r>
    </w:p>
    <w:p>
      <w:pPr>
        <w:pStyle w:val="Heading3"/>
      </w:pPr>
      <w:r>
        <w:t>Les deux moteurs qui cohabitent</w:t>
      </w:r>
    </w:p>
    <w:p>
      <w:r>
        <w:rPr>
          <w:b w:val="0"/>
          <w:i w:val="0"/>
        </w:rPr>
        <w:t>Le fonctionnement repose sur une séparation nette des rôles :</w:t>
      </w:r>
    </w:p>
    <w:p>
      <w:pPr>
        <w:pStyle w:val="ListBullet"/>
      </w:pPr>
      <w:r>
        <w:rPr>
          <w:b/>
        </w:rPr>
        <w:t xml:space="preserve">L'IA générative (LLM Groq) : </w:t>
      </w:r>
      <w:r>
        <w:t>comprend le langage naturel du client et rédige les textes (résumé, justifications). Il ne calcule AUCUN chiffre.</w:t>
      </w:r>
    </w:p>
    <w:p>
      <w:pPr>
        <w:pStyle w:val="ListBullet"/>
      </w:pPr>
      <w:r>
        <w:rPr>
          <w:b/>
        </w:rPr>
        <w:t xml:space="preserve">Le moteur de scoring déterministe (Python/pandas) : </w:t>
      </w:r>
      <w:r>
        <w:t>sélectionne les panneaux, calcule les distances, l'audience, les impressions et le budget. Il est 100 % reproductible : la même demande donne toujours le même résultat chiffré.</w:t>
      </w:r>
    </w:p>
    <w:p>
      <w:r>
        <w:rPr>
          <w:b w:val="0"/>
          <w:i w:val="0"/>
        </w:rPr>
        <w:t>Cette séparation garantit que les chiffres présentés au client sont fiables et vérifiables, tout en gardant une expérience de discussion fluide et naturelle.</w:t>
      </w:r>
    </w:p>
    <w:p>
      <w:pPr>
        <w:pStyle w:val="Heading3"/>
      </w:pPr>
      <w:r>
        <w:t>Mode dégradé (sans clé IA)</w:t>
      </w:r>
    </w:p>
    <w:p>
      <w:r>
        <w:rPr>
          <w:b w:val="0"/>
          <w:i w:val="0"/>
        </w:rPr>
        <w:t>Si aucune clé LLM n'est configurée, ou si le service Groq est injoignable (réseau, proxy d'entreprise, quota atteint), l'application continue de fonctionner : les critères sont extraits par des règles (expressions régulières) et les textes sont générés par des gabarits. Le client obtient toujours un plan cohérent.</w:t>
      </w:r>
    </w:p>
    <w:p>
      <w:pPr>
        <w:pStyle w:val="Heading1"/>
      </w:pPr>
      <w:r>
        <w:t>2. Architecture technique</w:t>
      </w:r>
    </w:p>
    <w:p>
      <w:pPr>
        <w:pStyle w:val="Heading3"/>
      </w:pPr>
      <w:r>
        <w:t>Pile technologique</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val="clear" w:fill="265AA0"/>
          </w:tcPr>
          <w:p>
            <w:r/>
            <w:r>
              <w:rPr>
                <w:b/>
                <w:color w:val="FFFFFF"/>
                <w:sz w:val="20"/>
              </w:rPr>
              <w:t>Couche</w:t>
            </w:r>
          </w:p>
        </w:tc>
        <w:tc>
          <w:tcPr>
            <w:tcW w:type="dxa" w:w="3744"/>
            <w:shd w:val="clear" w:fill="265AA0"/>
          </w:tcPr>
          <w:p>
            <w:r/>
            <w:r>
              <w:rPr>
                <w:b/>
                <w:color w:val="FFFFFF"/>
                <w:sz w:val="20"/>
              </w:rPr>
              <w:t>Technologie</w:t>
            </w:r>
          </w:p>
        </w:tc>
        <w:tc>
          <w:tcPr>
            <w:tcW w:type="dxa" w:w="3888"/>
            <w:shd w:val="clear" w:fill="265AA0"/>
          </w:tcPr>
          <w:p>
            <w:r/>
            <w:r>
              <w:rPr>
                <w:b/>
                <w:color w:val="FFFFFF"/>
                <w:sz w:val="20"/>
              </w:rPr>
              <w:t>Rôle</w:t>
            </w:r>
          </w:p>
        </w:tc>
      </w:tr>
      <w:tr>
        <w:tc>
          <w:tcPr>
            <w:tcW w:type="dxa" w:w="1728"/>
          </w:tcPr>
          <w:p>
            <w:r/>
            <w:r>
              <w:rPr>
                <w:sz w:val="19"/>
              </w:rPr>
              <w:t>Frontend</w:t>
            </w:r>
          </w:p>
        </w:tc>
        <w:tc>
          <w:tcPr>
            <w:tcW w:type="dxa" w:w="3744"/>
          </w:tcPr>
          <w:p>
            <w:r/>
            <w:r>
              <w:rPr>
                <w:sz w:val="19"/>
              </w:rPr>
              <w:t>Next.js, React, TypeScript, Tailwind CSS, Leaflet</w:t>
            </w:r>
          </w:p>
        </w:tc>
        <w:tc>
          <w:tcPr>
            <w:tcW w:type="dxa" w:w="3888"/>
          </w:tcPr>
          <w:p>
            <w:r/>
            <w:r>
              <w:rPr>
                <w:sz w:val="19"/>
              </w:rPr>
              <w:t>Interface utilisateur, chat, carte, KPIs</w:t>
            </w:r>
          </w:p>
        </w:tc>
      </w:tr>
      <w:tr>
        <w:tc>
          <w:tcPr>
            <w:tcW w:type="dxa" w:w="1728"/>
          </w:tcPr>
          <w:p>
            <w:r/>
            <w:r>
              <w:rPr>
                <w:sz w:val="19"/>
              </w:rPr>
              <w:t>Backend</w:t>
            </w:r>
          </w:p>
        </w:tc>
        <w:tc>
          <w:tcPr>
            <w:tcW w:type="dxa" w:w="3744"/>
          </w:tcPr>
          <w:p>
            <w:r/>
            <w:r>
              <w:rPr>
                <w:sz w:val="19"/>
              </w:rPr>
              <w:t>Python, FastAPI, Pydantic</w:t>
            </w:r>
          </w:p>
        </w:tc>
        <w:tc>
          <w:tcPr>
            <w:tcW w:type="dxa" w:w="3888"/>
          </w:tcPr>
          <w:p>
            <w:r/>
            <w:r>
              <w:rPr>
                <w:sz w:val="19"/>
              </w:rPr>
              <w:t>API REST, orchestration, calculs</w:t>
            </w:r>
          </w:p>
        </w:tc>
      </w:tr>
      <w:tr>
        <w:tc>
          <w:tcPr>
            <w:tcW w:type="dxa" w:w="1728"/>
          </w:tcPr>
          <w:p>
            <w:r/>
            <w:r>
              <w:rPr>
                <w:sz w:val="19"/>
              </w:rPr>
              <w:t>Calcul</w:t>
            </w:r>
          </w:p>
        </w:tc>
        <w:tc>
          <w:tcPr>
            <w:tcW w:type="dxa" w:w="3744"/>
          </w:tcPr>
          <w:p>
            <w:r/>
            <w:r>
              <w:rPr>
                <w:sz w:val="19"/>
              </w:rPr>
              <w:t>pandas, numpy</w:t>
            </w:r>
          </w:p>
        </w:tc>
        <w:tc>
          <w:tcPr>
            <w:tcW w:type="dxa" w:w="3888"/>
          </w:tcPr>
          <w:p>
            <w:r/>
            <w:r>
              <w:rPr>
                <w:sz w:val="19"/>
              </w:rPr>
              <w:t>Scoring, distances, agrégations</w:t>
            </w:r>
          </w:p>
        </w:tc>
      </w:tr>
      <w:tr>
        <w:tc>
          <w:tcPr>
            <w:tcW w:type="dxa" w:w="1728"/>
          </w:tcPr>
          <w:p>
            <w:r/>
            <w:r>
              <w:rPr>
                <w:sz w:val="19"/>
              </w:rPr>
              <w:t>IA générative</w:t>
            </w:r>
          </w:p>
        </w:tc>
        <w:tc>
          <w:tcPr>
            <w:tcW w:type="dxa" w:w="3744"/>
          </w:tcPr>
          <w:p>
            <w:r/>
            <w:r>
              <w:rPr>
                <w:sz w:val="19"/>
              </w:rPr>
              <w:t>Groq (API compatible OpenAI), LangGraph, LangChain</w:t>
            </w:r>
          </w:p>
        </w:tc>
        <w:tc>
          <w:tcPr>
            <w:tcW w:type="dxa" w:w="3888"/>
          </w:tcPr>
          <w:p>
            <w:r/>
            <w:r>
              <w:rPr>
                <w:sz w:val="19"/>
              </w:rPr>
              <w:t>Compréhension du besoin, rédaction</w:t>
            </w:r>
          </w:p>
        </w:tc>
      </w:tr>
      <w:tr>
        <w:tc>
          <w:tcPr>
            <w:tcW w:type="dxa" w:w="1728"/>
          </w:tcPr>
          <w:p>
            <w:r/>
            <w:r>
              <w:rPr>
                <w:sz w:val="19"/>
              </w:rPr>
              <w:t>RAG</w:t>
            </w:r>
          </w:p>
        </w:tc>
        <w:tc>
          <w:tcPr>
            <w:tcW w:type="dxa" w:w="3744"/>
          </w:tcPr>
          <w:p>
            <w:r/>
            <w:r>
              <w:rPr>
                <w:sz w:val="19"/>
              </w:rPr>
              <w:t>ChromaDB, FastEmbed</w:t>
            </w:r>
          </w:p>
        </w:tc>
        <w:tc>
          <w:tcPr>
            <w:tcW w:type="dxa" w:w="3888"/>
          </w:tcPr>
          <w:p>
            <w:r/>
            <w:r>
              <w:rPr>
                <w:sz w:val="19"/>
              </w:rPr>
              <w:t>Recherche des règles métier JCDecaux</w:t>
            </w:r>
          </w:p>
        </w:tc>
      </w:tr>
      <w:tr>
        <w:tc>
          <w:tcPr>
            <w:tcW w:type="dxa" w:w="1728"/>
          </w:tcPr>
          <w:p>
            <w:r/>
            <w:r>
              <w:rPr>
                <w:sz w:val="19"/>
              </w:rPr>
              <w:t>Export</w:t>
            </w:r>
          </w:p>
        </w:tc>
        <w:tc>
          <w:tcPr>
            <w:tcW w:type="dxa" w:w="3744"/>
          </w:tcPr>
          <w:p>
            <w:r/>
            <w:r>
              <w:rPr>
                <w:sz w:val="19"/>
              </w:rPr>
              <w:t>openpyxl</w:t>
            </w:r>
          </w:p>
        </w:tc>
        <w:tc>
          <w:tcPr>
            <w:tcW w:type="dxa" w:w="3888"/>
          </w:tcPr>
          <w:p>
            <w:r/>
            <w:r>
              <w:rPr>
                <w:sz w:val="19"/>
              </w:rPr>
              <w:t>Génération des fichiers Excel</w:t>
            </w:r>
          </w:p>
        </w:tc>
      </w:tr>
    </w:tbl>
    <w:p>
      <w:pPr>
        <w:spacing w:after="80"/>
      </w:pPr>
    </w:p>
    <w:p>
      <w:pPr>
        <w:pStyle w:val="Heading3"/>
      </w:pPr>
      <w:r>
        <w:t>Organisation du code (monorepo)</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Smart_Planning_IA_JCD/</w:t>
        <w:br/>
        <w:t>├── backend/</w:t>
        <w:br/>
        <w:t>│   └── app/</w:t>
        <w:br/>
        <w:t>│       ├── main.py                → point d'entrée FastAPI</w:t>
        <w:br/>
        <w:t>│       ├── api/routes.py          → endpoints HTTP</w:t>
        <w:br/>
        <w:t>│       ├── config/settings.py     → configuration (.env, clés, modèles)</w:t>
        <w:br/>
        <w:t>│       ├── agents/                → orchestrateur conversationnel (LangGraph)</w:t>
        <w:br/>
        <w:t>│       ├── services/              → moteur de calcul, géo, chat, export, analytics</w:t>
        <w:br/>
        <w:t>│       ├── tools/                 → extraction du brief, textes par panneau, RAG</w:t>
        <w:br/>
        <w:t>│       ├── llm/                   → connexion Groq/OpenAI, retry, throttle</w:t>
        <w:br/>
        <w:t>│       ├── rag/                   → base vectorielle, indexation des docs</w:t>
        <w:br/>
        <w:t>│       ├── data/                  → panels.csv (panneaux), stores.csv (magasins)</w:t>
        <w:br/>
        <w:t>│       └── rag_docs/              → règles métier (.md)</w:t>
        <w:br/>
        <w:t>└── frontend/</w:t>
        <w:br/>
        <w:t xml:space="preserve">    └── app/                       → page.tsx, components/, globals.css</w:t>
      </w:r>
    </w:p>
    <w:p>
      <w:pPr>
        <w:pStyle w:val="Heading1"/>
      </w:pPr>
      <w:r>
        <w:t>3. Le parcours d'une demande (pipeline)</w:t>
      </w:r>
    </w:p>
    <w:p>
      <w:r>
        <w:rPr>
          <w:b w:val="0"/>
          <w:i w:val="0"/>
        </w:rPr>
        <w:t>Lorsqu'un client envoie un message, la requête suit ce trajet de bout en bout :</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Frontend  →  POST /chat  (routes.py)</w:t>
        <w:br/>
        <w:t xml:space="preserve">   →  handle_chat()          (chat_service.py)</w:t>
        <w:br/>
        <w:t xml:space="preserve">        →  run_agent()       (smart_planning_agent.py)</w:t>
        <w:br/>
        <w:t xml:space="preserve">            1. brief_extraction_tool()   comprendre la demande (LLM) → « brief »</w:t>
        <w:br/>
        <w:t xml:space="preserve">            2. brief_to_scoring_criteria() normaliser en critères techniques</w:t>
        <w:br/>
        <w:t xml:space="preserve">            3. recommend_panels()        LE moteur : scoring, distance, budget</w:t>
        <w:br/>
        <w:t xml:space="preserve">            4. enrich_recommendation_explanations() 1 texte / panneau (LLM)</w:t>
        <w:br/>
        <w:t xml:space="preserve">            5. generate_llm_reply()      réponse conversationnelle (LLM)</w:t>
        <w:br/>
        <w:t xml:space="preserve">   →  JSON renvoyé au frontend (plan + carte + KPIs + textes)</w:t>
      </w:r>
    </w:p>
    <w:p>
      <w:r>
        <w:rPr>
          <w:b w:val="0"/>
          <w:i w:val="0"/>
        </w:rPr>
        <w:t>Optimisation clé : si le nouveau message ne change AUCUN critère (simple question), le plan n'est pas recalculé et les textes ne sont pas régénérés — cela économise des appels LLM. C'est la fonction criteria_changed() qui prend cette décision.</w:t>
      </w:r>
    </w:p>
    <w:p>
      <w:pPr>
        <w:pStyle w:val="Heading1"/>
      </w:pPr>
      <w:r>
        <w:t>4. Les données</w:t>
      </w:r>
    </w:p>
    <w:p>
      <w:pPr>
        <w:pStyle w:val="Heading3"/>
      </w:pPr>
      <w:r>
        <w:t>panels.csv — le parc de panneaux (~10 130 lignes)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fill="265AA0"/>
          </w:tcPr>
          <w:p>
            <w:r/>
            <w:r>
              <w:rPr>
                <w:b/>
                <w:color w:val="FFFFFF"/>
                <w:sz w:val="20"/>
              </w:rPr>
              <w:t>Colonne</w:t>
            </w:r>
          </w:p>
        </w:tc>
        <w:tc>
          <w:tcPr>
            <w:tcW w:type="dxa" w:w="3600"/>
            <w:shd w:val="clear" w:fill="265AA0"/>
          </w:tcPr>
          <w:p>
            <w:r/>
            <w:r>
              <w:rPr>
                <w:b/>
                <w:color w:val="FFFFFF"/>
                <w:sz w:val="20"/>
              </w:rPr>
              <w:t>Description</w:t>
            </w:r>
          </w:p>
        </w:tc>
        <w:tc>
          <w:tcPr>
            <w:tcW w:type="dxa" w:w="3312"/>
            <w:shd w:val="clear" w:fill="265AA0"/>
          </w:tcPr>
          <w:p>
            <w:r/>
            <w:r>
              <w:rPr>
                <w:b/>
                <w:color w:val="FFFFFF"/>
                <w:sz w:val="20"/>
              </w:rPr>
              <w:t>Rôle dans les calculs</w:t>
            </w:r>
          </w:p>
        </w:tc>
      </w:tr>
      <w:tr>
        <w:tc>
          <w:tcPr>
            <w:tcW w:type="dxa" w:w="2448"/>
          </w:tcPr>
          <w:p>
            <w:r/>
            <w:r>
              <w:rPr>
                <w:sz w:val="19"/>
              </w:rPr>
              <w:t>panel_id</w:t>
            </w:r>
          </w:p>
        </w:tc>
        <w:tc>
          <w:tcPr>
            <w:tcW w:type="dxa" w:w="3600"/>
          </w:tcPr>
          <w:p>
            <w:r/>
            <w:r>
              <w:rPr>
                <w:sz w:val="19"/>
              </w:rPr>
              <w:t>Identifiant unique</w:t>
            </w:r>
          </w:p>
        </w:tc>
        <w:tc>
          <w:tcPr>
            <w:tcW w:type="dxa" w:w="3312"/>
          </w:tcPr>
          <w:p>
            <w:r/>
            <w:r>
              <w:rPr>
                <w:sz w:val="19"/>
              </w:rPr>
              <w:t>Clé de suivi</w:t>
            </w:r>
          </w:p>
        </w:tc>
      </w:tr>
      <w:tr>
        <w:tc>
          <w:tcPr>
            <w:tcW w:type="dxa" w:w="2448"/>
          </w:tcPr>
          <w:p>
            <w:r/>
            <w:r>
              <w:rPr>
                <w:sz w:val="19"/>
              </w:rPr>
              <w:t>city, arrondissement</w:t>
            </w:r>
          </w:p>
        </w:tc>
        <w:tc>
          <w:tcPr>
            <w:tcW w:type="dxa" w:w="3600"/>
          </w:tcPr>
          <w:p>
            <w:r/>
            <w:r>
              <w:rPr>
                <w:sz w:val="19"/>
              </w:rPr>
              <w:t>Ville et arrondissement (Paris)</w:t>
            </w:r>
          </w:p>
        </w:tc>
        <w:tc>
          <w:tcPr>
            <w:tcW w:type="dxa" w:w="3312"/>
          </w:tcPr>
          <w:p>
            <w:r/>
            <w:r>
              <w:rPr>
                <w:sz w:val="19"/>
              </w:rPr>
              <w:t>Filtrage géographique</w:t>
            </w:r>
          </w:p>
        </w:tc>
      </w:tr>
      <w:tr>
        <w:tc>
          <w:tcPr>
            <w:tcW w:type="dxa" w:w="2448"/>
          </w:tcPr>
          <w:p>
            <w:r/>
            <w:r>
              <w:rPr>
                <w:sz w:val="19"/>
              </w:rPr>
              <w:t>latitude, longitude</w:t>
            </w:r>
          </w:p>
        </w:tc>
        <w:tc>
          <w:tcPr>
            <w:tcW w:type="dxa" w:w="3600"/>
          </w:tcPr>
          <w:p>
            <w:r/>
            <w:r>
              <w:rPr>
                <w:sz w:val="19"/>
              </w:rPr>
              <w:t>Coordonnées GPS</w:t>
            </w:r>
          </w:p>
        </w:tc>
        <w:tc>
          <w:tcPr>
            <w:tcW w:type="dxa" w:w="3312"/>
          </w:tcPr>
          <w:p>
            <w:r/>
            <w:r>
              <w:rPr>
                <w:sz w:val="19"/>
              </w:rPr>
              <w:t>Calcul des distances (haversine)</w:t>
            </w:r>
          </w:p>
        </w:tc>
      </w:tr>
      <w:tr>
        <w:tc>
          <w:tcPr>
            <w:tcW w:type="dxa" w:w="2448"/>
          </w:tcPr>
          <w:p>
            <w:r/>
            <w:r>
              <w:rPr>
                <w:sz w:val="19"/>
              </w:rPr>
              <w:t>address, district</w:t>
            </w:r>
          </w:p>
        </w:tc>
        <w:tc>
          <w:tcPr>
            <w:tcW w:type="dxa" w:w="3600"/>
          </w:tcPr>
          <w:p>
            <w:r/>
            <w:r>
              <w:rPr>
                <w:sz w:val="19"/>
              </w:rPr>
              <w:t>Adresse et quartier</w:t>
            </w:r>
          </w:p>
        </w:tc>
        <w:tc>
          <w:tcPr>
            <w:tcW w:type="dxa" w:w="3312"/>
          </w:tcPr>
          <w:p>
            <w:r/>
            <w:r>
              <w:rPr>
                <w:sz w:val="19"/>
              </w:rPr>
              <w:t>Affichage + diversité de sélection</w:t>
            </w:r>
          </w:p>
        </w:tc>
      </w:tr>
      <w:tr>
        <w:tc>
          <w:tcPr>
            <w:tcW w:type="dxa" w:w="2448"/>
          </w:tcPr>
          <w:p>
            <w:r/>
            <w:r>
              <w:rPr>
                <w:sz w:val="19"/>
              </w:rPr>
              <w:t>format, screen_type</w:t>
            </w:r>
          </w:p>
        </w:tc>
        <w:tc>
          <w:tcPr>
            <w:tcW w:type="dxa" w:w="3600"/>
          </w:tcPr>
          <w:p>
            <w:r/>
            <w:r>
              <w:rPr>
                <w:sz w:val="19"/>
              </w:rPr>
              <w:t>Type de support</w:t>
            </w:r>
          </w:p>
        </w:tc>
        <w:tc>
          <w:tcPr>
            <w:tcW w:type="dxa" w:w="3312"/>
          </w:tcPr>
          <w:p>
            <w:r/>
            <w:r>
              <w:rPr>
                <w:sz w:val="19"/>
              </w:rPr>
              <w:t>Diversité (jamais montré au client)</w:t>
            </w:r>
          </w:p>
        </w:tc>
      </w:tr>
      <w:tr>
        <w:tc>
          <w:tcPr>
            <w:tcW w:type="dxa" w:w="2448"/>
          </w:tcPr>
          <w:p>
            <w:r/>
            <w:r>
              <w:rPr>
                <w:sz w:val="19"/>
              </w:rPr>
              <w:t>visibility_score</w:t>
            </w:r>
          </w:p>
        </w:tc>
        <w:tc>
          <w:tcPr>
            <w:tcW w:type="dxa" w:w="3600"/>
          </w:tcPr>
          <w:p>
            <w:r/>
            <w:r>
              <w:rPr>
                <w:sz w:val="19"/>
              </w:rPr>
              <w:t>Note de visibilité 0–100</w:t>
            </w:r>
          </w:p>
        </w:tc>
        <w:tc>
          <w:tcPr>
            <w:tcW w:type="dxa" w:w="3312"/>
          </w:tcPr>
          <w:p>
            <w:r/>
            <w:r>
              <w:rPr>
                <w:sz w:val="19"/>
              </w:rPr>
              <w:t>Composant du score</w:t>
            </w:r>
          </w:p>
        </w:tc>
      </w:tr>
      <w:tr>
        <w:tc>
          <w:tcPr>
            <w:tcW w:type="dxa" w:w="2448"/>
          </w:tcPr>
          <w:p>
            <w:r/>
            <w:r>
              <w:rPr>
                <w:sz w:val="19"/>
              </w:rPr>
              <w:t>daily_traffic</w:t>
            </w:r>
          </w:p>
        </w:tc>
        <w:tc>
          <w:tcPr>
            <w:tcW w:type="dxa" w:w="3600"/>
          </w:tcPr>
          <w:p>
            <w:r/>
            <w:r>
              <w:rPr>
                <w:sz w:val="19"/>
              </w:rPr>
              <w:t>Audience HEBDOMADAIRE (nom trompeur)</w:t>
            </w:r>
          </w:p>
        </w:tc>
        <w:tc>
          <w:tcPr>
            <w:tcW w:type="dxa" w:w="3312"/>
          </w:tcPr>
          <w:p>
            <w:r/>
            <w:r>
              <w:rPr>
                <w:sz w:val="19"/>
              </w:rPr>
              <w:t>Audience, impressions (÷ 7)</w:t>
            </w:r>
          </w:p>
        </w:tc>
      </w:tr>
      <w:tr>
        <w:tc>
          <w:tcPr>
            <w:tcW w:type="dxa" w:w="2448"/>
          </w:tcPr>
          <w:p>
            <w:r/>
            <w:r>
              <w:rPr>
                <w:sz w:val="19"/>
              </w:rPr>
              <w:t>audience_csp_plus</w:t>
            </w:r>
          </w:p>
        </w:tc>
        <w:tc>
          <w:tcPr>
            <w:tcW w:type="dxa" w:w="3600"/>
          </w:tcPr>
          <w:p>
            <w:r/>
            <w:r>
              <w:rPr>
                <w:sz w:val="19"/>
              </w:rPr>
              <w:t>Affinité CSP+ 0–100</w:t>
            </w:r>
          </w:p>
        </w:tc>
        <w:tc>
          <w:tcPr>
            <w:tcW w:type="dxa" w:w="3312"/>
          </w:tcPr>
          <w:p>
            <w:r/>
            <w:r>
              <w:rPr>
                <w:sz w:val="19"/>
              </w:rPr>
              <w:t>Affinité cible</w:t>
            </w:r>
          </w:p>
        </w:tc>
      </w:tr>
      <w:tr>
        <w:tc>
          <w:tcPr>
            <w:tcW w:type="dxa" w:w="2448"/>
          </w:tcPr>
          <w:p>
            <w:r/>
            <w:r>
              <w:rPr>
                <w:sz w:val="19"/>
              </w:rPr>
              <w:t>audience_young_active</w:t>
            </w:r>
          </w:p>
        </w:tc>
        <w:tc>
          <w:tcPr>
            <w:tcW w:type="dxa" w:w="3600"/>
          </w:tcPr>
          <w:p>
            <w:r/>
            <w:r>
              <w:rPr>
                <w:sz w:val="19"/>
              </w:rPr>
              <w:t>Affinité jeunes actifs 0–100</w:t>
            </w:r>
          </w:p>
        </w:tc>
        <w:tc>
          <w:tcPr>
            <w:tcW w:type="dxa" w:w="3312"/>
          </w:tcPr>
          <w:p>
            <w:r/>
            <w:r>
              <w:rPr>
                <w:sz w:val="19"/>
              </w:rPr>
              <w:t>Affinité cible</w:t>
            </w:r>
          </w:p>
        </w:tc>
      </w:tr>
      <w:tr>
        <w:tc>
          <w:tcPr>
            <w:tcW w:type="dxa" w:w="2448"/>
          </w:tcPr>
          <w:p>
            <w:r/>
            <w:r>
              <w:rPr>
                <w:sz w:val="19"/>
              </w:rPr>
              <w:t>availability</w:t>
            </w:r>
          </w:p>
        </w:tc>
        <w:tc>
          <w:tcPr>
            <w:tcW w:type="dxa" w:w="3600"/>
          </w:tcPr>
          <w:p>
            <w:r/>
            <w:r>
              <w:rPr>
                <w:sz w:val="19"/>
              </w:rPr>
              <w:t>Disponible sur la période (oui/non)</w:t>
            </w:r>
          </w:p>
        </w:tc>
        <w:tc>
          <w:tcPr>
            <w:tcW w:type="dxa" w:w="3312"/>
          </w:tcPr>
          <w:p>
            <w:r/>
            <w:r>
              <w:rPr>
                <w:sz w:val="19"/>
              </w:rPr>
              <w:t>Score de disponibilité</w:t>
            </w:r>
          </w:p>
        </w:tc>
      </w:tr>
      <w:tr>
        <w:tc>
          <w:tcPr>
            <w:tcW w:type="dxa" w:w="2448"/>
          </w:tcPr>
          <w:p>
            <w:r/>
            <w:r>
              <w:rPr>
                <w:sz w:val="19"/>
              </w:rPr>
              <w:t>maintenance_status</w:t>
            </w:r>
          </w:p>
        </w:tc>
        <w:tc>
          <w:tcPr>
            <w:tcW w:type="dxa" w:w="3600"/>
          </w:tcPr>
          <w:p>
            <w:r/>
            <w:r>
              <w:rPr>
                <w:sz w:val="19"/>
              </w:rPr>
              <w:t>État technique</w:t>
            </w:r>
          </w:p>
        </w:tc>
        <w:tc>
          <w:tcPr>
            <w:tcW w:type="dxa" w:w="3312"/>
          </w:tcPr>
          <w:p>
            <w:r/>
            <w:r>
              <w:rPr>
                <w:sz w:val="19"/>
              </w:rPr>
              <w:t>Éligibilité (ok requis)</w:t>
            </w:r>
          </w:p>
        </w:tc>
      </w:tr>
      <w:tr>
        <w:tc>
          <w:tcPr>
            <w:tcW w:type="dxa" w:w="2448"/>
          </w:tcPr>
          <w:p>
            <w:r/>
            <w:r>
              <w:rPr>
                <w:sz w:val="19"/>
              </w:rPr>
              <w:t>poi_nearby</w:t>
            </w:r>
          </w:p>
        </w:tc>
        <w:tc>
          <w:tcPr>
            <w:tcW w:type="dxa" w:w="3600"/>
          </w:tcPr>
          <w:p>
            <w:r/>
            <w:r>
              <w:rPr>
                <w:sz w:val="19"/>
              </w:rPr>
              <w:t>Point d'intérêt proche</w:t>
            </w:r>
          </w:p>
        </w:tc>
        <w:tc>
          <w:tcPr>
            <w:tcW w:type="dxa" w:w="3312"/>
          </w:tcPr>
          <w:p>
            <w:r/>
            <w:r>
              <w:rPr>
                <w:sz w:val="19"/>
              </w:rPr>
              <w:t>Pertinence POI</w:t>
            </w:r>
          </w:p>
        </w:tc>
      </w:tr>
      <w:tr>
        <w:tc>
          <w:tcPr>
            <w:tcW w:type="dxa" w:w="2448"/>
          </w:tcPr>
          <w:p>
            <w:r/>
            <w:r>
              <w:rPr>
                <w:sz w:val="19"/>
              </w:rPr>
              <w:t>price_per_day</w:t>
            </w:r>
          </w:p>
        </w:tc>
        <w:tc>
          <w:tcPr>
            <w:tcW w:type="dxa" w:w="3600"/>
          </w:tcPr>
          <w:p>
            <w:r/>
            <w:r>
              <w:rPr>
                <w:sz w:val="19"/>
              </w:rPr>
              <w:t>Prix par jour (€)</w:t>
            </w:r>
          </w:p>
        </w:tc>
        <w:tc>
          <w:tcPr>
            <w:tcW w:type="dxa" w:w="3312"/>
          </w:tcPr>
          <w:p>
            <w:r/>
            <w:r>
              <w:rPr>
                <w:sz w:val="19"/>
              </w:rPr>
              <w:t>Calcul du budget</w:t>
            </w:r>
          </w:p>
        </w:tc>
      </w:tr>
    </w:tbl>
    <w:p>
      <w:pPr>
        <w:spacing w:after="80"/>
      </w:pPr>
    </w:p>
    <w:p>
      <w:r>
        <w:rPr>
          <w:b w:val="0"/>
          <w:i w:val="0"/>
        </w:rPr>
        <w:t>Point crucial : la colonne daily_traffic contient en réalité l'audience de la SEMAINE. Le moteur la divise par 7 pour obtenir les passages par jour (voir section 5.4).</w:t>
      </w:r>
    </w:p>
    <w:p>
      <w:pPr>
        <w:pStyle w:val="Heading3"/>
      </w:pPr>
      <w:r>
        <w:t>stores.csv — les magasins des enseignes (~380 lignes)</w:t>
      </w:r>
    </w:p>
    <w:p>
      <w:r>
        <w:rPr>
          <w:b w:val="0"/>
          <w:i w:val="0"/>
        </w:rPr>
        <w:t>Contient les magasins simulés (Nicolas, Monoprix, Carrefour City, Franprix, Picard, Sephora…) avec enseigne, name, address, city, arrondissement, latitude, longitude. Ces coordonnées servent à calculer, pour chaque panneau, la distance au magasin le plus proche.</w:t>
      </w:r>
    </w:p>
    <w:p>
      <w:pPr>
        <w:pStyle w:val="Heading1"/>
      </w:pPr>
      <w:r>
        <w:t>5. Backend — détail fichier par fichier</w:t>
      </w:r>
    </w:p>
    <w:p>
      <w:pPr>
        <w:pStyle w:val="Heading2"/>
      </w:pPr>
      <w:r>
        <w:t>5.1  main.py — point d'entrée</w:t>
      </w:r>
    </w:p>
    <w:p>
      <w:r>
        <w:rPr>
          <w:b w:val="0"/>
          <w:i w:val="0"/>
        </w:rPr>
        <w:t>Crée l'application FastAPI, configure le CORS (autorise le frontend à appeler l'API), branche les routes, et indexe les documents RAG au démarrage. Aucune logique métier ici.</w:t>
      </w:r>
    </w:p>
    <w:p>
      <w:pPr>
        <w:pStyle w:val="ListBullet"/>
      </w:pPr>
      <w:r>
        <w:t>CORSMiddleware : autorise les appels depuis le domaine du frontend.</w:t>
      </w:r>
    </w:p>
    <w:p>
      <w:pPr>
        <w:pStyle w:val="ListBullet"/>
      </w:pPr>
      <w:r>
        <w:t>@app.on_event("startup") → ingest_rag_docs() : indexe les règles métier au premier démarrage.</w:t>
      </w:r>
    </w:p>
    <w:p>
      <w:pPr>
        <w:pStyle w:val="Heading2"/>
      </w:pPr>
      <w:r>
        <w:t>5.2  config/settings.py — configuration</w:t>
      </w:r>
    </w:p>
    <w:p>
      <w:r>
        <w:rPr>
          <w:b w:val="0"/>
          <w:i w:val="0"/>
        </w:rPr>
        <w:t>Centralise toute la configuration lue depuis les variables d'environnement (.env). Gère intelligemment les clés et les modèles.</w:t>
      </w:r>
    </w:p>
    <w:p>
      <w:pPr>
        <w:pStyle w:val="ListBullet"/>
      </w:pPr>
      <w:r>
        <w:rPr>
          <w:b/>
        </w:rPr>
        <w:t xml:space="preserve">Clés : </w:t>
      </w:r>
      <w:r>
        <w:t>Accepte une clé Groq (gsk_…) ou OpenAI (sk-…). Une clé Groq placée par erreur dans OPENAI_API_KEY est récupérée automatiquement.</w:t>
      </w:r>
    </w:p>
    <w:p>
      <w:r>
        <w:rPr>
          <w:b/>
        </w:rPr>
        <w:t xml:space="preserve">Modèles par défaut : </w:t>
      </w:r>
      <w:r>
        <w:rPr>
          <w:rFonts w:ascii="Consolas" w:hAnsi="Consolas" w:cs="Consolas"/>
          <w:b w:val="0"/>
          <w:color w:val="1A3F73"/>
          <w:sz w:val="20"/>
        </w:rPr>
        <w:t>openai/gpt-oss-20b</w:t>
      </w:r>
      <w:r>
        <w:rPr>
          <w:b w:val="0"/>
        </w:rPr>
        <w:t xml:space="preserve"> (rapide) et </w:t>
      </w:r>
      <w:r>
        <w:rPr>
          <w:rFonts w:ascii="Consolas" w:hAnsi="Consolas" w:cs="Consolas"/>
          <w:b w:val="0"/>
          <w:color w:val="1A3F73"/>
          <w:sz w:val="20"/>
        </w:rPr>
        <w:t>openai/gpt-oss-120b</w:t>
      </w:r>
      <w:r>
        <w:rPr>
          <w:b w:val="0"/>
        </w:rPr>
        <w:t xml:space="preserve"> (qualité).</w:t>
      </w:r>
    </w:p>
    <w:p>
      <w:r>
        <w:rPr>
          <w:b w:val="0"/>
          <w:i w:val="0"/>
        </w:rPr>
        <w:t>Le dictionnaire GROQ_MODEL_ALIASES remappe automatiquement les anciens noms de modèles Llama (retirés par Groq le 16/08/2026) vers la famille GPT-OSS. C'est ce mécanisme qui a corrigé l'erreur « OpenAIModelNotFoundError » rencontrée en production.</w:t>
      </w:r>
    </w:p>
    <w:p>
      <w:pPr>
        <w:pStyle w:val="ListBullet"/>
      </w:pPr>
      <w:r>
        <w:rPr>
          <w:b/>
        </w:rPr>
        <w:t xml:space="preserve">Anti rate-limit : </w:t>
      </w:r>
      <w:r>
        <w:t>Paramètres de bridage (batch, intervalle entre appels) pour respecter le quota gratuit de Groq (~6 000 tokens/minute).</w:t>
      </w:r>
    </w:p>
    <w:p>
      <w:pPr>
        <w:pStyle w:val="Heading2"/>
      </w:pPr>
      <w:r>
        <w:t>5.3  api/routes.py — les endpoints HTTP</w:t>
      </w:r>
    </w:p>
    <w:p>
      <w:r>
        <w:rPr>
          <w:b w:val="0"/>
          <w:i w:val="0"/>
        </w:rPr>
        <w:t>Définit les points d'entrée de l'API et valide les données reçues via des schémas Pydantic.</w:t>
      </w:r>
    </w:p>
    <w:tbl>
      <w:tblPr>
        <w:tblStyle w:val="LightGrid-Accent1"/>
        <w:tblW w:type="auto" w:w="0"/>
        <w:jc w:val="center"/>
        <w:tblLook w:firstColumn="1" w:firstRow="1" w:lastColumn="0" w:lastRow="0" w:noHBand="0" w:noVBand="1" w:val="04A0"/>
      </w:tblPr>
      <w:tblGrid>
        <w:gridCol w:w="4320"/>
        <w:gridCol w:w="4320"/>
      </w:tblGrid>
      <w:tr>
        <w:tc>
          <w:tcPr>
            <w:tcW w:type="dxa" w:w="3312"/>
            <w:shd w:val="clear" w:fill="265AA0"/>
          </w:tcPr>
          <w:p>
            <w:r/>
            <w:r>
              <w:rPr>
                <w:b/>
                <w:color w:val="FFFFFF"/>
                <w:sz w:val="20"/>
              </w:rPr>
              <w:t>Endpoint</w:t>
            </w:r>
          </w:p>
        </w:tc>
        <w:tc>
          <w:tcPr>
            <w:tcW w:type="dxa" w:w="6048"/>
            <w:shd w:val="clear" w:fill="265AA0"/>
          </w:tcPr>
          <w:p>
            <w:r/>
            <w:r>
              <w:rPr>
                <w:b/>
                <w:color w:val="FFFFFF"/>
                <w:sz w:val="20"/>
              </w:rPr>
              <w:t>Rôle</w:t>
            </w:r>
          </w:p>
        </w:tc>
      </w:tr>
      <w:tr>
        <w:tc>
          <w:tcPr>
            <w:tcW w:type="dxa" w:w="3312"/>
          </w:tcPr>
          <w:p>
            <w:r/>
            <w:r>
              <w:rPr>
                <w:sz w:val="19"/>
              </w:rPr>
              <w:t>POST /chat</w:t>
            </w:r>
          </w:p>
        </w:tc>
        <w:tc>
          <w:tcPr>
            <w:tcW w:type="dxa" w:w="6048"/>
          </w:tcPr>
          <w:p>
            <w:r/>
            <w:r>
              <w:rPr>
                <w:sz w:val="19"/>
              </w:rPr>
              <w:t>Conversation : message + historique + critères précédents → plan</w:t>
            </w:r>
          </w:p>
        </w:tc>
      </w:tr>
      <w:tr>
        <w:tc>
          <w:tcPr>
            <w:tcW w:type="dxa" w:w="3312"/>
          </w:tcPr>
          <w:p>
            <w:r/>
            <w:r>
              <w:rPr>
                <w:sz w:val="19"/>
              </w:rPr>
              <w:t>POST /recommendation</w:t>
            </w:r>
          </w:p>
        </w:tc>
        <w:tc>
          <w:tcPr>
            <w:tcW w:type="dxa" w:w="6048"/>
          </w:tcPr>
          <w:p>
            <w:r/>
            <w:r>
              <w:rPr>
                <w:sz w:val="19"/>
              </w:rPr>
              <w:t>Recommandation directe à partir de critères</w:t>
            </w:r>
          </w:p>
        </w:tc>
      </w:tr>
      <w:tr>
        <w:tc>
          <w:tcPr>
            <w:tcW w:type="dxa" w:w="3312"/>
          </w:tcPr>
          <w:p>
            <w:r/>
            <w:r>
              <w:rPr>
                <w:sz w:val="19"/>
              </w:rPr>
              <w:t>GET /enseignes</w:t>
            </w:r>
          </w:p>
        </w:tc>
        <w:tc>
          <w:tcPr>
            <w:tcW w:type="dxa" w:w="6048"/>
          </w:tcPr>
          <w:p>
            <w:r/>
            <w:r>
              <w:rPr>
                <w:sz w:val="19"/>
              </w:rPr>
              <w:t>Enseignes + arrondissements (1–20) + rayons [300…2000] m</w:t>
            </w:r>
          </w:p>
        </w:tc>
      </w:tr>
      <w:tr>
        <w:tc>
          <w:tcPr>
            <w:tcW w:type="dxa" w:w="3312"/>
          </w:tcPr>
          <w:p>
            <w:r/>
            <w:r>
              <w:rPr>
                <w:sz w:val="19"/>
              </w:rPr>
              <w:t>GET /kpis</w:t>
            </w:r>
          </w:p>
        </w:tc>
        <w:tc>
          <w:tcPr>
            <w:tcW w:type="dxa" w:w="6048"/>
          </w:tcPr>
          <w:p>
            <w:r/>
            <w:r>
              <w:rPr>
                <w:sz w:val="19"/>
              </w:rPr>
              <w:t>Statistiques globales du parc</w:t>
            </w:r>
          </w:p>
        </w:tc>
      </w:tr>
      <w:tr>
        <w:tc>
          <w:tcPr>
            <w:tcW w:type="dxa" w:w="3312"/>
          </w:tcPr>
          <w:p>
            <w:r/>
            <w:r>
              <w:rPr>
                <w:sz w:val="19"/>
              </w:rPr>
              <w:t>GET /panels</w:t>
            </w:r>
          </w:p>
        </w:tc>
        <w:tc>
          <w:tcPr>
            <w:tcW w:type="dxa" w:w="6048"/>
          </w:tcPr>
          <w:p>
            <w:r/>
            <w:r>
              <w:rPr>
                <w:sz w:val="19"/>
              </w:rPr>
              <w:t>Aperçu des panneaux</w:t>
            </w:r>
          </w:p>
        </w:tc>
      </w:tr>
      <w:tr>
        <w:tc>
          <w:tcPr>
            <w:tcW w:type="dxa" w:w="3312"/>
          </w:tcPr>
          <w:p>
            <w:r/>
            <w:r>
              <w:rPr>
                <w:sz w:val="19"/>
              </w:rPr>
              <w:t>POST /export/plan-retenu</w:t>
            </w:r>
          </w:p>
        </w:tc>
        <w:tc>
          <w:tcPr>
            <w:tcW w:type="dxa" w:w="6048"/>
          </w:tcPr>
          <w:p>
            <w:r/>
            <w:r>
              <w:rPr>
                <w:sz w:val="19"/>
              </w:rPr>
              <w:t>Excel des faces retenues + justifications IA</w:t>
            </w:r>
          </w:p>
        </w:tc>
      </w:tr>
      <w:tr>
        <w:tc>
          <w:tcPr>
            <w:tcW w:type="dxa" w:w="3312"/>
          </w:tcPr>
          <w:p>
            <w:r/>
            <w:r>
              <w:rPr>
                <w:sz w:val="19"/>
              </w:rPr>
              <w:t>POST /export/parc-eligible</w:t>
            </w:r>
          </w:p>
        </w:tc>
        <w:tc>
          <w:tcPr>
            <w:tcW w:type="dxa" w:w="6048"/>
          </w:tcPr>
          <w:p>
            <w:r/>
            <w:r>
              <w:rPr>
                <w:sz w:val="19"/>
              </w:rPr>
              <w:t>Excel de tout le parc éligible</w:t>
            </w:r>
          </w:p>
        </w:tc>
      </w:tr>
      <w:tr>
        <w:tc>
          <w:tcPr>
            <w:tcW w:type="dxa" w:w="3312"/>
          </w:tcPr>
          <w:p>
            <w:r/>
            <w:r>
              <w:rPr>
                <w:sz w:val="19"/>
              </w:rPr>
              <w:t>GET /health/llm</w:t>
            </w:r>
          </w:p>
        </w:tc>
        <w:tc>
          <w:tcPr>
            <w:tcW w:type="dxa" w:w="6048"/>
          </w:tcPr>
          <w:p>
            <w:r/>
            <w:r>
              <w:rPr>
                <w:sz w:val="19"/>
              </w:rPr>
              <w:t>Diagnostic Groq (sans exposer de secret)</w:t>
            </w:r>
          </w:p>
        </w:tc>
      </w:tr>
      <w:tr>
        <w:tc>
          <w:tcPr>
            <w:tcW w:type="dxa" w:w="3312"/>
          </w:tcPr>
          <w:p>
            <w:r/>
            <w:r>
              <w:rPr>
                <w:sz w:val="19"/>
              </w:rPr>
              <w:t>POST /rag/query</w:t>
            </w:r>
          </w:p>
        </w:tc>
        <w:tc>
          <w:tcPr>
            <w:tcW w:type="dxa" w:w="6048"/>
          </w:tcPr>
          <w:p>
            <w:r/>
            <w:r>
              <w:rPr>
                <w:sz w:val="19"/>
              </w:rPr>
              <w:t>Recherche dans les règles métier</w:t>
            </w:r>
          </w:p>
        </w:tc>
      </w:tr>
    </w:tbl>
    <w:p>
      <w:pPr>
        <w:spacing w:after="80"/>
      </w:pPr>
    </w:p>
    <w:p>
      <w:pPr>
        <w:pStyle w:val="Heading2"/>
      </w:pPr>
      <w:r>
        <w:t>5.4  services/recommendation_service.py — LE moteur de calcul</w:t>
      </w:r>
    </w:p>
    <w:p>
      <w:r>
        <w:rPr>
          <w:b w:val="0"/>
          <w:i w:val="0"/>
        </w:rPr>
        <w:t>C'est le fichier central pour tous les calculs. Au chargement, le CSV des panneaux est lu une seule fois et enrichi de la colonne arrondissement.</w:t>
      </w:r>
    </w:p>
    <w:p>
      <w:pPr>
        <w:pStyle w:val="Heading3"/>
      </w:pPr>
      <w:r>
        <w:t>a) Mise à l'échelle : normalize()</w:t>
      </w:r>
    </w:p>
    <w:p>
      <w:r>
        <w:rPr>
          <w:b w:val="0"/>
          <w:i w:val="0"/>
        </w:rPr>
        <w:t>Transforme une colonne en note de 0 à 100 par la méthode min-max (le minimum du lot → 0, le maximum → 100, le reste proportionnellement). C'est RELATIF au lot filtré, pas une valeur absolue.</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normalize(x) = (x − min) / (max − min) × 100</w:t>
      </w:r>
    </w:p>
    <w:p>
      <w:pPr>
        <w:pStyle w:val="Heading3"/>
      </w:pPr>
      <w:r>
        <w:t>b) Les scores composants (chacun sur 0–100)</w:t>
      </w:r>
    </w:p>
    <w:tbl>
      <w:tblPr>
        <w:tblStyle w:val="LightGrid-Accent1"/>
        <w:tblW w:type="auto" w:w="0"/>
        <w:jc w:val="center"/>
        <w:tblLook w:firstColumn="1" w:firstRow="1" w:lastColumn="0" w:lastRow="0" w:noHBand="0" w:noVBand="1" w:val="04A0"/>
      </w:tblPr>
      <w:tblGrid>
        <w:gridCol w:w="4320"/>
        <w:gridCol w:w="4320"/>
      </w:tblGrid>
      <w:tr>
        <w:tc>
          <w:tcPr>
            <w:tcW w:type="dxa" w:w="3024"/>
            <w:shd w:val="clear" w:fill="265AA0"/>
          </w:tcPr>
          <w:p>
            <w:r/>
            <w:r>
              <w:rPr>
                <w:b/>
                <w:color w:val="FFFFFF"/>
                <w:sz w:val="20"/>
              </w:rPr>
              <w:t>Composant</w:t>
            </w:r>
          </w:p>
        </w:tc>
        <w:tc>
          <w:tcPr>
            <w:tcW w:type="dxa" w:w="6336"/>
            <w:shd w:val="clear" w:fill="265AA0"/>
          </w:tcPr>
          <w:p>
            <w:r/>
            <w:r>
              <w:rPr>
                <w:b/>
                <w:color w:val="FFFFFF"/>
                <w:sz w:val="20"/>
              </w:rPr>
              <w:t>Comment il est calculé</w:t>
            </w:r>
          </w:p>
        </w:tc>
      </w:tr>
      <w:tr>
        <w:tc>
          <w:tcPr>
            <w:tcW w:type="dxa" w:w="3024"/>
          </w:tcPr>
          <w:p>
            <w:r/>
            <w:r>
              <w:rPr>
                <w:sz w:val="19"/>
              </w:rPr>
              <w:t>availability_score</w:t>
            </w:r>
          </w:p>
        </w:tc>
        <w:tc>
          <w:tcPr>
            <w:tcW w:type="dxa" w:w="6336"/>
          </w:tcPr>
          <w:p>
            <w:r/>
            <w:r>
              <w:rPr>
                <w:sz w:val="19"/>
              </w:rPr>
              <w:t>100 si le panneau est disponible, sinon 0</w:t>
            </w:r>
          </w:p>
        </w:tc>
      </w:tr>
      <w:tr>
        <w:tc>
          <w:tcPr>
            <w:tcW w:type="dxa" w:w="3024"/>
          </w:tcPr>
          <w:p>
            <w:r/>
            <w:r>
              <w:rPr>
                <w:sz w:val="19"/>
              </w:rPr>
              <w:t>constraint_score</w:t>
            </w:r>
          </w:p>
        </w:tc>
        <w:tc>
          <w:tcPr>
            <w:tcW w:type="dxa" w:w="6336"/>
          </w:tcPr>
          <w:p>
            <w:r/>
            <w:r>
              <w:rPr>
                <w:sz w:val="19"/>
              </w:rPr>
              <w:t>100 si maintenance = « ok », sinon 0 (sinon panneau écarté)</w:t>
            </w:r>
          </w:p>
        </w:tc>
      </w:tr>
      <w:tr>
        <w:tc>
          <w:tcPr>
            <w:tcW w:type="dxa" w:w="3024"/>
          </w:tcPr>
          <w:p>
            <w:r/>
            <w:r>
              <w:rPr>
                <w:sz w:val="19"/>
              </w:rPr>
              <w:t>audience_score</w:t>
            </w:r>
          </w:p>
        </w:tc>
        <w:tc>
          <w:tcPr>
            <w:tcW w:type="dxa" w:w="6336"/>
          </w:tcPr>
          <w:p>
            <w:r/>
            <w:r>
              <w:rPr>
                <w:sz w:val="19"/>
              </w:rPr>
              <w:t>normalize(daily_traffic) sur le parc éligible</w:t>
            </w:r>
          </w:p>
        </w:tc>
      </w:tr>
      <w:tr>
        <w:tc>
          <w:tcPr>
            <w:tcW w:type="dxa" w:w="3024"/>
          </w:tcPr>
          <w:p>
            <w:r/>
            <w:r>
              <w:rPr>
                <w:sz w:val="19"/>
              </w:rPr>
              <w:t>visibility_component</w:t>
            </w:r>
          </w:p>
        </w:tc>
        <w:tc>
          <w:tcPr>
            <w:tcW w:type="dxa" w:w="6336"/>
          </w:tcPr>
          <w:p>
            <w:r/>
            <w:r>
              <w:rPr>
                <w:sz w:val="19"/>
              </w:rPr>
              <w:t>la note visibility_score brute</w:t>
            </w:r>
          </w:p>
        </w:tc>
      </w:tr>
      <w:tr>
        <w:tc>
          <w:tcPr>
            <w:tcW w:type="dxa" w:w="3024"/>
          </w:tcPr>
          <w:p>
            <w:r/>
            <w:r>
              <w:rPr>
                <w:sz w:val="19"/>
              </w:rPr>
              <w:t>target_match_score</w:t>
            </w:r>
          </w:p>
        </w:tc>
        <w:tc>
          <w:tcPr>
            <w:tcW w:type="dxa" w:w="6336"/>
          </w:tcPr>
          <w:p>
            <w:r/>
            <w:r>
              <w:rPr>
                <w:sz w:val="19"/>
              </w:rPr>
              <w:t>selon la cible : CSP+ → audience_csp_plus ; jeunes → audience_young_active ; familles → 0,45×CSP+ + 0,55×jeunes ; sinon moyenne des deux</w:t>
            </w:r>
          </w:p>
        </w:tc>
      </w:tr>
      <w:tr>
        <w:tc>
          <w:tcPr>
            <w:tcW w:type="dxa" w:w="3024"/>
          </w:tcPr>
          <w:p>
            <w:r/>
            <w:r>
              <w:rPr>
                <w:sz w:val="19"/>
              </w:rPr>
              <w:t>poi_score</w:t>
            </w:r>
          </w:p>
        </w:tc>
        <w:tc>
          <w:tcPr>
            <w:tcW w:type="dxa" w:w="6336"/>
          </w:tcPr>
          <w:p>
            <w:r/>
            <w:r>
              <w:rPr>
                <w:sz w:val="19"/>
              </w:rPr>
              <w:t>part de 50 ; +45 si le POI colle au brief (sinon −35) ; bonus secteur/objectif ; borné 0–100</w:t>
            </w:r>
          </w:p>
        </w:tc>
      </w:tr>
      <w:tr>
        <w:tc>
          <w:tcPr>
            <w:tcW w:type="dxa" w:w="3024"/>
          </w:tcPr>
          <w:p>
            <w:r/>
            <w:r>
              <w:rPr>
                <w:sz w:val="19"/>
              </w:rPr>
              <w:t>proximity_score</w:t>
            </w:r>
          </w:p>
        </w:tc>
        <w:tc>
          <w:tcPr>
            <w:tcW w:type="dxa" w:w="6336"/>
          </w:tcPr>
          <w:p>
            <w:r/>
            <w:r>
              <w:rPr>
                <w:sz w:val="19"/>
              </w:rPr>
              <w:t>(1 − distance_m / rayon_appliqué) borné [0,1] × 100</w:t>
            </w:r>
          </w:p>
        </w:tc>
      </w:tr>
    </w:tbl>
    <w:p>
      <w:pPr>
        <w:spacing w:after="80"/>
      </w:pPr>
    </w:p>
    <w:p>
      <w:r>
        <w:rPr>
          <w:b w:val="0"/>
          <w:i w:val="0"/>
        </w:rPr>
        <w:t>Détail du poi_score : on part de 50, puis +45 si le POI demandé correspond (sinon −35). Bonus secteur : luxe/beauté en quartier « affaires/premium » +30 ; food/retail en centre commercial +25 ; sport près d'un stade/université +20. Bonus objectif : « gare » sur un panneau gare +35 ; « couverture » +10 ; « premium » en quartier premium +25. Le tout est ramené entre 0 et 100.</w:t>
      </w:r>
    </w:p>
    <w:p>
      <w:pPr>
        <w:pStyle w:val="Heading3"/>
      </w:pPr>
      <w:r>
        <w:t>c) Le calcul de proximité (brief avec enseigne)</w:t>
      </w:r>
    </w:p>
    <w:p>
      <w:r>
        <w:rPr>
          <w:b w:val="0"/>
          <w:i w:val="0"/>
        </w:rPr>
        <w:t>Lorsque le client cible une enseigne, on calcule la matrice complète des distances entre chaque panneau et chaque magasin, puis on garde pour chaque panneau la distance au magasin le plus proche, ainsi que son nom et son adresse.</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dist = haversine_matrix_m(panneaux, magasins)   # matrice n×m (mètres)</w:t>
        <w:br/>
        <w:t>distance_m       = dist.min(axis=1)             # magasin le plus proche</w:t>
        <w:br/>
        <w:t>nearest_store    = magasin correspondant à l'argmin</w:t>
      </w:r>
    </w:p>
    <w:p>
      <w:r>
        <w:rPr>
          <w:b w:val="0"/>
          <w:i w:val="0"/>
        </w:rPr>
        <w:t>Élargissement automatique du rayon : on part du rayon demandé (ou 500 m par défaut) et on l'agrandit progressivement — 500 → 800 → 1200 → 2000 → 3500 m — jusqu'à réunir assez de faces. Si le client a fixé un rayon explicite, il faut au moins 3 faces ; sinon on vise 6 à 15 faces. C'est ce qui affiche « Rayon auto » dans l'interface.</w:t>
      </w:r>
    </w:p>
    <w:p>
      <w:r>
        <w:rPr>
          <w:b w:val="0"/>
          <w:i w:val="0"/>
        </w:rPr>
        <w:t>Traduction distance → note : un panneau collé au magasin (0 m) obtient 100 ; un panneau au bord du rayon obtient 0 ; linéaire entre les deux.</w:t>
      </w:r>
    </w:p>
    <w:p>
      <w:pPr>
        <w:pStyle w:val="Heading3"/>
      </w:pPr>
      <w:r>
        <w:t>d) Le score final : smart_score (moyenne pondérée)</w:t>
      </w:r>
    </w:p>
    <w:p>
      <w:r>
        <w:rPr>
          <w:b w:val="0"/>
          <w:i w:val="0"/>
        </w:rPr>
        <w:t>Deux formules selon le type de brief. Les poids somment à 1, donc le score reste sur 0–100.</w:t>
      </w:r>
    </w:p>
    <w:p>
      <w:r>
        <w:rPr>
          <w:b/>
          <w:i w:val="0"/>
        </w:rPr>
        <w:t>Brief de PROXIMITÉ (une enseigne est demandée) — la distance et l'audience priment :</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smart_score = 0.25 × availability</w:t>
        <w:br/>
        <w:t xml:space="preserve">            + 0.35 × audience</w:t>
        <w:br/>
        <w:t xml:space="preserve">            + 0.25 × proximity</w:t>
        <w:br/>
        <w:t xml:space="preserve">            + 0.10 × target_match</w:t>
        <w:br/>
        <w:t xml:space="preserve">            + 0.05 × visibility</w:t>
      </w:r>
    </w:p>
    <w:p>
      <w:r>
        <w:rPr>
          <w:b/>
          <w:i w:val="0"/>
        </w:rPr>
        <w:t>Brief CLASSIQUE (sans enseigne) :</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smart_score = 0.30 × availability</w:t>
        <w:br/>
        <w:t xml:space="preserve">            + 0.20 × audience</w:t>
        <w:br/>
        <w:t xml:space="preserve">            + 0.20 × target_match</w:t>
        <w:br/>
        <w:t xml:space="preserve">            + 0.15 × poi_score</w:t>
        <w:br/>
        <w:t xml:space="preserve">            + 0.10 × visibility</w:t>
        <w:br/>
        <w:t xml:space="preserve">            + 0.05 × constraint</w:t>
      </w:r>
    </w:p>
    <w:p>
      <w:r>
        <w:rPr>
          <w:b w:val="0"/>
          <w:i w:val="0"/>
        </w:rPr>
        <w:t>Ce score est INTERNE : il sert uniquement à classer et sélectionner les panneaux. Il n'est jamais montré au client (choix explicite : un « score » ne veut rien dire pour un annonceur).</w:t>
      </w:r>
    </w:p>
    <w:p>
      <w:pPr>
        <w:pStyle w:val="Heading3"/>
      </w:pPr>
      <w:r>
        <w:t>e) La sélection diversifiée : _diversified_pick()</w:t>
      </w:r>
    </w:p>
    <w:p>
      <w:r>
        <w:rPr>
          <w:b w:val="0"/>
          <w:i w:val="0"/>
        </w:rPr>
        <w:t>On ne prend pas simplement les meilleurs scores : on force la variété pour éviter d'avoir 12 panneaux dans la même rue. En parcourant les candidats du meilleur au moins bon, un panneau est écarté si son quartier ou son format est déjà pris (et son POI, sauf brief POI verrouillé), avec un plafond par ville. S'il manque des faces, on complète avec un système de pénalités :</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pénalité = 0</w:t>
        <w:br/>
        <w:t xml:space="preserve">  + 8  si quartier déjà utilisé</w:t>
        <w:br/>
        <w:t xml:space="preserve">  + 6  si POI déjà utilisé (hors brief POI)</w:t>
        <w:br/>
        <w:t xml:space="preserve">  + 4  si format déjà utilisé</w:t>
        <w:br/>
        <w:t xml:space="preserve">  + 12 si plafond ville atteint</w:t>
        <w:br/>
        <w:t>div_score = smart_score − pénalité   → on trie là-dessus</w:t>
      </w:r>
    </w:p>
    <w:p>
      <w:r>
        <w:rPr>
          <w:b w:val="0"/>
          <w:i w:val="0"/>
        </w:rPr>
        <w:t>Le processus est entièrement déterministe (aucun tirage aléatoire). Variante « quotas par ville » : « 5 par ville » ou « 8 pour Lyon et 2 pour Paris » sélectionne exactement N faces diversifiées par ville.</w:t>
      </w:r>
    </w:p>
    <w:p>
      <w:pPr>
        <w:pStyle w:val="Heading3"/>
      </w:pPr>
      <w:r>
        <w:t>f) Les KPIs affichés : passages/jour, impressions, budget</w:t>
      </w:r>
    </w:p>
    <w:p>
      <w:r>
        <w:rPr>
          <w:b w:val="0"/>
          <w:i w:val="0"/>
        </w:rPr>
        <w:t>Après la sélection, le moteur calcule les indicateurs présentés dans l'entête. C'est ici qu'intervient la division par 7 (l'audience du CSV est hebdomadaire).</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265AA0"/>
          </w:tcPr>
          <w:p>
            <w:r/>
            <w:r>
              <w:rPr>
                <w:b/>
                <w:color w:val="FFFFFF"/>
                <w:sz w:val="20"/>
              </w:rPr>
              <w:t>Indicateur</w:t>
            </w:r>
          </w:p>
        </w:tc>
        <w:tc>
          <w:tcPr>
            <w:tcW w:type="dxa" w:w="5616"/>
            <w:shd w:val="clear" w:fill="265AA0"/>
          </w:tcPr>
          <w:p>
            <w:r/>
            <w:r>
              <w:rPr>
                <w:b/>
                <w:color w:val="FFFFFF"/>
                <w:sz w:val="20"/>
              </w:rPr>
              <w:t>Formule</w:t>
            </w:r>
          </w:p>
        </w:tc>
      </w:tr>
      <w:tr>
        <w:tc>
          <w:tcPr>
            <w:tcW w:type="dxa" w:w="3744"/>
          </w:tcPr>
          <w:p>
            <w:r/>
            <w:r>
              <w:rPr>
                <w:sz w:val="19"/>
              </w:rPr>
              <w:t>Passages / jour (par face)</w:t>
            </w:r>
          </w:p>
        </w:tc>
        <w:tc>
          <w:tcPr>
            <w:tcW w:type="dxa" w:w="5616"/>
          </w:tcPr>
          <w:p>
            <w:r/>
            <w:r>
              <w:rPr>
                <w:sz w:val="19"/>
              </w:rPr>
              <w:t>audience_hebdomadaire ÷ 7</w:t>
            </w:r>
          </w:p>
        </w:tc>
      </w:tr>
      <w:tr>
        <w:tc>
          <w:tcPr>
            <w:tcW w:type="dxa" w:w="3744"/>
          </w:tcPr>
          <w:p>
            <w:r/>
            <w:r>
              <w:rPr>
                <w:sz w:val="19"/>
              </w:rPr>
              <w:t>Impressions (par face)</w:t>
            </w:r>
          </w:p>
        </w:tc>
        <w:tc>
          <w:tcPr>
            <w:tcW w:type="dxa" w:w="5616"/>
          </w:tcPr>
          <w:p>
            <w:r/>
            <w:r>
              <w:rPr>
                <w:sz w:val="19"/>
              </w:rPr>
              <w:t>passages/jour × nombre de jours de campagne</w:t>
            </w:r>
          </w:p>
        </w:tc>
      </w:tr>
      <w:tr>
        <w:tc>
          <w:tcPr>
            <w:tcW w:type="dxa" w:w="3744"/>
          </w:tcPr>
          <w:p>
            <w:r/>
            <w:r>
              <w:rPr>
                <w:sz w:val="19"/>
              </w:rPr>
              <w:t>Impressions totales</w:t>
            </w:r>
          </w:p>
        </w:tc>
        <w:tc>
          <w:tcPr>
            <w:tcW w:type="dxa" w:w="5616"/>
          </w:tcPr>
          <w:p>
            <w:r/>
            <w:r>
              <w:rPr>
                <w:sz w:val="19"/>
              </w:rPr>
              <w:t>somme des impressions de toutes les faces</w:t>
            </w:r>
          </w:p>
        </w:tc>
      </w:tr>
      <w:tr>
        <w:tc>
          <w:tcPr>
            <w:tcW w:type="dxa" w:w="3744"/>
          </w:tcPr>
          <w:p>
            <w:r/>
            <w:r>
              <w:rPr>
                <w:sz w:val="19"/>
              </w:rPr>
              <w:t>Audience (reach)</w:t>
            </w:r>
          </w:p>
        </w:tc>
        <w:tc>
          <w:tcPr>
            <w:tcW w:type="dxa" w:w="5616"/>
          </w:tcPr>
          <w:p>
            <w:r/>
            <w:r>
              <w:rPr>
                <w:sz w:val="19"/>
              </w:rPr>
              <w:t>somme des passages/jour de toutes les faces</w:t>
            </w:r>
          </w:p>
        </w:tc>
      </w:tr>
      <w:tr>
        <w:tc>
          <w:tcPr>
            <w:tcW w:type="dxa" w:w="3744"/>
          </w:tcPr>
          <w:p>
            <w:r/>
            <w:r>
              <w:rPr>
                <w:sz w:val="19"/>
              </w:rPr>
              <w:t>Budget estimé</w:t>
            </w:r>
          </w:p>
        </w:tc>
        <w:tc>
          <w:tcPr>
            <w:tcW w:type="dxa" w:w="5616"/>
          </w:tcPr>
          <w:p>
            <w:r/>
            <w:r>
              <w:rPr>
                <w:sz w:val="19"/>
              </w:rPr>
              <w:t>Σ (price_per_day × nombre de jours) sur chaque face</w:t>
            </w:r>
          </w:p>
        </w:tc>
      </w:tr>
    </w:tbl>
    <w:p>
      <w:pPr>
        <w:spacing w:after="80"/>
      </w:pPr>
    </w:p>
    <w:p>
      <w:r>
        <w:rPr>
          <w:b w:val="0"/>
          <w:i w:val="0"/>
        </w:rPr>
        <w:t>Exemple concret (campagne Nicolas, 12 faces, 7 jours) : 2,7 M d'impressions = somme (passages/jour × 7) des 12 faces ; budget 2 107 € = somme (prix/jour × 7). Le texte de synthèse est ensuite rédigé avec ces valeurs (distance moyenne, impressions, budget), sans jamais mentionner de « score ».</w:t>
      </w:r>
    </w:p>
    <w:p>
      <w:pPr>
        <w:pStyle w:val="Heading2"/>
      </w:pPr>
      <w:r>
        <w:t>5.5  services/geo.py — géolocalisation</w:t>
      </w:r>
    </w:p>
    <w:p>
      <w:pPr>
        <w:pStyle w:val="ListBullet"/>
      </w:pPr>
      <w:r>
        <w:rPr>
          <w:b/>
        </w:rPr>
        <w:t xml:space="preserve">haversine_m : </w:t>
      </w:r>
      <w:r>
        <w:t>distance en mètres entre deux points GPS (formule du grand cercle, rayon Terre = 6 371 000 m).</w:t>
      </w:r>
    </w:p>
    <w:p>
      <w:pPr>
        <w:pStyle w:val="ListBullet"/>
      </w:pPr>
      <w:r>
        <w:rPr>
          <w:b/>
        </w:rPr>
        <w:t xml:space="preserve">haversine_matrix_m : </w:t>
      </w:r>
      <w:r>
        <w:t>même calcul vectorisé avec numpy (toute la matrice panneaux × magasins d'un seul coup, bien plus rapide).</w:t>
      </w:r>
    </w:p>
    <w:p>
      <w:pPr>
        <w:pStyle w:val="ListBullet"/>
      </w:pPr>
      <w:r>
        <w:rPr>
          <w:b/>
        </w:rPr>
        <w:t xml:space="preserve">nearest_arrondissement : </w:t>
      </w:r>
      <w:r>
        <w:t>associe un point Paris à l'un des 20 arrondissements via le centroïde le plus proche (limite ~2 200 m au-delà de laquelle on considère « hors Paris »).</w:t>
      </w:r>
    </w:p>
    <w:p>
      <w:pPr>
        <w:pStyle w:val="ListBullet"/>
      </w:pPr>
      <w:r>
        <w:rPr>
          <w:b/>
        </w:rPr>
        <w:t xml:space="preserve">normalize_enseigne (alias) : </w:t>
      </w:r>
      <w:r>
        <w:t>« maison nicolas », « caves nicolas » → « Nicolas » ; « carrefour market » → « Carrefour City ».</w:t>
      </w:r>
    </w:p>
    <w:p>
      <w:pPr>
        <w:pStyle w:val="ListBullet"/>
      </w:pPr>
      <w:r>
        <w:rPr>
          <w:b/>
        </w:rPr>
        <w:t xml:space="preserve">parse_arrondissement / parse_enseigne / parse_distance_m : </w:t>
      </w:r>
      <w:r>
        <w:t>expressions régulières qui lisent le langage naturel (« 15ème » → 15 ; « rayon de 1 km » → 1000 m).</w:t>
      </w:r>
    </w:p>
    <w:p>
      <w:pPr>
        <w:pStyle w:val="Heading2"/>
      </w:pPr>
      <w:r>
        <w:t>5.6  tools/brief_tool.py — extraction du besoin (LLM)</w:t>
      </w:r>
    </w:p>
    <w:p>
      <w:r>
        <w:rPr>
          <w:b w:val="0"/>
          <w:i w:val="0"/>
        </w:rPr>
        <w:t>Définit le modèle Brief (Pydantic) listant tout ce qu'on cherche à comprendre : ville(s), cible, budget, enseigne, arrondissement, rayon, nombre de panneaux par ville, durée… brief_extraction_tool envoie au LLM un prompt strict qui exige un JSON conforme au schéma.</w:t>
      </w:r>
    </w:p>
    <w:p>
      <w:r>
        <w:rPr>
          <w:b w:val="0"/>
          <w:i w:val="0"/>
        </w:rPr>
        <w:t>En mode conversation, une instruction supplémentaire précise que la DERNIÈRE demande prime en cas de contradiction (« Paris » puis « plutôt Lyon » → Lyon), les autres informations restant valables. C'est ce qui permet le dialogue cumulatif.</w:t>
      </w:r>
    </w:p>
    <w:p>
      <w:pPr>
        <w:pStyle w:val="Heading2"/>
      </w:pPr>
      <w:r>
        <w:t>5.7  tools/brief_utils.py — normalisation et heuristiques</w:t>
      </w:r>
    </w:p>
    <w:p>
      <w:r>
        <w:rPr>
          <w:b w:val="0"/>
          <w:i w:val="0"/>
        </w:rPr>
        <w:t>Complète le brief du LLM par des règles de secours (regex), pour ne rien rater si le LLM oublie un détail.</w:t>
      </w:r>
    </w:p>
    <w:p>
      <w:pPr>
        <w:pStyle w:val="ListBullet"/>
      </w:pPr>
      <w:r>
        <w:rPr>
          <w:b/>
        </w:rPr>
        <w:t xml:space="preserve">compute_top_k : </w:t>
      </w:r>
      <w:r>
        <w:t>décide le nombre de panneaux. Règle principale : environ 1 panneau par tranche de 25 000 € de budget, borné entre 6 et 15. Plus de villes ou objectif « couverture » = davantage de panneaux.</w:t>
      </w:r>
    </w:p>
    <w:p>
      <w:pPr>
        <w:pStyle w:val="ListBullet"/>
      </w:pPr>
      <w:r>
        <w:rPr>
          <w:b/>
        </w:rPr>
        <w:t xml:space="preserve">parse_panel_counts : </w:t>
      </w:r>
      <w:r>
        <w:t>détecte « 5 par ville » (per_city=5) ou « 8 pour Lyon et 2 pour Paris » (quotas par ville).</w:t>
      </w:r>
    </w:p>
    <w:p>
      <w:pPr>
        <w:pStyle w:val="ListBullet"/>
      </w:pPr>
      <w:r>
        <w:rPr>
          <w:b/>
        </w:rPr>
        <w:t xml:space="preserve">brief_to_scoring_criteria : </w:t>
      </w:r>
      <w:r>
        <w:t>assemble tout (villes, budget, enseigne, arrondissement, rayon, durée : « 3 semaines » → 21 jours). Règle d'or : le dernier message prime sur les valeurs héritées.</w:t>
      </w:r>
    </w:p>
    <w:p>
      <w:pPr>
        <w:pStyle w:val="Heading2"/>
      </w:pPr>
      <w:r>
        <w:t>5.8  services/chat_service.py — logique de conversation</w:t>
      </w:r>
    </w:p>
    <w:p>
      <w:r>
        <w:rPr>
          <w:b w:val="0"/>
          <w:i w:val="0"/>
        </w:rPr>
        <w:t>Point d'entrée handle_chat : si une clé LLM existe → run_agent (chemin complet) ; sinon → mode dégradé (heuristiques + gabarits). L'application fonctionne dans les deux cas.</w:t>
      </w:r>
    </w:p>
    <w:p>
      <w:pPr>
        <w:pStyle w:val="ListBullet"/>
      </w:pPr>
      <w:r>
        <w:rPr>
          <w:b/>
        </w:rPr>
        <w:t xml:space="preserve">criteria_changed : </w:t>
      </w:r>
      <w:r>
        <w:t>compare les critères d'un tour à l'autre pour décider s'il faut recalculer le plan (économie d'appels LLM si rien ne change).</w:t>
      </w:r>
    </w:p>
    <w:p>
      <w:pPr>
        <w:pStyle w:val="ListBullet"/>
      </w:pPr>
      <w:r>
        <w:rPr>
          <w:b/>
        </w:rPr>
        <w:t xml:space="preserve">_plan_stats : </w:t>
      </w:r>
      <w:r>
        <w:t>résume le plan (faces, passages/jour, impressions, budget, distances) pour donner du contexte chiffré au LLM — jamais de « score ».</w:t>
      </w:r>
    </w:p>
    <w:p>
      <w:pPr>
        <w:pStyle w:val="ListBullet"/>
      </w:pPr>
      <w:r>
        <w:rPr>
          <w:b/>
        </w:rPr>
        <w:t xml:space="preserve">generate_llm_reply : </w:t>
      </w:r>
      <w:r>
        <w:t>construit la réponse conversationnelle. Le prompt système impose un ton de vrai copilote, interdit de répéter les réponses précédentes (anti-perroquet), interdit le mot « score », impose le vouvoiement. Des « indices de style » tournants varient l'angle à chaque tour.</w:t>
      </w:r>
    </w:p>
    <w:p>
      <w:pPr>
        <w:pStyle w:val="ListBullet"/>
      </w:pPr>
      <w:r>
        <w:rPr>
          <w:b/>
        </w:rPr>
        <w:t xml:space="preserve">build_assistant_reply : </w:t>
      </w:r>
      <w:r>
        <w:t>version de secours déterministe (sans LLM) qui décrit proprement le plan.</w:t>
      </w:r>
    </w:p>
    <w:p>
      <w:pPr>
        <w:pStyle w:val="Heading2"/>
      </w:pPr>
      <w:r>
        <w:t>5.9  agents/smart_planning_agent.py — l'orchestrateur</w:t>
      </w:r>
    </w:p>
    <w:p>
      <w:r>
        <w:rPr>
          <w:b w:val="0"/>
          <w:i w:val="0"/>
        </w:rPr>
        <w:t>Le chef d'orchestre (basé sur LangGraph). run_agent enchaîne :</w:t>
      </w:r>
    </w:p>
    <w:p>
      <w:pPr>
        <w:pStyle w:val="ListBullet"/>
      </w:pPr>
      <w:r>
        <w:rPr>
          <w:b/>
        </w:rPr>
        <w:t xml:space="preserve">_build_conversation_text : </w:t>
      </w:r>
      <w:r>
        <w:t>recolle tous les messages du client en un transcript numéroté pour un brief cumulé.</w:t>
      </w:r>
    </w:p>
    <w:p>
      <w:pPr>
        <w:pStyle w:val="ListBullet"/>
      </w:pPr>
      <w:r>
        <w:rPr>
          <w:b/>
        </w:rPr>
        <w:t xml:space="preserve">_brief_node : </w:t>
      </w:r>
      <w:r>
        <w:t>extraction du brief (LLM, avec repli heuristique en cas d'échec).</w:t>
      </w:r>
    </w:p>
    <w:p>
      <w:pPr>
        <w:pStyle w:val="ListBullet"/>
      </w:pPr>
      <w:r>
        <w:rPr>
          <w:b/>
        </w:rPr>
        <w:t xml:space="preserve">criteria_changed : </w:t>
      </w:r>
      <w:r>
        <w:t>décide s'il faut recalculer le plan.</w:t>
      </w:r>
    </w:p>
    <w:p>
      <w:pPr>
        <w:pStyle w:val="ListBullet"/>
      </w:pPr>
      <w:r>
        <w:rPr>
          <w:b/>
        </w:rPr>
        <w:t xml:space="preserve">Branche : </w:t>
      </w:r>
      <w:r>
        <w:t>si oui : scoring + RAG puis génération des textes. Si non : on recalcule seulement le scoring déterministe (rapide) pour le contexte, sans rappeler le LLM des textes.</w:t>
      </w:r>
    </w:p>
    <w:p>
      <w:pPr>
        <w:pStyle w:val="ListBullet"/>
      </w:pPr>
      <w:r>
        <w:rPr>
          <w:b/>
        </w:rPr>
        <w:t xml:space="preserve">generate_llm_reply : </w:t>
      </w:r>
      <w:r>
        <w:t>génère la réponse au client.</w:t>
      </w:r>
    </w:p>
    <w:p>
      <w:r>
        <w:rPr>
          <w:b w:val="0"/>
          <w:i w:val="0"/>
        </w:rPr>
        <w:t>Construit aussi un bloc meta de traçabilité : modèle utilisé, nombre d'appels Groq, durée, part de textes générés par le LLM vs par gabarit. C'est ce qu'affiche le bouton « info ».</w:t>
      </w:r>
    </w:p>
    <w:p>
      <w:pPr>
        <w:pStyle w:val="Heading2"/>
      </w:pPr>
      <w:r>
        <w:t>5.10  tools/panel_copy_tool.py — les justifications par panneau</w:t>
      </w:r>
    </w:p>
    <w:p>
      <w:r>
        <w:rPr>
          <w:b w:val="0"/>
          <w:i w:val="0"/>
        </w:rPr>
        <w:t>Le fichier le plus riche. Objectif : une justification unique, crédible et non répétitive pour chaque face, sans jargon interne ni format technique.</w:t>
      </w:r>
    </w:p>
    <w:p>
      <w:pPr>
        <w:pStyle w:val="ListBullet"/>
      </w:pPr>
      <w:r>
        <w:rPr>
          <w:b/>
        </w:rPr>
        <w:t xml:space="preserve">_panel_facts : </w:t>
      </w:r>
      <w:r>
        <w:t>construit une fiche par panneau (adresse, POI, audience, distance au magasin) et impose un angle et une structure DIFFÉRENTS à chaque panneau.</w:t>
      </w:r>
    </w:p>
    <w:p>
      <w:pPr>
        <w:pStyle w:val="ListBullet"/>
      </w:pPr>
      <w:r>
        <w:rPr>
          <w:b/>
        </w:rPr>
        <w:t xml:space="preserve">_build_prompt : </w:t>
      </w:r>
      <w:r>
        <w:t>interdit explicitement au LLM de citer le format (2m2, DOOH…), une autre ville, ou le mot « score ».</w:t>
      </w:r>
    </w:p>
    <w:p>
      <w:pPr>
        <w:pStyle w:val="ListBullet"/>
      </w:pPr>
      <w:r>
        <w:rPr>
          <w:b/>
        </w:rPr>
        <w:t xml:space="preserve">enrich_recommendation_explanations : </w:t>
      </w:r>
      <w:r>
        <w:t>boucle principale : traite les panneaux par lots (3–6) avec bridage anti rate-limit et une enveloppe de temps de 75 s. Chaque texte passe une batterie de validations (assez riche, pas trop similaire aux autres, pas de « score », bonne ville, centré sur ce panneau).</w:t>
      </w:r>
    </w:p>
    <w:p>
      <w:pPr>
        <w:pStyle w:val="ListBullet"/>
      </w:pPr>
      <w:r>
        <w:rPr>
          <w:b/>
        </w:rPr>
        <w:t xml:space="preserve">_fallback_explanation : </w:t>
      </w:r>
      <w:r>
        <w:t>gabarits de secours (avec variantes pour la proximité magasin) qui insèrent adresse, distance, passages/jour et impressions. Ce sont ces textes qui s'affichent si Groq est saturé.</w:t>
      </w:r>
    </w:p>
    <w:p>
      <w:pPr>
        <w:pStyle w:val="ListBullet"/>
      </w:pPr>
      <w:r>
        <w:rPr>
          <w:b/>
        </w:rPr>
        <w:t xml:space="preserve">_too_similar : </w:t>
      </w:r>
      <w:r>
        <w:t>mesure de similarité (indice de Jaccard sur les mots) ; au-delà de 0,38 de recouvrement, le texte est considéré comme trop proche d'un autre et rejeté.</w:t>
      </w:r>
    </w:p>
    <w:p>
      <w:r>
        <w:rPr>
          <w:b w:val="0"/>
          <w:i w:val="0"/>
        </w:rPr>
        <w:t>Résultat : même si l'IA est indisponible, TOUS les panneaux ont un texte, et l'application sait indiquer combien proviennent du LLM et combien des règles.</w:t>
      </w:r>
    </w:p>
    <w:p>
      <w:pPr>
        <w:pStyle w:val="Heading2"/>
      </w:pPr>
      <w:r>
        <w:t>5.11  services/export_service.py — export Excel</w:t>
      </w:r>
    </w:p>
    <w:p>
      <w:pPr>
        <w:pStyle w:val="ListBullet"/>
      </w:pPr>
      <w:r>
        <w:rPr>
          <w:b/>
        </w:rPr>
        <w:t xml:space="preserve">build_plan_excel : </w:t>
      </w:r>
      <w:r>
        <w:t>un fichier avec uniquement les faces retenues (celles de la carte) + leur justification IA, plus un onglet « Synthèse ».</w:t>
      </w:r>
    </w:p>
    <w:p>
      <w:pPr>
        <w:pStyle w:val="ListBullet"/>
      </w:pPr>
      <w:r>
        <w:rPr>
          <w:b/>
        </w:rPr>
        <w:t xml:space="preserve">build_eligible_parc_excel : </w:t>
      </w:r>
      <w:r>
        <w:t>tout le parc éligible, avec une colonne « retenu » Oui/Non ; la justification n'apparaît que sur les faces retenues.</w:t>
      </w:r>
    </w:p>
    <w:p>
      <w:r>
        <w:rPr>
          <w:b w:val="0"/>
          <w:i w:val="0"/>
        </w:rPr>
        <w:t>Les deux réutilisent exactement le même moteur de calcul que l'écran (_compute_scored_frames), ce qui garantit une cohérence parfaite entre l'interface et le fichier Excel.</w:t>
      </w:r>
    </w:p>
    <w:p>
      <w:pPr>
        <w:pStyle w:val="Heading2"/>
      </w:pPr>
      <w:r>
        <w:t>5.12  services/analytics.py — les graphiques</w:t>
      </w:r>
    </w:p>
    <w:p>
      <w:r>
        <w:rPr>
          <w:b w:val="0"/>
          <w:i w:val="0"/>
        </w:rPr>
        <w:t>Calcule les distributions affichées dans les graphiques : histogramme des scores par tranche, répartition par POI / ville / format, et le « pipeline » (parc filtré → éligible → plan retenu). Ce sont des agrégations pandas (comptages, moyennes), sans nouvelle logique métier.</w:t>
      </w:r>
    </w:p>
    <w:p>
      <w:pPr>
        <w:pStyle w:val="Heading2"/>
      </w:pPr>
      <w:r>
        <w:t>5.13  llm/ — la connexion à l'IA</w:t>
      </w:r>
    </w:p>
    <w:p>
      <w:pPr>
        <w:pStyle w:val="ListBullet"/>
      </w:pPr>
      <w:r>
        <w:rPr>
          <w:b/>
        </w:rPr>
        <w:t xml:space="preserve">factory.py : </w:t>
      </w:r>
      <w:r>
        <w:t>crée le client LLM (Groq via API compatible OpenAI, ou OpenAI). Règle la « température » selon l'usage : 0,0 pour l'extraction (factuel), ~0,55 pour les textes.</w:t>
      </w:r>
    </w:p>
    <w:p>
      <w:pPr>
        <w:pStyle w:val="ListBullet"/>
      </w:pPr>
      <w:r>
        <w:rPr>
          <w:b/>
        </w:rPr>
        <w:t xml:space="preserve">router.py : </w:t>
      </w:r>
      <w:r>
        <w:t>tout le pipeline pointe vers le modèle rapide 8B pour rester dans le quota gratuit ; teste aussi la disponibilité d'un modèle.</w:t>
      </w:r>
    </w:p>
    <w:p>
      <w:pPr>
        <w:pStyle w:val="ListBullet"/>
      </w:pPr>
      <w:r>
        <w:rPr>
          <w:b/>
        </w:rPr>
        <w:t xml:space="preserve">invoke.py : </w:t>
      </w:r>
      <w:r>
        <w:t>appelle le LLM avec « backoff » (attente croissante) et détecte les erreurs 429 / rate limit / quota journalier, pour éviter les blocages.</w:t>
      </w:r>
    </w:p>
    <w:p>
      <w:pPr>
        <w:pStyle w:val="ListBullet"/>
      </w:pPr>
      <w:r>
        <w:rPr>
          <w:b/>
        </w:rPr>
        <w:t xml:space="preserve">throttle.py / usage.py : </w:t>
      </w:r>
      <w:r>
        <w:t>espacent les appels et comptent l'usage (nombre d'appels, rate-limits) pour le diagnostic.</w:t>
      </w:r>
    </w:p>
    <w:p>
      <w:pPr>
        <w:pStyle w:val="Heading2"/>
      </w:pPr>
      <w:r>
        <w:t>5.14  rag/ + tools/rag_tool.py — les règles métier (RAG)</w:t>
      </w:r>
    </w:p>
    <w:p>
      <w:r>
        <w:rPr>
          <w:b w:val="0"/>
          <w:i w:val="0"/>
        </w:rPr>
        <w:t>Le RAG (Retrieval Augmented Generation) permet de retrouver les règles métier JCDecaux stockées dans des documents (planning_rules.md, regles_metier.md, premium_campaigns.md, glossary.md, formats_dooh.md).</w:t>
      </w:r>
    </w:p>
    <w:p>
      <w:pPr>
        <w:pStyle w:val="ListBullet"/>
      </w:pPr>
      <w:r>
        <w:rPr>
          <w:b/>
        </w:rPr>
        <w:t xml:space="preserve">ingest.py : </w:t>
      </w:r>
      <w:r>
        <w:t>découpe ces documents en morceaux et les indexe.</w:t>
      </w:r>
    </w:p>
    <w:p>
      <w:pPr>
        <w:pStyle w:val="ListBullet"/>
      </w:pPr>
      <w:r>
        <w:rPr>
          <w:b/>
        </w:rPr>
        <w:t xml:space="preserve">chroma_store.py : </w:t>
      </w:r>
      <w:r>
        <w:t>la base vectorielle ChromaDB + les embeddings (FastEmbed local et gratuit par défaut, ou OpenAI si clé payante).</w:t>
      </w:r>
    </w:p>
    <w:p>
      <w:pPr>
        <w:pStyle w:val="ListBullet"/>
      </w:pPr>
      <w:r>
        <w:rPr>
          <w:b/>
        </w:rPr>
        <w:t xml:space="preserve">rag_tool.py : </w:t>
      </w:r>
      <w:r>
        <w:t>recherche les passages les plus proches sémantiquement d'une requête, et peut en produire un court résumé. Ce contexte guide la rédaction des textes pour coller aux règles JCDecaux.</w:t>
      </w:r>
    </w:p>
    <w:p>
      <w:pPr>
        <w:pStyle w:val="Heading1"/>
      </w:pPr>
      <w:r>
        <w:t>6. Récapitulatif des formules essentielles</w:t>
      </w:r>
    </w:p>
    <w:p>
      <w:pPr>
        <w:spacing w:before="80" w:after="160"/>
        <w:ind w:left="120"/>
        <w:shd w:val="clear" w:color="auto" w:fill="F2F4F8"/>
        <w:pBdr>
          <w:top w:val="single" w:sz="6" w:space="6" w:color="D8DEE8"/>
          <w:left w:val="single" w:sz="6" w:space="6" w:color="D8DEE8"/>
          <w:bottom w:val="single" w:sz="6" w:space="6" w:color="D8DEE8"/>
          <w:right w:val="single" w:sz="6" w:space="6" w:color="D8DEE8"/>
        </w:pBdr>
      </w:pPr>
      <w:r>
        <w:rPr>
          <w:rFonts w:ascii="Consolas" w:hAnsi="Consolas" w:cs="Consolas"/>
          <w:color w:val="1B222E"/>
          <w:sz w:val="18"/>
        </w:rPr>
        <w:t>distance_m         = haversine(panneau, magasin le plus proche)</w:t>
        <w:br/>
        <w:t>proximity_score    = clip(1 − distance_m / rayon_appliqué, 0, 1) × 100</w:t>
        <w:br/>
        <w:t>audience_score     = min-max(daily_traffic) sur le parc éligible   → 0..100</w:t>
        <w:br/>
        <w:t>target_match       = audience_csp_plus | audience_young_active | mélange</w:t>
        <w:br/>
        <w:br/>
        <w:t>smart_score (proximité) = 0.25·dispo + 0.35·audience + 0.25·proximité</w:t>
        <w:br/>
        <w:t xml:space="preserve">                        + 0.10·cible + 0.05·visibilité</w:t>
        <w:br/>
        <w:br/>
        <w:t>passages/jour      = audience_hebdomadaire ÷ 7</w:t>
        <w:br/>
        <w:t>impressions (face) = passages/jour × durée_jours</w:t>
        <w:br/>
        <w:t>impressions total  = Σ impressions</w:t>
        <w:br/>
        <w:t>budget             = Σ (prix/jour × durée_jours)</w:t>
        <w:br/>
        <w:t>top_k (nb faces)   ≈ budget ÷ 25 000     (borné 6..15)</w:t>
      </w:r>
    </w:p>
    <w:p>
      <w:pPr>
        <w:pStyle w:val="Heading1"/>
      </w:pPr>
      <w:r>
        <w:t>7. Frontend (interface)</w:t>
      </w:r>
    </w:p>
    <w:p>
      <w:r>
        <w:rPr>
          <w:b w:val="0"/>
          <w:i w:val="0"/>
        </w:rPr>
        <w:t>L'interface est une application Next.js/React en TypeScript, avec Tailwind CSS pour le style et Leaflet pour la carte.</w:t>
      </w:r>
    </w:p>
    <w:p>
      <w:pPr>
        <w:pStyle w:val="ListBullet"/>
      </w:pPr>
      <w:r>
        <w:rPr>
          <w:b/>
        </w:rPr>
        <w:t xml:space="preserve">app/page.tsx : </w:t>
      </w:r>
      <w:r>
        <w:t>la page principale. Gère l'état de la conversation (messages), le plan courant, l'envoi des messages, les filtres (arrondissement, enseigne, rayon, segment, nombre de faces, durée), l'export Excel et la pré-réservation. Affiche l'entête, les cartes KPI, la carte et les cartes de recommandation.</w:t>
      </w:r>
    </w:p>
    <w:p>
      <w:pPr>
        <w:pStyle w:val="ListBullet"/>
      </w:pPr>
      <w:r>
        <w:rPr>
          <w:b/>
        </w:rPr>
        <w:t xml:space="preserve">components/MapView.tsx : </w:t>
      </w:r>
      <w:r>
        <w:t>la carte interactive. Affiche les faces (ronds bleus) et les magasins (carrés rouges), ajuste automatiquement le zoom, et montre au clic l'adresse, la distance et l'audience — jamais de « score ».</w:t>
      </w:r>
    </w:p>
    <w:p>
      <w:pPr>
        <w:pStyle w:val="ListBullet"/>
      </w:pPr>
      <w:r>
        <w:rPr>
          <w:b/>
        </w:rPr>
        <w:t xml:space="preserve">globals.css : </w:t>
      </w:r>
      <w:r>
        <w:t>le thème (couleurs, typographies). La couleur d'accent JCDecaux est pilotée par une seule variable --navy, ce qui permet de changer toute la charte en un point.</w:t>
      </w:r>
    </w:p>
    <w:p>
      <w:r>
        <w:rPr>
          <w:b w:val="0"/>
          <w:i w:val="0"/>
        </w:rPr>
        <w:t>Note sur la couleur : l'accent bleu est actuellement #265aa0 (variante lumineuse choisie pour rester lisible et « bleu » même après le décalage colorimétrique des captures d'écran sur écrans à large gamut / Teams).</w:t>
      </w:r>
    </w:p>
    <w:p>
      <w:pPr>
        <w:pStyle w:val="Heading1"/>
      </w:pPr>
      <w:r>
        <w:t>8. Glossaire</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fill="265AA0"/>
          </w:tcPr>
          <w:p>
            <w:r/>
            <w:r>
              <w:rPr>
                <w:b/>
                <w:color w:val="FFFFFF"/>
                <w:sz w:val="20"/>
              </w:rPr>
              <w:t>Terme</w:t>
            </w:r>
          </w:p>
        </w:tc>
        <w:tc>
          <w:tcPr>
            <w:tcW w:type="dxa" w:w="7056"/>
            <w:shd w:val="clear" w:fill="265AA0"/>
          </w:tcPr>
          <w:p>
            <w:r/>
            <w:r>
              <w:rPr>
                <w:b/>
                <w:color w:val="FFFFFF"/>
                <w:sz w:val="20"/>
              </w:rPr>
              <w:t>Définition</w:t>
            </w:r>
          </w:p>
        </w:tc>
      </w:tr>
      <w:tr>
        <w:tc>
          <w:tcPr>
            <w:tcW w:type="dxa" w:w="2304"/>
          </w:tcPr>
          <w:p>
            <w:r/>
            <w:r>
              <w:rPr>
                <w:sz w:val="19"/>
              </w:rPr>
              <w:t>DOOH</w:t>
            </w:r>
          </w:p>
        </w:tc>
        <w:tc>
          <w:tcPr>
            <w:tcW w:type="dxa" w:w="7056"/>
          </w:tcPr>
          <w:p>
            <w:r/>
            <w:r>
              <w:rPr>
                <w:sz w:val="19"/>
              </w:rPr>
              <w:t>Digital Out Of Home — affichage publicitaire numérique extérieur</w:t>
            </w:r>
          </w:p>
        </w:tc>
      </w:tr>
      <w:tr>
        <w:tc>
          <w:tcPr>
            <w:tcW w:type="dxa" w:w="2304"/>
          </w:tcPr>
          <w:p>
            <w:r/>
            <w:r>
              <w:rPr>
                <w:sz w:val="19"/>
              </w:rPr>
              <w:t>Face / panneau</w:t>
            </w:r>
          </w:p>
        </w:tc>
        <w:tc>
          <w:tcPr>
            <w:tcW w:type="dxa" w:w="7056"/>
          </w:tcPr>
          <w:p>
            <w:r/>
            <w:r>
              <w:rPr>
                <w:sz w:val="19"/>
              </w:rPr>
              <w:t>Un support publicitaire physique</w:t>
            </w:r>
          </w:p>
        </w:tc>
      </w:tr>
      <w:tr>
        <w:tc>
          <w:tcPr>
            <w:tcW w:type="dxa" w:w="2304"/>
          </w:tcPr>
          <w:p>
            <w:r/>
            <w:r>
              <w:rPr>
                <w:sz w:val="19"/>
              </w:rPr>
              <w:t>Brief</w:t>
            </w:r>
          </w:p>
        </w:tc>
        <w:tc>
          <w:tcPr>
            <w:tcW w:type="dxa" w:w="7056"/>
          </w:tcPr>
          <w:p>
            <w:r/>
            <w:r>
              <w:rPr>
                <w:sz w:val="19"/>
              </w:rPr>
              <w:t>L'ensemble des critères de la campagne extraits du besoin client</w:t>
            </w:r>
          </w:p>
        </w:tc>
      </w:tr>
      <w:tr>
        <w:tc>
          <w:tcPr>
            <w:tcW w:type="dxa" w:w="2304"/>
          </w:tcPr>
          <w:p>
            <w:r/>
            <w:r>
              <w:rPr>
                <w:sz w:val="19"/>
              </w:rPr>
              <w:t>POI</w:t>
            </w:r>
          </w:p>
        </w:tc>
        <w:tc>
          <w:tcPr>
            <w:tcW w:type="dxa" w:w="7056"/>
          </w:tcPr>
          <w:p>
            <w:r/>
            <w:r>
              <w:rPr>
                <w:sz w:val="19"/>
              </w:rPr>
              <w:t>Point Of Interest — lieu remarquable proche (gare, centre commercial…)</w:t>
            </w:r>
          </w:p>
        </w:tc>
      </w:tr>
      <w:tr>
        <w:tc>
          <w:tcPr>
            <w:tcW w:type="dxa" w:w="2304"/>
          </w:tcPr>
          <w:p>
            <w:r/>
            <w:r>
              <w:rPr>
                <w:sz w:val="19"/>
              </w:rPr>
              <w:t>Enseigne</w:t>
            </w:r>
          </w:p>
        </w:tc>
        <w:tc>
          <w:tcPr>
            <w:tcW w:type="dxa" w:w="7056"/>
          </w:tcPr>
          <w:p>
            <w:r/>
            <w:r>
              <w:rPr>
                <w:sz w:val="19"/>
              </w:rPr>
              <w:t>Marque de magasins ciblée pour la proximité (Nicolas, Monoprix…)</w:t>
            </w:r>
          </w:p>
        </w:tc>
      </w:tr>
      <w:tr>
        <w:tc>
          <w:tcPr>
            <w:tcW w:type="dxa" w:w="2304"/>
          </w:tcPr>
          <w:p>
            <w:r/>
            <w:r>
              <w:rPr>
                <w:sz w:val="19"/>
              </w:rPr>
              <w:t>Impressions</w:t>
            </w:r>
          </w:p>
        </w:tc>
        <w:tc>
          <w:tcPr>
            <w:tcW w:type="dxa" w:w="7056"/>
          </w:tcPr>
          <w:p>
            <w:r/>
            <w:r>
              <w:rPr>
                <w:sz w:val="19"/>
              </w:rPr>
              <w:t>Nombre de contacts visuels estimés sur la durée de campagne</w:t>
            </w:r>
          </w:p>
        </w:tc>
      </w:tr>
      <w:tr>
        <w:tc>
          <w:tcPr>
            <w:tcW w:type="dxa" w:w="2304"/>
          </w:tcPr>
          <w:p>
            <w:r/>
            <w:r>
              <w:rPr>
                <w:sz w:val="19"/>
              </w:rPr>
              <w:t>Reach</w:t>
            </w:r>
          </w:p>
        </w:tc>
        <w:tc>
          <w:tcPr>
            <w:tcW w:type="dxa" w:w="7056"/>
          </w:tcPr>
          <w:p>
            <w:r/>
            <w:r>
              <w:rPr>
                <w:sz w:val="19"/>
              </w:rPr>
              <w:t>Audience quotidienne cumulée (passages/jour)</w:t>
            </w:r>
          </w:p>
        </w:tc>
      </w:tr>
      <w:tr>
        <w:tc>
          <w:tcPr>
            <w:tcW w:type="dxa" w:w="2304"/>
          </w:tcPr>
          <w:p>
            <w:r/>
            <w:r>
              <w:rPr>
                <w:sz w:val="19"/>
              </w:rPr>
              <w:t>smart_score</w:t>
            </w:r>
          </w:p>
        </w:tc>
        <w:tc>
          <w:tcPr>
            <w:tcW w:type="dxa" w:w="7056"/>
          </w:tcPr>
          <w:p>
            <w:r/>
            <w:r>
              <w:rPr>
                <w:sz w:val="19"/>
              </w:rPr>
              <w:t>Note interne de classement des panneaux (jamais montrée au client)</w:t>
            </w:r>
          </w:p>
        </w:tc>
      </w:tr>
      <w:tr>
        <w:tc>
          <w:tcPr>
            <w:tcW w:type="dxa" w:w="2304"/>
          </w:tcPr>
          <w:p>
            <w:r/>
            <w:r>
              <w:rPr>
                <w:sz w:val="19"/>
              </w:rPr>
              <w:t>top_k</w:t>
            </w:r>
          </w:p>
        </w:tc>
        <w:tc>
          <w:tcPr>
            <w:tcW w:type="dxa" w:w="7056"/>
          </w:tcPr>
          <w:p>
            <w:r/>
            <w:r>
              <w:rPr>
                <w:sz w:val="19"/>
              </w:rPr>
              <w:t>Nombre de panneaux retenus dans le plan</w:t>
            </w:r>
          </w:p>
        </w:tc>
      </w:tr>
      <w:tr>
        <w:tc>
          <w:tcPr>
            <w:tcW w:type="dxa" w:w="2304"/>
          </w:tcPr>
          <w:p>
            <w:r/>
            <w:r>
              <w:rPr>
                <w:sz w:val="19"/>
              </w:rPr>
              <w:t>LLM</w:t>
            </w:r>
          </w:p>
        </w:tc>
        <w:tc>
          <w:tcPr>
            <w:tcW w:type="dxa" w:w="7056"/>
          </w:tcPr>
          <w:p>
            <w:r/>
            <w:r>
              <w:rPr>
                <w:sz w:val="19"/>
              </w:rPr>
              <w:t>Large Language Model — l'IA générative (ici via Groq)</w:t>
            </w:r>
          </w:p>
        </w:tc>
      </w:tr>
      <w:tr>
        <w:tc>
          <w:tcPr>
            <w:tcW w:type="dxa" w:w="2304"/>
          </w:tcPr>
          <w:p>
            <w:r/>
            <w:r>
              <w:rPr>
                <w:sz w:val="19"/>
              </w:rPr>
              <w:t>RAG</w:t>
            </w:r>
          </w:p>
        </w:tc>
        <w:tc>
          <w:tcPr>
            <w:tcW w:type="dxa" w:w="7056"/>
          </w:tcPr>
          <w:p>
            <w:r/>
            <w:r>
              <w:rPr>
                <w:sz w:val="19"/>
              </w:rPr>
              <w:t>Recherche augmentée : retrouve les règles métier pour guider l'IA</w:t>
            </w:r>
          </w:p>
        </w:tc>
      </w:tr>
      <w:tr>
        <w:tc>
          <w:tcPr>
            <w:tcW w:type="dxa" w:w="2304"/>
          </w:tcPr>
          <w:p>
            <w:r/>
            <w:r>
              <w:rPr>
                <w:sz w:val="19"/>
              </w:rPr>
              <w:t>Haversine</w:t>
            </w:r>
          </w:p>
        </w:tc>
        <w:tc>
          <w:tcPr>
            <w:tcW w:type="dxa" w:w="7056"/>
          </w:tcPr>
          <w:p>
            <w:r/>
            <w:r>
              <w:rPr>
                <w:sz w:val="19"/>
              </w:rPr>
              <w:t>Formule de distance entre deux points GPS sur la sphère terrestre</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F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65A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65A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