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Times New Roman" w:eastAsia="宋体" w:hAnsi="Times New Roman"/>
          <w:b/>
          <w:bCs/>
          <w:sz w:val="44"/>
          <w:szCs w:val="44"/>
        </w:rPr>
        <w:t xml:space="preserve">工业边缘物联网终端</w:t>
      </w:r>
    </w:p>
    <w:p>
      <w:pPr>
        <w:spacing w:after="400"/>
        <w:jc w:val="center"/>
      </w:pPr>
      <w:r>
        <w:rPr>
          <w:rFonts w:ascii="Times New Roman" w:eastAsia="宋体" w:hAnsi="Times New Roman"/>
          <w:b/>
          <w:bCs/>
          <w:sz w:val="32"/>
          <w:szCs w:val="32"/>
        </w:rPr>
        <w:t xml:space="preserve">ESP32-S3 / GD32H7 双端外部模块分配调研报告</w:t>
      </w:r>
    </w:p>
    <w:p>
      <w:pPr>
        <w:spacing w:after="120"/>
        <w:jc w:val="center"/>
      </w:pPr>
      <w:r>
        <w:rPr>
          <w:rFonts w:ascii="Times New Roman" w:eastAsia="宋体" w:hAnsi="Times New Roman"/>
          <w:sz w:val="24"/>
          <w:szCs w:val="24"/>
        </w:rPr>
        <w:t xml:space="preserve">—— 性能 · 场景适配 · 物联性三维评估与优化建议 ——</w:t>
      </w:r>
    </w:p>
    <w:p>
      <w:pPr>
        <w:spacing w:after="600"/>
        <w:jc w:val="center"/>
      </w:pPr>
      <w:r>
        <w:rPr>
          <w:rFonts w:ascii="Times New Roman" w:eastAsia="宋体" w:hAnsi="Times New Roman"/>
          <w:color w:val="595959"/>
          <w:sz w:val="20"/>
          <w:szCs w:val="20"/>
        </w:rPr>
        <w:t xml:space="preserve">编制日期：2026-09-07</w:t>
      </w:r>
    </w:p>
    <w:p>
      <w:pPr>
        <w:spacing w:after="1200"/>
        <w:jc w:val="center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评估依据：docs/smart_iot_terminal_guide.docx（总体设计指南）、docs/all_structure_optimize.docx（双端固件优化方案）、两端固件源码现状</w:t>
      </w: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一、调研背景与评估方法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1.1 工程定位与设计预期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本工程为 GD32H7 + ESP32-S3 异构双主控工业边缘物联网终端。依据总体设计指南，两端职责边界为：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GD32H7（Cortex-M7）：应用与实时主控——传感器采集、实时控制闭环、事件总线与层次状态机、LVGL 9.5 人机交互（4.8 寸电容触摸屏）、本地数据与日志管理、Bootloader/IAP；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ESP32-S3（双核 Xtensa LX7）：通信与边缘算力协处理器——Wi-Fi 4 + 蓝牙 5.0 双模、MQTT over TLS 上云、A/B 分区 OTA、边缘 AI 推理、安全凭证管理；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片间互联：UART 主链路 + HS-SPI 冗余链路 + 跨核事件总线，构成对业务透明的“虚拟单机”。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1.2 评估维度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性能：模块的算力、内存、总线带宽、刷新率需求是否与所在端资源匹配；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场景适配：模块职责是否贴合工业现场的实时性、独立性、就近交互要求；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物联性：上云路径是否最短、跨核协作是否自然、是否便于维护与演进。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1.3 评估方法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逐模块核对三份事实：代码现状（模块实际挂在哪颗芯片、是否接入调用链）、设计预期（设计指南 1.3 节职责分工表）、硬件接线（LCD/蓝牙/传感器等物理连接与资源冲突），给出分配结论与优化建议。</w:t>
      </w: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二、当前外部模块分配现状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2.1 GD32H7 端（实时采集/显示端）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代码现状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8080 并口 LCD（EXMC）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自绘点阵 UI（bsp_8080_lcd + lcd_font，约 100KB 源码）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无 LVGL、无触摸驱动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蓝牙 BT24 / HC05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UART3 DMA 双缓冲透传 + 链路帧解析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HC05 DMA 通道与 SPI2 从机冲突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跨核链路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UART 主链路 + SPI2 从机链路（spi_slave_link）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双链路冗余，评审已修复 P0 缺陷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SDRAM / SD 卡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SDRAM 初始化 + 双池内存分配器（内 SRAM + SDRAM）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分配器零调用，1.06MB SDRAM 闲置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LED / 按键 / MPU / CRC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基础板级驱动，部分未接入调用链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MPU/CRC 在用，key 等未接入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RTOS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无（裸机 while(1) + SysTick 软定时器）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与设计指南 Phase 3 不符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2.2 ESP32-S3 端（无线通信端）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代码现状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Wi-Fi STA / 断线重连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wifi_manager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正常，符合设计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MQTT over TLS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mqtt_client_app + NVS 凭证（cred_mgr）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正常，符合设计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OTA A/B 分区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ota_downloader + ota_mgr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正常，符合设计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事件总线 / 跨核桥 / 连接 HSM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event_bus / event_ipc / conn_hsm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正常，跨核透明分发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WS2812 状态灯带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bsp_ws2812，由 conn_hsm 驱动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状态源在 ESP32，分配合理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MQ2 气体传感器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bsp_mq2（ADC 采样）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传感器挂在通信端，见 4.1 评估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边缘 AI 推理管线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ai_pipeline（占位）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符合设计（向量指令）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2.3 现状与设计预期的关键差异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LVGL 9.5 未落地：GD32 仍为裸机 + 自绘字库 UI，与设计指南“GD32 承担 LVGL 人机交互”存在差距；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传感器采集在 ESP32 而非 GD32：MQ2 直接挂在通信端，与“GD32 专司传感器采集”定位不符；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蓝牙三套并存：GD32 端 BT24 + HC05 两颗外置模块，与 ESP32 内置 BT 5.0 双模功能重叠；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GD32 无 FreeRTOS：设计指南约定双片运行 FreeRTOS，当前 GD32 为裸机；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SDRAM 用途偏差：1.06MB SDRAM 被“零调用”内存池占用，而非用作 LCD 显存/日志等实际用途。</w:t>
      </w: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三、核心议题：LVGL 部署位置论证</w:t>
      </w:r>
    </w:p>
    <w:p>
      <w:pPr>
        <w:spacing w:after="120" w:before="0" w:line="30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结论：LVGL 应部署在 GD32H7 端。这不是“会不会更好”的取舍问题，而是由物理连接决定的唯一合理选项；设计指南本就将 LVGL 9.5 规划在 GD32H7（Phase 3），当前差距是“未落地”而非“放错位置”。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3.1 物理绑定：屏接在哪，UI 就在哪（决定性）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8080 并口 LCD 经 EXMC 挂在 GD32H7 上，ESP32-S3 没有任何显示接口。若把 LVGL 放在 ESP32，渲染结果只能经片间链路传送。按 480×800×16bit 计算：单帧 768KB，20fps 需约 15MB/s 持续带宽，远超 UART（9.6~115.2kbps）与现有 SPI 链路的可靠载荷能力。退一步改为“ESP32 下命令、GD32 绘制”，实质仍是 GD32 端 UI，绕一圈只增加协议复杂度和时延。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3.2 算力匹配：M7 是更好的渲染宿主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GD32H7 为 Cortex-M7（设计选型 GD32H757 双核，带 FPU/DSP，可运行至 400MHz 级），渲染 UI 富余，且已有 EXMC→LCD 的 DMA 流式写通路（driver_dma_mem_to_exmclcd_start），天然适配 LVGL 的 flush 机制；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ESP32-S3 双核 240MHz 需同时服务 Wi-Fi/BLE/TLS 协议栈，UI 渲染会挤占射频时序与协议栈吞吐，影响连接稳定性；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实时性考量：现场告警→UI 刷新的最短路径应在 GD32 本地闭环，无需绕行片间链路。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3.3 内存匹配：闲置 SDRAM 恰是 LVGL 显存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LVGL 9.5 需要显示缓冲，480×800 双缓冲约 1.5MB。GD32 外挂 SDRAM 当前 1.06MB 被零调用内存池占用，评审报告（all_structure_optimize.docx P2）已建议释放并改作“LCD 显存等实际用途”——释放后正好承载 LVGL 缓冲与本地日志，一举两得。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3.4 生态与代码衔接：现有驱动可直接复用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LVGL 官方对 Cortex-M7 + 8080/EXMC + DMA 的移植范式支持成熟；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现有 bsp_8080_lcd_set_window + 数据流写接口可直接映射为 lv_disp_flush 回调，lcd_font 自绘字库层可退役，仅保留底层点窗口/刷屏接口；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触摸屏（4.8 寸电容）同样接在 GD32，输入设备与显示同端，符合 LVGL 的 indev 架构。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3.5 反方条件：何时才该放 ESP32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仅当未来硬件改版把屏改挂 ESP32（如 MIPI/RGB 直连）时才成立。在现行硬件约束下，为省 GD32 端移植工作量而把 LVGL 放 ESP32，将付出跨核传帧协议与带宽代价，得不偿失。</w:t>
      </w: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四、逐模块合理性评估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结论标注：合理（维持现状）；待落地（位置正确、实现滞后）；建议迁移；建议删除。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1250"/>
        <w:gridCol w:w="4776"/>
      </w:tblGrid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现状端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建议端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结论与理由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LCD 显示 + LVGL UI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待落地：位置正确（物理绑定、算力/内存匹配，见第三节），需落地 FreeRTOS + LVGL 9.5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触摸屏输入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合理：与显示同端，符合 LVGL indev 架构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MQ2 气体传感器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ESP32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建议迁移：与“传感器采集归 GD32”定位一致；可入本地实时控制闭环；ESP32 端 SAR ADC 无采集优势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蓝牙 BT24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ESP32 或 GD32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建议收敛：与 ESP32 内置 BT 功能重叠；需先核实链路硬件拓扑（9600/115200 与 BT24 中转关系）再定主路径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蓝牙 HC05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删除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建议删除：DMA 通道与 SPI2 从机链路冲突（评审报告已证实），且与 BT24 功能重复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WS2812 状态灯带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ESP32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ESP32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合理：灯色反映 Wi-Fi/MQTT/链路状态，状态源就在 ESP32，无需跨核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LED / 按键 / MPU / CRC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合理：本地交互与存储保护就近处理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SD 卡 + SDRAM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合理（用途待重规划）：本地数据与日志归 GD32；SDRAM 应由闲置内存池改作 LVGL 显存/日志缓冲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Wi-Fi / MQTT / TLS / OTA / NVS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ESP32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ESP32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合理：无线通信与安全上云一体化于单颗 SoC，是双主控方案的核心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事件总线 / 跨核 IPC / HSM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两端镜像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两端镜像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合理：契约双端镜像、跨核透明分发，是本工程的差异化设计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边缘 AI 推理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ESP32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ESP32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合理：利用 Xtensa 向量指令，推理结果经 IPC 联动 GD32 告警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跨核链路 UART + HS-SPI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两端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两端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合理：双链路冗余符合工业高可靠要求</w:t>
            </w:r>
          </w:p>
        </w:tc>
      </w:tr>
    </w:tbl>
    <w:p>
      <w:pPr>
        <w:spacing w:after="160"/>
      </w:pP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五、发现的问题清单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8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问题描述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P1</w:t>
            </w:r>
          </w:p>
        </w:tc>
        <w:tc>
          <w:tcPr>
            <w:tcW w:type="dxa" w:w="8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LVGL/RTOS 未落地：GD32 为裸机 + 自绘点阵 UI，无触摸；与设计指南 Phase 3（FreeRTOS 任务划分 + LVGL 9.5 五界面 UI）差距最大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P2</w:t>
            </w:r>
          </w:p>
        </w:tc>
        <w:tc>
          <w:tcPr>
            <w:tcW w:type="dxa" w:w="8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MQ2 采集在通信端：传感器数据直传云端，不进 GD32 实时闭环，与职责分工表不符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P3</w:t>
            </w:r>
          </w:p>
        </w:tc>
        <w:tc>
          <w:tcPr>
            <w:tcW w:type="dxa" w:w="8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蓝牙三套并存：BT24 + HC05 + ESP32 内置 BT；HC05 与 SPI2 从机 DMA 通道冲突，评审已证实不可并存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P4</w:t>
            </w:r>
          </w:p>
        </w:tc>
        <w:tc>
          <w:tcPr>
            <w:tcW w:type="dxa" w:w="8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SDRAM 1.06MB 被零调用内存池占用：LVGL 显存与日志缓冲无处安放，内存规划需先行调整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P5</w:t>
            </w:r>
          </w:p>
        </w:tc>
        <w:tc>
          <w:tcPr>
            <w:tcW w:type="dxa" w:w="8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链路硬件拓扑未核实：9600 与 115200 两波特率、BT24 蓝牙中转关系未确认，直接决定蓝牙模块去留与链路主路径</w:t>
            </w:r>
          </w:p>
        </w:tc>
      </w:tr>
    </w:tbl>
    <w:p>
      <w:pPr>
        <w:spacing w:after="160"/>
      </w:pP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六、优化建议与实施优先级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200"/>
        <w:gridCol w:w="1600"/>
        <w:gridCol w:w="1426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涉及端/文件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蓝牙收敛与拓扑核实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删除 HC05（DMA 冲突）；BT24 与 ESP32 内置 BT 二选一（推荐统一走 ESP32 SPP/BLE）；核实 UART 波特率与蓝牙中转拓扑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GD32：HC05.c、BT24.c；ESP32：bsp_uart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单蓝牙路径可通；SPI2 从机 DMA 无冲突；拓扑结论写入文档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SDRAM 重规划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删除零调用双池内存分配器；SDRAM 改为 LVGL 显示缓冲 + 日志环形缓冲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GD32：malloc.c、Linker 链接脚本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内 SRAM ≤ 25KB；SDRAM 全部转实际用途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LVGL 9.5 移植 GD32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引入 FreeRTOS；移植 LVGL（flush_cb = set_window + DMA 流式写）；触摸 indev；实现主仪表盘/透传终端/蓝牙配置/网络设置/系统日志五界面；UI 刷新由事件总线驱动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GD32：main.c、BSP；新增 LVGL 组件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UI 刷新无卡顿；触摸可用；云端命令可驱动 UI 刷新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MQ2 采集归位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采集移 GD32 ADC（driver_adc 已有驱动）；事件总线发布 → event_ipc → ESP32 cloud_bridge 上云；本地告警闭环；若板级接线确实在 ESP32 子板，则明确“通信端板载传感器”例外并写入文档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GD32：driver_adc；ESP32：cloud_bridge、app_tasks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传感器数据云端可见；告警可触发 GD32 本地联动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冗余框架裁剪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按 all_structure_optimize.docx P2 清单裁剪两端无调用组件（ESP32 17 组件裁至 10 个以内；GD32 未接入模块移出构建）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两端 CMakeLists 与源码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ROM/RAM 指标达标；分层依赖无违规</w:t>
            </w:r>
          </w:p>
        </w:tc>
      </w:tr>
    </w:tbl>
    <w:p>
      <w:pPr>
        <w:spacing w:after="120" w:before="120" w:line="300"/>
      </w:pPr>
      <w:r>
        <w:rPr>
          <w:rFonts w:ascii="Times New Roman" w:eastAsia="宋体" w:hAnsi="Times New Roman"/>
          <w:sz w:val="21"/>
          <w:szCs w:val="21"/>
        </w:rPr>
        <w:t xml:space="preserve">实施顺序说明：P0 的蓝牙收敛与 SDRAM 重规划不依赖 UI 方案，可先行；P1 的 LVGL 移植依赖 P0 释放 SDRAM 并引入 FreeRTOS，属工作量最大项；P2 的 MQ2 迁移需在链路可用（评审 P0 已完成）基础上联调。</w:t>
      </w: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七、预期收益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26"/>
        <w:gridCol w:w="370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现状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优化后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人机交互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裸机自绘点阵，仅字符/图形直绘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LVGL 9.5 图形化五界面 + 电容触摸，支持云端联动刷新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SDRAM 利用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1.06MB 被闲置内存池占用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LVGL 双缓冲显存 + 日志缓冲，物尽其用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蓝牙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三套并存、HC05 与 SPI2 DMA 冲突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单蓝牙路径、无硬件冲突、模块成本与功耗下降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传感器链路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MQ2 在通信端直传云端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 实时采集 + 本地闭环 + 跨核上云，职责归位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职责一致性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与设计指南 1.3 分工表多处偏离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两端模块分配与设计指南完全对齐，架构可评审</w:t>
            </w:r>
          </w:p>
        </w:tc>
      </w:tr>
    </w:tbl>
    <w:p>
      <w:pPr>
        <w:spacing w:after="160"/>
      </w:pP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八、结论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整体分配框架合理：“无线通信/AI 归 ESP32、实时采集/显示/本地管理归 GD32”的分工符合工业边缘终端的成熟范式，事件总线跨核化进一步消除了模块位置的物理边界。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LVGL 部署 GD32 是正确的：由物理绑定、链路带宽、算力、内存、生态、设计一致性六重依据支撑；设计指南本就如此规划，当前差距是“未落地”，无需改判。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真正需要调整的模块仅两处：MQ2 传感器归位 GD32；蓝牙收敛为单路径（删除 HC05，BT24 与 ESP32 内置 BT 二选一）。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建议实施顺序：P0 蓝牙收敛与拓扑核实、SDRAM 重规划 → P1 LVGL 9.5 + FreeRTOS 落地 GD32 → P2 MQ2 归位与冗余框架裁剪，并与评审报告的 P0~P3 优化路线协同推进。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808080"/>
        <w:sz w:val="18"/>
        <w:szCs w:val="18"/>
      </w:rPr>
      <w:t xml:space="preserve">双端外部模块分配调研报告 · 第 </w:t>
    </w:r>
    <w:r>
      <w:rPr>
        <w:rFonts w:ascii="Times New Roman" w:eastAsia="宋体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eastAsia="宋体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eastAsia="宋体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2026-09-06T16:59:37.741Z</dcterms:created>
  <dcterms:modified xsi:type="dcterms:W3CDTF">2026-09-06T16:59:37.742Z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