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34F93">
      <w:pPr>
        <w:numPr>
          <w:ilvl w:val="0"/>
          <w:numId w:val="1"/>
        </w:numPr>
        <w:jc w:val="center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二维超声波声压场</w:t>
      </w:r>
    </w:p>
    <w:p w14:paraId="02F3BA19">
      <w:pPr>
        <w:numPr>
          <w:numId w:val="0"/>
        </w:numPr>
        <w:ind w:firstLine="480" w:firstLineChars="2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波动方程：</w:t>
      </w:r>
    </w:p>
    <w:p w14:paraId="4E31265C">
      <w:pPr>
        <w:numPr>
          <w:numId w:val="0"/>
        </w:numPr>
        <w:ind w:firstLine="480" w:firstLineChars="200"/>
        <w:jc w:val="both"/>
        <m:rPr/>
        <w:rPr>
          <w:rFonts w:hint="default" w:hAnsi="Cambria Math"/>
          <w:i w:val="0"/>
          <w:sz w:val="24"/>
          <w:szCs w:val="24"/>
          <w:lang w:val="en-US" w:eastAsia="zh-CN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∇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p−</m:t>
          </m:r>
          <m:f>
            <m:fPr>
              <m:ctrlPr>
                <m:rPr/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1</m:t>
              </m:r>
              <m:ctrlPr>
                <m:rPr/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num>
            <m:den>
              <m:sSup>
                <m:sSupPr>
                  <m:ctrlPr>
                    <m:rPr/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c</m:t>
                  </m:r>
                  <m:ctrlPr>
                    <m:rPr/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m:rPr/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</m:sSup>
              <m:ctrlPr>
                <m:rPr/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den>
          </m:f>
          <m:f>
            <m:fPr>
              <m:ctrlPr>
                <m:rPr/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Pr>
            <m:num>
              <m:sSup>
                <m:sSupPr>
                  <m:ctrlPr>
                    <m:rPr/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∂</m:t>
                  </m:r>
                  <m:ctrlPr>
                    <m:rPr/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m:rPr/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p</m:t>
              </m:r>
              <m:ctrlPr>
                <m:rPr/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∂</m:t>
              </m:r>
              <m:sSup>
                <m:sSupPr>
                  <m:ctrlPr>
                    <m:rPr/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m:rPr/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2</m:t>
                  </m:r>
                  <m:ctrlPr>
                    <m:rPr/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p>
              </m:sSup>
              <m:ctrlPr>
                <m:rPr/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=0</m:t>
          </m:r>
        </m:oMath>
      </m:oMathPara>
    </w:p>
    <w:p w14:paraId="03D5E3D2">
      <w:pPr>
        <w:numPr>
          <w:numId w:val="0"/>
        </w:numPr>
        <w:ind w:firstLine="480" w:firstLineChars="200"/>
        <w:jc w:val="both"/>
        <w:rPr>
          <w:rFonts w:ascii="宋体" w:hAnsi="宋体" w:eastAsia="宋体" w:cs="宋体"/>
          <w:sz w:val="24"/>
          <w:szCs w:val="24"/>
        </w:rPr>
      </w:pPr>
      <w:r>
        <m:rPr/>
        <w:rPr>
          <w:rFonts w:hint="eastAsia" w:hAnsi="Cambria Math"/>
          <w:i w:val="0"/>
          <w:sz w:val="24"/>
          <w:szCs w:val="24"/>
          <w:lang w:val="en-US" w:eastAsia="zh-CN"/>
        </w:rPr>
        <w:t>其中，</w:t>
      </w:r>
      <m:oMath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p</m:t>
        </m:r>
      </m:oMath>
      <w:r>
        <m:rPr/>
        <w:rPr>
          <w:rFonts w:hint="eastAsia" w:hAnsi="Cambria Math"/>
          <w:i w:val="0"/>
          <w:sz w:val="24"/>
          <w:szCs w:val="24"/>
          <w:lang w:val="en-US" w:eastAsia="zh-CN"/>
        </w:rPr>
        <w:t>是声压，即</w:t>
      </w:r>
      <w:r>
        <w:rPr>
          <w:rFonts w:ascii="宋体" w:hAnsi="宋体" w:eastAsia="宋体" w:cs="宋体"/>
          <w:sz w:val="24"/>
          <w:szCs w:val="24"/>
        </w:rPr>
        <w:t>声波在传播过程中，介质（比如空气或水）中局部产生的压强变化。</w:t>
      </w:r>
    </w:p>
    <w:p w14:paraId="26F7B8DB">
      <w:pPr>
        <w:numPr>
          <w:numId w:val="0"/>
        </w:numPr>
        <w:ind w:firstLine="480" w:firstLineChars="200"/>
        <w:jc w:val="both"/>
        <m:rPr/>
        <w:rPr>
          <w:rFonts w:hint="default" w:hAnsi="Cambria Math" w:eastAsia="宋体" w:cs="Cambria Math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eastAsia="宋体" w:cs="宋体"/>
              <w:kern w:val="2"/>
              <w:sz w:val="24"/>
              <w:szCs w:val="24"/>
              <w:lang w:val="en-US" w:eastAsia="zh-CN" w:bidi="ar-SA"/>
            </w:rPr>
            <m:t>Z=</m:t>
          </m:r>
          <m:r>
            <m:rPr/>
            <w:rPr>
              <w:rFonts w:hint="default" w:ascii="Cambria Math" w:hAnsi="Cambria Math" w:eastAsia="宋体" w:cs="Cambria Math"/>
              <w:kern w:val="2"/>
              <w:sz w:val="24"/>
              <w:szCs w:val="24"/>
              <w:lang w:val="en-US" w:eastAsia="zh-CN" w:bidi="ar-SA"/>
            </w:rPr>
            <m:t>ρ∙c</m:t>
          </m:r>
        </m:oMath>
      </m:oMathPara>
    </w:p>
    <w:p w14:paraId="4F90FE10">
      <w:pPr>
        <w:numPr>
          <w:ilvl w:val="0"/>
          <w:numId w:val="0"/>
        </w:numPr>
        <w:ind w:firstLine="480" w:firstLineChars="200"/>
        <w:jc w:val="both"/>
        <m:rPr/>
        <w:rPr>
          <w:rFonts w:hint="default" w:hAnsi="Cambria Math" w:eastAsia="宋体" w:cs="Cambria Math"/>
          <w:b w:val="0"/>
          <w:i w:val="0"/>
          <w:kern w:val="2"/>
          <w:sz w:val="24"/>
          <w:szCs w:val="24"/>
          <w:lang w:val="en-US" w:eastAsia="zh-CN" w:bidi="ar-SA"/>
        </w:rPr>
      </w:pPr>
      <w:r>
        <m:rPr/>
        <w:rPr>
          <w:rFonts w:hint="eastAsia" w:hAnsi="Cambria Math" w:eastAsia="宋体" w:cs="Cambria Math"/>
          <w:b w:val="0"/>
          <w:i w:val="0"/>
          <w:kern w:val="2"/>
          <w:sz w:val="24"/>
          <w:szCs w:val="24"/>
          <w:lang w:val="en-US" w:eastAsia="zh-CN" w:bidi="ar-SA"/>
        </w:rPr>
        <w:t>其中，</w:t>
      </w:r>
      <m:oMath>
        <m:r>
          <m:rPr/>
          <w:rPr>
            <w:rFonts w:hint="default" w:ascii="Cambria Math" w:hAnsi="Cambria Math" w:eastAsia="宋体" w:cs="宋体"/>
            <w:kern w:val="2"/>
            <w:sz w:val="24"/>
            <w:szCs w:val="24"/>
            <w:lang w:val="en-US" w:eastAsia="zh-CN" w:bidi="ar-SA"/>
          </w:rPr>
          <m:t>Z</m:t>
        </m:r>
      </m:oMath>
      <w:r>
        <m:rPr/>
        <w:rPr>
          <w:rFonts w:hint="eastAsia" w:hAnsi="Cambria Math" w:eastAsia="宋体" w:cs="宋体"/>
          <w:i w:val="0"/>
          <w:kern w:val="2"/>
          <w:sz w:val="24"/>
          <w:szCs w:val="24"/>
          <w:lang w:val="en-US" w:eastAsia="zh-CN" w:bidi="ar-SA"/>
        </w:rPr>
        <w:t>表示声阻抗，</w:t>
      </w:r>
      <m:oMath>
        <m:r>
          <m:rPr/>
          <w:rPr>
            <w:rFonts w:hint="default" w:ascii="Cambria Math" w:hAnsi="Cambria Math" w:eastAsia="宋体" w:cs="Cambria Math"/>
            <w:kern w:val="2"/>
            <w:sz w:val="24"/>
            <w:szCs w:val="24"/>
            <w:lang w:val="en-US" w:eastAsia="zh-CN" w:bidi="ar-SA"/>
          </w:rPr>
          <m:t>ρ</m:t>
        </m:r>
      </m:oMath>
      <w:r>
        <m:rPr/>
        <w:rPr>
          <w:rFonts w:hint="eastAsia" w:hAnsi="Cambria Math" w:eastAsia="宋体" w:cs="Cambria Math"/>
          <w:i w:val="0"/>
          <w:kern w:val="2"/>
          <w:sz w:val="24"/>
          <w:szCs w:val="24"/>
          <w:lang w:val="en-US" w:eastAsia="zh-CN" w:bidi="ar-SA"/>
        </w:rPr>
        <w:t>表示密度，</w:t>
      </w:r>
      <m:oMath>
        <m:r>
          <m:rPr/>
          <w:rPr>
            <w:rFonts w:hint="default" w:ascii="Cambria Math" w:hAnsi="Cambria Math" w:eastAsia="宋体" w:cs="Cambria Math"/>
            <w:kern w:val="2"/>
            <w:sz w:val="24"/>
            <w:szCs w:val="24"/>
            <w:lang w:val="en-US" w:eastAsia="zh-CN" w:bidi="ar-SA"/>
          </w:rPr>
          <m:t>c</m:t>
        </m:r>
      </m:oMath>
      <w:r>
        <m:rPr/>
        <w:rPr>
          <w:rFonts w:hint="eastAsia" w:hAnsi="Cambria Math" w:eastAsia="宋体" w:cs="Cambria Math"/>
          <w:i w:val="0"/>
          <w:kern w:val="2"/>
          <w:sz w:val="24"/>
          <w:szCs w:val="24"/>
          <w:lang w:val="en-US" w:eastAsia="zh-CN" w:bidi="ar-SA"/>
        </w:rPr>
        <w:t>表示声速</w:t>
      </w:r>
      <w:r>
        <m:rPr/>
        <w:rPr>
          <w:rFonts w:hint="eastAsia" w:hAnsi="Cambria Math" w:eastAsia="宋体" w:cs="宋体"/>
          <w:i w:val="0"/>
          <w:kern w:val="2"/>
          <w:sz w:val="24"/>
          <w:szCs w:val="24"/>
          <w:lang w:val="en-US" w:eastAsia="zh-CN" w:bidi="ar-SA"/>
        </w:rPr>
        <w:t>。</w:t>
      </w:r>
    </w:p>
    <w:p w14:paraId="58F716CD">
      <w:pPr>
        <w:ind w:firstLine="480" w:firstLineChars="200"/>
      </w:pPr>
      <w:r>
        <w:rPr>
          <w:rFonts w:ascii="宋体" w:hAnsi="宋体" w:eastAsia="宋体" w:cs="宋体"/>
          <w:sz w:val="24"/>
          <w:szCs w:val="24"/>
        </w:rPr>
        <w:t>模拟</w:t>
      </w:r>
      <w:r>
        <w:rPr>
          <w:rFonts w:ascii="宋体" w:hAnsi="宋体" w:eastAsia="宋体" w:cs="宋体"/>
          <w:b/>
          <w:bCs/>
          <w:sz w:val="24"/>
          <w:szCs w:val="24"/>
        </w:rPr>
        <w:t>从一个点源发出超声波并传播到整个区域</w:t>
      </w:r>
      <w:r>
        <w:rPr>
          <w:rFonts w:ascii="宋体" w:hAnsi="宋体" w:eastAsia="宋体" w:cs="宋体"/>
          <w:sz w:val="24"/>
          <w:szCs w:val="24"/>
        </w:rPr>
        <w:t>的过程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3C47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0" w:type="dxa"/>
            <w:gridSpan w:val="2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</w:tcPr>
          <w:p w14:paraId="530051C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均匀介质</w:t>
            </w:r>
          </w:p>
        </w:tc>
        <w:tc>
          <w:tcPr>
            <w:tcW w:w="213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F91E91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声源设置</w:t>
            </w:r>
          </w:p>
        </w:tc>
        <w:tc>
          <w:tcPr>
            <w:tcW w:w="213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nil"/>
            </w:tcBorders>
          </w:tcPr>
          <w:p w14:paraId="7933401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间隔</w:t>
            </w:r>
          </w:p>
        </w:tc>
      </w:tr>
      <w:tr w14:paraId="67CE3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single" w:color="auto" w:sz="12" w:space="0"/>
              <w:left w:val="nil"/>
              <w:bottom w:val="nil"/>
              <w:right w:val="single" w:color="auto" w:sz="12" w:space="0"/>
            </w:tcBorders>
          </w:tcPr>
          <w:p w14:paraId="5D3F8EE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声速</w:t>
            </w:r>
          </w:p>
        </w:tc>
        <w:tc>
          <w:tcPr>
            <w:tcW w:w="2130" w:type="dxa"/>
            <w:tcBorders>
              <w:top w:val="single" w:color="auto" w:sz="12" w:space="0"/>
              <w:left w:val="single" w:color="auto" w:sz="12" w:space="0"/>
              <w:bottom w:val="nil"/>
              <w:right w:val="single" w:color="auto" w:sz="12" w:space="0"/>
            </w:tcBorders>
          </w:tcPr>
          <w:p w14:paraId="1B29055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密度</w:t>
            </w:r>
          </w:p>
        </w:tc>
        <w:tc>
          <w:tcPr>
            <w:tcW w:w="2131" w:type="dxa"/>
            <w:tcBorders>
              <w:top w:val="single" w:color="auto" w:sz="12" w:space="0"/>
              <w:left w:val="single" w:color="auto" w:sz="12" w:space="0"/>
              <w:bottom w:val="nil"/>
              <w:right w:val="single" w:color="auto" w:sz="12" w:space="0"/>
            </w:tcBorders>
          </w:tcPr>
          <w:p w14:paraId="21F3F4A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点声源</w:t>
            </w:r>
          </w:p>
        </w:tc>
        <w:tc>
          <w:tcPr>
            <w:tcW w:w="213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nil"/>
            </w:tcBorders>
          </w:tcPr>
          <w:p w14:paraId="1E2E6B0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0.1mm</w:t>
            </w:r>
          </w:p>
        </w:tc>
      </w:tr>
      <w:tr w14:paraId="7D1AA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single" w:color="auto" w:sz="12" w:space="0"/>
            </w:tcBorders>
          </w:tcPr>
          <w:p w14:paraId="2A08EA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1500</w:t>
            </w:r>
            <m:oMath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vertAlign w:val="baseline"/>
                  <w:lang w:val="en-US" w:eastAsia="zh-CN" w:bidi="ar-SA"/>
                </w:rPr>
                <m:t>m/s</m:t>
              </m:r>
            </m:oMath>
          </w:p>
        </w:tc>
        <w:tc>
          <w:tcPr>
            <w:tcW w:w="2130" w:type="dxa"/>
            <w:tcBorders>
              <w:top w:val="nil"/>
              <w:left w:val="single" w:color="auto" w:sz="12" w:space="0"/>
              <w:bottom w:val="nil"/>
              <w:right w:val="single" w:color="auto" w:sz="12" w:space="0"/>
            </w:tcBorders>
          </w:tcPr>
          <w:p w14:paraId="4BACCC1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1000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vertAlign w:val="baseline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vertAlign w:val="baseline"/>
                      <w:lang w:val="en-US" w:eastAsia="zh-CN"/>
                    </w:rPr>
                    <m:t>kg/m</m:t>
                  </m:r>
                  <m:ctrlPr>
                    <w:rPr>
                      <w:rFonts w:ascii="Cambria Math" w:hAnsi="Cambria Math"/>
                      <w:i/>
                      <w:vertAlign w:val="baseline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vertAlign w:val="baseline"/>
                      <w:lang w:val="en-US" w:eastAsia="zh-CN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vertAlign w:val="baseline"/>
                      <w:lang w:val="en-US"/>
                    </w:rPr>
                  </m:ctrlPr>
                </m:sup>
              </m:sSup>
            </m:oMath>
          </w:p>
        </w:tc>
        <w:tc>
          <w:tcPr>
            <w:tcW w:w="2131" w:type="dxa"/>
            <w:tcBorders>
              <w:top w:val="nil"/>
              <w:left w:val="single" w:color="auto" w:sz="12" w:space="0"/>
              <w:bottom w:val="nil"/>
              <w:right w:val="single" w:color="auto" w:sz="12" w:space="0"/>
            </w:tcBorders>
          </w:tcPr>
          <w:p w14:paraId="1CA90F3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（30，100）</w:t>
            </w:r>
          </w:p>
        </w:tc>
        <w:tc>
          <w:tcPr>
            <w:tcW w:w="213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nil"/>
            </w:tcBorders>
          </w:tcPr>
          <w:p w14:paraId="5AB867B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仿真区域</w:t>
            </w:r>
          </w:p>
        </w:tc>
      </w:tr>
      <w:tr w14:paraId="6B253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6247746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接近人体软组织声速</w:t>
            </w:r>
          </w:p>
        </w:tc>
        <w:tc>
          <w:tcPr>
            <w:tcW w:w="2130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EEAA19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接近水的密度</w:t>
            </w:r>
          </w:p>
        </w:tc>
        <w:tc>
          <w:tcPr>
            <w:tcW w:w="2131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A19867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1MHz正弦连续波</w:t>
            </w:r>
          </w:p>
        </w:tc>
        <w:tc>
          <w:tcPr>
            <w:tcW w:w="213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nil"/>
            </w:tcBorders>
          </w:tcPr>
          <w:p w14:paraId="5093075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2cm×2cm</w:t>
            </w:r>
          </w:p>
        </w:tc>
      </w:tr>
    </w:tbl>
    <w:p w14:paraId="2EEC14C4">
      <w:pPr>
        <w:jc w:val="center"/>
      </w:pPr>
      <w:r>
        <w:drawing>
          <wp:inline distT="0" distB="0" distL="114300" distR="114300">
            <wp:extent cx="1960880" cy="1689735"/>
            <wp:effectExtent l="0" t="0" r="762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088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12C72">
      <w:pPr>
        <w:ind w:firstLine="480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在均匀介质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声速不变，密度不变）</w:t>
      </w:r>
      <w:r>
        <w:rPr>
          <w:rFonts w:ascii="宋体" w:hAnsi="宋体" w:eastAsia="宋体" w:cs="宋体"/>
          <w:sz w:val="24"/>
          <w:szCs w:val="24"/>
        </w:rPr>
        <w:t>中，波的传播遵循各向同性（Isotropic）特性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声压场只与“距离声源的距离”有关，而与“方向”无关。</w:t>
      </w:r>
    </w:p>
    <w:p w14:paraId="4ABBE0DB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024505" cy="1652905"/>
            <wp:effectExtent l="0" t="0" r="10795" b="10795"/>
            <wp:docPr id="3" name="图片 3" descr="69cf24ed1059d4f3b9634a12f15041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9cf24ed1059d4f3b9634a12f15041fc"/>
                    <pic:cNvPicPr>
                      <a:picLocks noChangeAspect="1"/>
                    </pic:cNvPicPr>
                  </pic:nvPicPr>
                  <pic:blipFill>
                    <a:blip r:embed="rId5"/>
                    <a:srcRect l="3204" t="29876" r="3685" b="47335"/>
                    <a:stretch>
                      <a:fillRect/>
                    </a:stretch>
                  </pic:blipFill>
                  <pic:spPr>
                    <a:xfrm>
                      <a:off x="0" y="0"/>
                      <a:ext cx="3024505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1783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拉普拉斯算子 梯度 散度 旋度</w:t>
      </w:r>
    </w:p>
    <w:p w14:paraId="11D423CE">
      <w:pPr>
        <w:numPr>
          <w:ilvl w:val="0"/>
          <w:numId w:val="1"/>
        </w:numPr>
        <w:ind w:left="0" w:leftChars="0" w:firstLine="0" w:firstLineChars="0"/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二维线阵相控阵</w:t>
      </w:r>
    </w:p>
    <w:p w14:paraId="166E649F">
      <w:pPr>
        <w:numPr>
          <w:numId w:val="0"/>
        </w:numPr>
        <w:ind w:leftChars="0" w:firstLine="48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8个阵元，间距为5，坐标分别为：（30，82.5）...（30，117.5）。同时发射超声波，出现波前叠加（</w:t>
      </w:r>
      <w:r>
        <w:rPr>
          <w:rFonts w:ascii="宋体" w:hAnsi="宋体" w:eastAsia="宋体" w:cs="宋体"/>
          <w:sz w:val="24"/>
          <w:szCs w:val="24"/>
        </w:rPr>
        <w:t>惠更斯-菲涅尔原理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，近似平面波。</w:t>
      </w:r>
    </w:p>
    <w:p w14:paraId="382627B3">
      <w:pPr>
        <w:numPr>
          <w:numId w:val="0"/>
        </w:numPr>
        <w:jc w:val="center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2310130" cy="887730"/>
            <wp:effectExtent l="0" t="0" r="1270" b="127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rcRect l="3258" t="3657" r="2149" b="4514"/>
                    <a:stretch>
                      <a:fillRect/>
                    </a:stretch>
                  </pic:blipFill>
                  <pic:spPr>
                    <a:xfrm>
                      <a:off x="0" y="0"/>
                      <a:ext cx="2310130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A224F">
      <w:pPr>
        <w:numPr>
          <w:numId w:val="0"/>
        </w:numPr>
        <w:ind w:leftChars="0"/>
        <w:jc w:val="center"/>
        <w:rPr>
          <w:rFonts w:hint="eastAsia" w:eastAsiaTheme="minorEastAsia"/>
          <w:b/>
          <w:bCs/>
          <w:sz w:val="24"/>
          <w:szCs w:val="32"/>
          <w:lang w:val="en-US" w:eastAsia="zh-CN"/>
        </w:rPr>
      </w:pPr>
      <w:r>
        <w:drawing>
          <wp:inline distT="0" distB="0" distL="114300" distR="114300">
            <wp:extent cx="2601595" cy="2241550"/>
            <wp:effectExtent l="0" t="0" r="1905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1595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b/>
          <w:bCs/>
          <w:sz w:val="24"/>
          <w:szCs w:val="32"/>
          <w:lang w:val="en-US" w:eastAsia="zh-CN"/>
        </w:rPr>
        <w:drawing>
          <wp:inline distT="0" distB="0" distL="114300" distR="114300">
            <wp:extent cx="2607310" cy="2244725"/>
            <wp:effectExtent l="0" t="0" r="8890" b="3175"/>
            <wp:docPr id="7" name="图片 7" descr="Gemini_Generated_Image_2e2uqf2e2uqf2e2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Gemini_Generated_Image_2e2uqf2e2uqf2e2u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73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40AA">
      <w:pPr>
        <w:numPr>
          <w:numId w:val="0"/>
        </w:numPr>
        <w:ind w:leftChars="0" w:firstLine="482" w:firstLineChars="200"/>
        <w:jc w:val="both"/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动态干涉视频（500kHz）</w:t>
      </w:r>
    </w:p>
    <w:p w14:paraId="0F23582F">
      <w:pPr>
        <w:numPr>
          <w:numId w:val="0"/>
        </w:numPr>
        <w:ind w:leftChars="0"/>
        <w:jc w:val="center"/>
        <w:rPr>
          <w:rFonts w:hint="eastAsia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 w:eastAsiaTheme="minorEastAsia"/>
          <w:b/>
          <w:bCs/>
          <w:sz w:val="24"/>
          <w:szCs w:val="32"/>
          <w:lang w:val="en-US" w:eastAsia="zh-CN"/>
        </w:rPr>
        <w:object>
          <v:shape id="_x0000_i1031" o:spt="75" type="#_x0000_t75" style="height:65.5pt;width:72.5pt;" o:ole="t" filled="f" o:preferrelative="t" stroked="f" coordsize="21600,21600"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Package" ShapeID="_x0000_i1031" DrawAspect="Icon" ObjectID="_1468075725" r:id="rId9">
            <o:LockedField>false</o:LockedField>
          </o:OLEObject>
        </w:object>
      </w:r>
    </w:p>
    <w:p w14:paraId="4A02C24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firstLine="480" w:firstLineChars="200"/>
        <w:textAlignment w:val="auto"/>
      </w:pPr>
      <w:r>
        <w:t>在均匀介质条件下，建立了二维线阵超声相控阵模型。阵列由8个阵元组成，阵元间距为5个网格单元，阵元沿y方向均匀排列于x=30位置处。各阵元采用同步连续波激励方式发射1 MHz超声波。</w:t>
      </w:r>
    </w:p>
    <w:p w14:paraId="501DBE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firstLine="480" w:firstLineChars="200"/>
        <w:textAlignment w:val="auto"/>
      </w:pPr>
      <w:r>
        <w:t>仿真结果表明，多阵元同步发射后，各阵元产生的子波依据惠更斯–菲涅尔原理在传播过程中发生叠加与干涉，相较于单点源产生的圆形波前，阵列波场呈现明显方向性，并形成近似平面波主波束。</w:t>
      </w:r>
    </w:p>
    <w:p w14:paraId="0DBF8C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firstLine="480" w:firstLineChars="200"/>
        <w:textAlignment w:val="auto"/>
      </w:pPr>
      <w:r>
        <w:t>动态传播结果进一步验证了阵列波束形成机制，说明多阵元结构能够有效增强超声波定向传播能力，为后续相控阵聚焦与波束扫描研究奠定基础。</w:t>
      </w:r>
    </w:p>
    <w:p w14:paraId="4365B5A9">
      <w:pPr>
        <w:numPr>
          <w:numId w:val="0"/>
        </w:numPr>
        <w:ind w:leftChars="0"/>
        <w:jc w:val="center"/>
        <w:rPr>
          <w:rFonts w:hint="eastAsia" w:eastAsiaTheme="minorEastAsia"/>
          <w:b/>
          <w:bCs/>
          <w:sz w:val="24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860B37"/>
    <w:multiLevelType w:val="singleLevel"/>
    <w:tmpl w:val="17860B3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6203A7"/>
    <w:rsid w:val="366203A7"/>
    <w:rsid w:val="44AD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2026-05-25T02:35:00Z</dcterms:created>
  <dc:creator>琼羽</dc:creator>
  <cp:lastModifiedBy>琼羽</cp:lastModifiedBy>
  <dcterms:modified xsi:type="dcterms:W3CDTF">2026-05-25T09:23:26Z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D82C6A9714EA4BF7AE5BC4AB2CD680F8_11</vt:lpwstr>
  </property>
  <property fmtid="{D5CDD505-2E9C-101B-9397-08002B2CF9AE}" pid="4" name="KSOTemplateDocerSaveRecord">
    <vt:lpwstr>eyJoZGlkIjoiNjQ0YWRjZDY4ZjE5MmZkNWJkMGY3YTQ0NTU3OTE4NGYiLCJ1c2VySWQiOiIxMjIzNTAyMTI4In0=</vt:lpwstr>
  </property>
</Properties>
</file>