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Case Assignment — Aldi and the Hard-Discounters' March Across America</w:t>
      </w:r>
    </w:p>
    <w:p>
      <w:r>
        <w:rPr>
          <w:i/>
        </w:rPr>
        <w:t>IBM4212 / GBA6520 — Marketing Problems</w:t>
      </w:r>
    </w:p>
    <w:p>
      <w:r>
        <w:t>Instructor: Prof. Lin</w:t>
      </w:r>
    </w:p>
    <w:tbl>
      <w:tblPr>
        <w:tblStyle w:val="TableGrid"/>
        <w:tblW w:type="auto" w:w="0"/>
        <w:tblLook w:firstColumn="1" w:firstRow="1" w:lastColumn="0" w:lastRow="0" w:noHBand="0" w:noVBand="1" w:val="04A0"/>
      </w:tblPr>
      <w:tblGrid>
        <w:gridCol w:w="4320"/>
        <w:gridCol w:w="4320"/>
      </w:tblGrid>
      <w:tr>
        <w:tc>
          <w:tcPr>
            <w:tcW w:type="dxa" w:w="2016"/>
          </w:tcPr>
          <w:p>
            <w:r/>
            <w:r>
              <w:rPr>
                <w:b/>
              </w:rPr>
              <w:t>Points</w:t>
            </w:r>
          </w:p>
        </w:tc>
        <w:tc>
          <w:tcPr>
            <w:tcW w:type="dxa" w:w="4320"/>
          </w:tcPr>
          <w:p>
            <w:r>
              <w:t>10 Canvas points (graded out of 50 raw: 4 questions × 10 + AI reflection × 10)</w:t>
            </w:r>
          </w:p>
        </w:tc>
      </w:tr>
      <w:tr>
        <w:tc>
          <w:tcPr>
            <w:tcW w:type="dxa" w:w="2016"/>
          </w:tcPr>
          <w:p>
            <w:r/>
            <w:r>
              <w:rPr>
                <w:b/>
              </w:rPr>
              <w:t>Due</w:t>
            </w:r>
          </w:p>
        </w:tc>
        <w:tc>
          <w:tcPr>
            <w:tcW w:type="dxa" w:w="4320"/>
          </w:tcPr>
          <w:p>
            <w:r>
              <w:t>See Canvas</w:t>
            </w:r>
          </w:p>
        </w:tc>
      </w:tr>
      <w:tr>
        <w:tc>
          <w:tcPr>
            <w:tcW w:type="dxa" w:w="2016"/>
          </w:tcPr>
          <w:p>
            <w:r/>
            <w:r>
              <w:rPr>
                <w:b/>
              </w:rPr>
              <w:t>Work</w:t>
            </w:r>
          </w:p>
        </w:tc>
        <w:tc>
          <w:tcPr>
            <w:tcW w:type="dxa" w:w="4320"/>
          </w:tcPr>
          <w:p>
            <w:r>
              <w:t>Individual</w:t>
            </w:r>
          </w:p>
        </w:tc>
      </w:tr>
      <w:tr>
        <w:tc>
          <w:tcPr>
            <w:tcW w:type="dxa" w:w="2016"/>
          </w:tcPr>
          <w:p>
            <w:r/>
            <w:r>
              <w:rPr>
                <w:b/>
              </w:rPr>
              <w:t>Submit</w:t>
            </w:r>
          </w:p>
        </w:tc>
        <w:tc>
          <w:tcPr>
            <w:tcW w:type="dxa" w:w="4320"/>
          </w:tcPr>
          <w:p>
            <w:r>
              <w:t>Fill this document and upload it to Canvas as a Word file (.docx) — not a PDF. Feedback comes back as margin comments on your own document.</w:t>
            </w:r>
          </w:p>
        </w:tc>
      </w:tr>
    </w:tbl>
    <w:p/>
    <w:p>
      <w:pPr>
        <w:pStyle w:val="Heading1"/>
      </w:pPr>
      <w:r>
        <w:t>The gist</w:t>
      </w:r>
    </w:p>
    <w:p>
      <w:r>
        <w:t>Aldi has quietly become the most feared grocer in America by doing less, deliberately — fewer SKUs, private labels, brutal cost discipline. You are the industry analyst: map the competitive structure of U.S. grocery retailing, explain why Aldi keeps winning, decide whether its advantage is actually sustainable, and advise both Aldi and its rivals on what to do next.</w:t>
      </w:r>
    </w:p>
    <w:p>
      <w:r>
        <w:rPr>
          <w:b/>
        </w:rPr>
        <w:t xml:space="preserve">Where to find the case: </w:t>
      </w:r>
      <w:r>
        <w:t>The Aldi case PDF can be accessed on Canvas → Instant Access Complete (export as PDF if needed).</w:t>
      </w:r>
    </w:p>
    <w:p>
      <w:pPr>
        <w:pStyle w:val="Heading1"/>
      </w:pPr>
      <w:r>
        <w:t>How you'll be graded</w:t>
      </w:r>
    </w:p>
    <w:p>
      <w:r>
        <w:t>Every question is scored on the same five criteria. The same rubric applies to every case this term — internalize it once.</w:t>
      </w:r>
    </w:p>
    <w:p>
      <w:r>
        <w:t>This case uses the three-box format: for each question, Box B (your final answer) is graded for content; Boxes A and C are graded on the human-first-process criterion. The goal is for you to SEE where AI elevates your case work — and where it doesn't.</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rPr>
              <w:t>Criterion</w:t>
            </w:r>
          </w:p>
        </w:tc>
        <w:tc>
          <w:tcPr>
            <w:tcW w:type="dxa" w:w="1008"/>
          </w:tcPr>
          <w:p>
            <w:r/>
            <w:r>
              <w:rPr>
                <w:b/>
              </w:rPr>
              <w:t>Weight</w:t>
            </w:r>
          </w:p>
        </w:tc>
        <w:tc>
          <w:tcPr>
            <w:tcW w:type="dxa" w:w="2880"/>
          </w:tcPr>
          <w:p>
            <w:r/>
            <w:r>
              <w:rPr>
                <w:b/>
              </w:rPr>
              <w:t>Strong work looks like</w:t>
            </w:r>
          </w:p>
        </w:tc>
      </w:tr>
      <w:tr>
        <w:tc>
          <w:tcPr>
            <w:tcW w:type="dxa" w:w="2448"/>
          </w:tcPr>
          <w:p>
            <w:r>
              <w:t>Dilemma / strategic issue framing</w:t>
            </w:r>
          </w:p>
        </w:tc>
        <w:tc>
          <w:tcPr>
            <w:tcW w:type="dxa" w:w="1008"/>
          </w:tcPr>
          <w:p>
            <w:r>
              <w:t>10%</w:t>
            </w:r>
          </w:p>
        </w:tc>
        <w:tc>
          <w:tcPr>
            <w:tcW w:type="dxa" w:w="2880"/>
          </w:tcPr>
          <w:p>
            <w:r>
              <w:t>Names the central decision or tension the question turns on — not a case summary.</w:t>
            </w:r>
          </w:p>
        </w:tc>
      </w:tr>
      <w:tr>
        <w:tc>
          <w:tcPr>
            <w:tcW w:type="dxa" w:w="2448"/>
          </w:tcPr>
          <w:p>
            <w:r>
              <w:t>Position &amp; depth of analysis</w:t>
            </w:r>
          </w:p>
        </w:tc>
        <w:tc>
          <w:tcPr>
            <w:tcW w:type="dxa" w:w="1008"/>
          </w:tcPr>
          <w:p>
            <w:r>
              <w:t>30%</w:t>
            </w:r>
          </w:p>
        </w:tc>
        <w:tc>
          <w:tcPr>
            <w:tcW w:type="dxa" w:w="2880"/>
          </w:tcPr>
          <w:p>
            <w:r>
              <w:t>A clear position or recommendation stated early, then defended: reasoning, trade-offs weighed honestly, implications drawn. Goes beyond description.</w:t>
            </w:r>
          </w:p>
        </w:tc>
      </w:tr>
      <w:tr>
        <w:tc>
          <w:tcPr>
            <w:tcW w:type="dxa" w:w="2448"/>
          </w:tcPr>
          <w:p>
            <w:r>
              <w:t>Course concepts applied accurately</w:t>
            </w:r>
          </w:p>
        </w:tc>
        <w:tc>
          <w:tcPr>
            <w:tcW w:type="dxa" w:w="1008"/>
          </w:tcPr>
          <w:p>
            <w:r>
              <w:t>20%</w:t>
            </w:r>
          </w:p>
        </w:tc>
        <w:tc>
          <w:tcPr>
            <w:tcW w:type="dxa" w:w="2880"/>
          </w:tcPr>
          <w:p>
            <w:r>
              <w:t>Relevant frameworks and class concepts (e.g., positioning template, STP, razor-and-blade, ERP, Rogers' five factors) used correctly and meaningfully — named AND applied, not name-dropped.</w:t>
            </w:r>
          </w:p>
        </w:tc>
      </w:tr>
      <w:tr>
        <w:tc>
          <w:tcPr>
            <w:tcW w:type="dxa" w:w="2448"/>
          </w:tcPr>
          <w:p>
            <w:r>
              <w:t>Case evidence discipline</w:t>
            </w:r>
          </w:p>
        </w:tc>
        <w:tc>
          <w:tcPr>
            <w:tcW w:type="dxa" w:w="1008"/>
          </w:tcPr>
          <w:p>
            <w:r>
              <w:t>20%</w:t>
            </w:r>
          </w:p>
        </w:tc>
        <w:tc>
          <w:tcPr>
            <w:tcW w:type="dxa" w:w="2880"/>
          </w:tcPr>
          <w:p>
            <w:r>
              <w:t>Specific case facts, numbers, and examples with page cites support every claim. Quantitative questions require actual numbers — reasoning without computation caps this criterion at half.</w:t>
            </w:r>
          </w:p>
        </w:tc>
      </w:tr>
      <w:tr>
        <w:tc>
          <w:tcPr>
            <w:tcW w:type="dxa" w:w="2448"/>
          </w:tcPr>
          <w:p>
            <w:r>
              <w:t>Human-first process &amp; AI leverage</w:t>
            </w:r>
          </w:p>
        </w:tc>
        <w:tc>
          <w:tcPr>
            <w:tcW w:type="dxa" w:w="1008"/>
          </w:tcPr>
          <w:p>
            <w:r>
              <w:t>20%</w:t>
            </w:r>
          </w:p>
        </w:tc>
        <w:tc>
          <w:tcPr>
            <w:tcW w:type="dxa" w:w="2880"/>
          </w:tcPr>
          <w:p>
            <w:r>
              <w:t>Honest first take (Box A) written before AI; at least 3 substantive exchanges per question visibly linked to specific improvements (stating the assignment question to set the agenda is fine — it just doesn't count as one); at least one rejected AI suggestion with a reason (Box C); working transcript link.</w:t>
            </w:r>
          </w:p>
        </w:tc>
      </w:tr>
    </w:tbl>
    <w:p/>
    <w:p>
      <w:pPr>
        <w:pStyle w:val="Heading1"/>
      </w:pPr>
      <w:r>
        <w:t>Your AI tutoring session — voice mode (recommended)</w:t>
      </w:r>
    </w:p>
    <w:p>
      <w:r>
        <w:t>Work with AI by TALKING, not pasting. Voice tutoring is more natural, forces you to reason out loud, and your spoken transcript is your integrity record.</w:t>
      </w:r>
    </w:p>
    <w:p>
      <w:pPr>
        <w:pStyle w:val="ListNumber"/>
      </w:pPr>
      <w:r>
        <w:t>Open ChatGPT and start a voice session: click the voice button — the black waveform icon at the right end of the message bar (see picture below).</w:t>
      </w:r>
    </w:p>
    <w:p>
      <w:pPr>
        <w:pStyle w:val="ListNumber"/>
      </w:pPr>
      <w:r>
        <w:t>Upload the case PDF using the + button at the left end of the message bar.</w:t>
      </w:r>
    </w:p>
    <w:p>
      <w:pPr>
        <w:pStyle w:val="ListNumber"/>
      </w:pPr>
      <w:r>
        <w:t>Paste the starter prompt below and hit enter.</w:t>
      </w:r>
    </w:p>
    <w:p>
      <w:pPr>
        <w:pStyle w:val="ListNumber"/>
      </w:pPr>
      <w:r>
        <w:t>Talk it through. The tutor will quiz you on the case first. Then bring your homework questions ONE AT A TIME, word for word, and state your first take (your Box A) before asking for help.</w:t>
      </w:r>
    </w:p>
    <w:p>
      <w:pPr>
        <w:pStyle w:val="ListNumber"/>
      </w:pPr>
      <w:r>
        <w:t>Know when to stop. A tutor will push forever — that is not a signal your answer is bad. After 2–3 rounds on a question, decide it is good enough, write Box B, and move on. "Defended and good enough" is YOUR judgment call, and making it is part of what is graded.</w:t>
      </w:r>
    </w:p>
    <w:p>
      <w:pPr>
        <w:pStyle w:val="ListNumber"/>
      </w:pPr>
      <w:r>
        <w:t>For the quantitative question, do the actual calculations by typing in the same conversation — voice is for reasoning and assumptions, not for building tables.</w:t>
      </w:r>
    </w:p>
    <w:p>
      <w:pPr>
        <w:pStyle w:val="ListNumber"/>
      </w:pPr>
      <w:r>
        <w:t>When you finish, copy the WHOLE conversation into a Google Doc, set it to "Anyone with the link" (Viewer), and paste that link in the Transcript link field at the end of this document. Do NOT paste a chatgpt.com/c/ conversation URL (private — the grader cannot open it), a OneDrive link (needs a login), or a summary — the full conversation is what is graded. Test the link in a private browser window. Don't fish for answers — it shows in the transcript and scores against the process criterion.</w:t>
      </w:r>
    </w:p>
    <w:p>
      <w:r>
        <w:drawing>
          <wp:inline xmlns:a="http://schemas.openxmlformats.org/drawingml/2006/main" xmlns:pic="http://schemas.openxmlformats.org/drawingml/2006/picture">
            <wp:extent cx="5303520" cy="2787564"/>
            <wp:docPr id="1" name="Picture 1"/>
            <wp:cNvGraphicFramePr>
              <a:graphicFrameLocks noChangeAspect="1"/>
            </wp:cNvGraphicFramePr>
            <a:graphic>
              <a:graphicData uri="http://schemas.openxmlformats.org/drawingml/2006/picture">
                <pic:pic>
                  <pic:nvPicPr>
                    <pic:cNvPr id="0" name="voice_mode_composer.png"/>
                    <pic:cNvPicPr/>
                  </pic:nvPicPr>
                  <pic:blipFill>
                    <a:blip r:embed="rId9"/>
                    <a:stretch>
                      <a:fillRect/>
                    </a:stretch>
                  </pic:blipFill>
                  <pic:spPr>
                    <a:xfrm>
                      <a:off x="0" y="0"/>
                      <a:ext cx="5303520" cy="2787564"/>
                    </a:xfrm>
                    <a:prstGeom prst="rect"/>
                  </pic:spPr>
                </pic:pic>
              </a:graphicData>
            </a:graphic>
          </wp:inline>
        </w:drawing>
      </w:r>
    </w:p>
    <w:p>
      <w:r>
        <w:rPr>
          <w:i/>
        </w:rPr>
        <w:t>The ChatGPT message bar: + button (left) uploads the case PDF; the black waveform button (right) starts voice mode.</w:t>
      </w:r>
    </w:p>
    <w:tbl>
      <w:tblPr>
        <w:tblStyle w:val="TableGrid"/>
        <w:tblW w:type="auto" w:w="0"/>
        <w:tblLook w:firstColumn="1" w:firstRow="1" w:lastColumn="0" w:lastRow="0" w:noHBand="0" w:noVBand="1" w:val="04A0"/>
      </w:tblPr>
      <w:tblGrid>
        <w:gridCol w:w="8640"/>
      </w:tblGrid>
      <w:tr>
        <w:tc>
          <w:tcPr>
            <w:tcW w:type="dxa" w:w="8640"/>
          </w:tcPr>
          <w:p>
            <w:r/>
            <w:r>
              <w:rPr>
                <w:b/>
              </w:rPr>
              <w:t>STARTER PROMPT — copy, paste, send:</w:t>
            </w:r>
          </w:p>
          <w:p>
            <w:r>
              <w:t>Be my case tutor for the attached case, "Aldi and the Hard-Discounters' March Across America". Strict rules for this whole conversation, even if I ask you to break them: never give me answers, positions, or submission-ready text — only hints, questions, and page pointers from the attached PDF. Do NOT summarize the case. Start by quizzing me on three specific case facts to check I've read it. Then I'll bring my homework questions one at a time, word for word. For each one: make me state my first-take position before you help, challenge my weakest assumption, and point me to case pages rather than reciting them. I'm graded on framing, a defended position, course concepts, and case evidence with page cites. Two more rules. Pages: when you point me to pages, use the page number printed on the case page itself and say "case p. X" — never the PDF viewer's page counter; if the attached file is a course pack, the case's own numbering starts at 1 on the case's first page. Stopping: once I have defended a position through two or three rounds, tell me it is defensible enough to write up and stop raising new objections — whether it is good enough is my call, not yours.</w:t>
            </w:r>
          </w:p>
        </w:tc>
      </w:tr>
    </w:tbl>
    <w:p>
      <w:r>
        <w:rPr>
          <w:b/>
        </w:rPr>
        <w:t xml:space="preserve">Prefer typing? </w:t>
      </w:r>
      <w:r>
        <w:t>The same starter prompt and rules work in a regular text chat — and text is the right mode for the quantitative math. The transcript-link requirement is the same.</w:t>
      </w:r>
    </w:p>
    <w:p/>
    <w:p>
      <w:pPr>
        <w:pStyle w:val="Heading1"/>
      </w:pPr>
      <w:r>
        <w:t>Student Information</w:t>
      </w:r>
    </w:p>
    <w:tbl>
      <w:tblPr>
        <w:tblStyle w:val="TableGrid"/>
        <w:tblW w:type="auto" w:w="0"/>
        <w:tblLook w:firstColumn="1" w:firstRow="1" w:lastColumn="0" w:lastRow="0" w:noHBand="0" w:noVBand="1" w:val="04A0"/>
      </w:tblPr>
      <w:tblGrid>
        <w:gridCol w:w="4320"/>
        <w:gridCol w:w="4320"/>
      </w:tblGrid>
      <w:tr>
        <w:tc>
          <w:tcPr>
            <w:tcW w:type="dxa" w:w="2016"/>
          </w:tcPr>
          <w:p>
            <w:r/>
            <w:r>
              <w:rPr>
                <w:b/>
              </w:rPr>
              <w:t>Name *</w:t>
            </w:r>
          </w:p>
        </w:tc>
        <w:tc>
          <w:tcPr>
            <w:tcW w:type="dxa" w:w="4320"/>
          </w:tcPr>
          <w:p>
            <w:r>
              <w:t>First name, Last name</w:t>
            </w:r>
          </w:p>
        </w:tc>
      </w:tr>
      <w:tr>
        <w:tc>
          <w:tcPr>
            <w:tcW w:type="dxa" w:w="2016"/>
          </w:tcPr>
          <w:p>
            <w:r/>
            <w:r>
              <w:rPr>
                <w:b/>
              </w:rPr>
              <w:t>CPP Email *</w:t>
            </w:r>
          </w:p>
        </w:tc>
        <w:tc>
          <w:tcPr>
            <w:tcW w:type="dxa" w:w="4320"/>
          </w:tcPr>
          <w:p>
            <w:r/>
          </w:p>
        </w:tc>
      </w:tr>
      <w:tr>
        <w:tc>
          <w:tcPr>
            <w:tcW w:type="dxa" w:w="2016"/>
          </w:tcPr>
          <w:p>
            <w:r/>
            <w:r>
              <w:rPr>
                <w:b/>
              </w:rPr>
              <w:t>Class section *</w:t>
            </w:r>
          </w:p>
        </w:tc>
        <w:tc>
          <w:tcPr>
            <w:tcW w:type="dxa" w:w="4320"/>
          </w:tcPr>
          <w:p>
            <w:r>
              <w:t>GBA6520.XX or IBM4212.XX</w:t>
            </w:r>
          </w:p>
        </w:tc>
      </w:tr>
    </w:tbl>
    <w:p/>
    <w:p>
      <w:pPr>
        <w:pStyle w:val="Heading1"/>
      </w:pPr>
      <w:r>
        <w:t>Case Questions</w:t>
      </w:r>
    </w:p>
    <w:p>
      <w:r>
        <w:t>For each question, work the three boxes IN ORDER: write Box A before any AI touches the question; then use AI to build your final answer in Box B; then document what changed in Box C.</w:t>
      </w:r>
    </w:p>
    <w:p>
      <w:pPr>
        <w:pStyle w:val="Heading2"/>
      </w:pPr>
      <w:r>
        <w:t>Question 1</w:t>
      </w:r>
    </w:p>
    <w:p>
      <w:r>
        <w:rPr>
          <w:b/>
        </w:rPr>
        <w:t>How would you describe the competitive structure of the U.S. grocery retailing industry? What are the key forces driving the competitiveness of the industry? What major changes can one envisage looking ahead to the future?</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2</w:t>
      </w:r>
    </w:p>
    <w:p>
      <w:r>
        <w:rPr>
          <w:b/>
        </w:rPr>
        <w:t>Why has Aldi emerged as a leader among hard-discounters in the grocery business? What are the roots of its competitive advantage? How has Aldi deployed its resources to secure competitive advantage in the industry?</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3</w:t>
      </w:r>
    </w:p>
    <w:p>
      <w:r>
        <w:rPr>
          <w:b/>
        </w:rPr>
        <w:t>Does Aldi have any sustainable competitive advantages (i.e., SCAs)?</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4</w:t>
      </w:r>
    </w:p>
    <w:p>
      <w:r>
        <w:rPr>
          <w:b/>
        </w:rPr>
        <w:t>As Aldi looks ahead to a future where its peers are nipping at its heels, what changes would you suggest that Aldi make in retaining its position as a leader? How can its peers compete against Aldi? What are the chinks in Aldi's armor that competitors can take advantage of?</w:t>
      </w:r>
    </w:p>
    <w:p>
      <w:r>
        <w:rPr>
          <w:b/>
        </w:rPr>
        <w:t xml:space="preserve">Heads-up: </w:t>
      </w:r>
      <w:r>
        <w:t>Answer all three sub-questions: changes for Aldi, how peers can compete, and the chinks in Aldi's armor. This was the lowest-scoring question in a prior cohort — mostly from answering only one part.</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1"/>
      </w:pPr>
      <w:r>
        <w:t>AI Usage Reflection</w:t>
      </w:r>
    </w:p>
    <w:p>
      <w:r>
        <w:t>Your per-question prompts and improvements live in the Box C delta logs above. Close out with the overall picture:</w:t>
      </w:r>
    </w:p>
    <w:p>
      <w:pPr>
        <w:pStyle w:val="Heading2"/>
      </w:pPr>
      <w:r>
        <w:t>Overall synthesis</w:t>
      </w:r>
    </w:p>
    <w:p>
      <w:r>
        <w:rPr>
          <w:i/>
        </w:rPr>
        <w:t>100–250 words, looking across ALL your delta logs: where did AI most elevate your case work; where did it add least (or mislead you); where did YOU decide an answer was good enough and stop, and why; and what will you do differently on the next case?</w:t>
      </w:r>
    </w:p>
    <w:tbl>
      <w:tblPr>
        <w:tblStyle w:val="TableGrid"/>
        <w:tblW w:type="auto" w:w="0"/>
        <w:tblLook w:firstColumn="1" w:firstRow="1" w:lastColumn="0" w:lastRow="0" w:noHBand="0" w:noVBand="1" w:val="04A0"/>
      </w:tblPr>
      <w:tblGrid>
        <w:gridCol w:w="8640"/>
      </w:tblGrid>
      <w:tr>
        <w:tc>
          <w:tcPr>
            <w:tcW w:type="dxa" w:w="8640"/>
          </w:tcPr>
          <w:p>
            <w:r/>
            <w:r>
              <w:rPr>
                <w:b/>
              </w:rPr>
              <w:t>Your synthesis:</w:t>
            </w:r>
          </w:p>
          <w:p>
            <w:r>
              <w:t xml:space="preserve"> </w:t>
            </w:r>
          </w:p>
          <w:p>
            <w:r>
              <w:t xml:space="preserve"> </w:t>
            </w:r>
          </w:p>
          <w:p>
            <w:r>
              <w:t xml:space="preserve"> </w:t>
            </w:r>
          </w:p>
          <w:p>
            <w:r>
              <w:t xml:space="preserve"> </w:t>
            </w:r>
          </w:p>
          <w:p>
            <w:r>
              <w:t xml:space="preserve"> </w:t>
            </w:r>
          </w:p>
          <w:p>
            <w:r>
              <w:t xml:space="preserve"> </w:t>
            </w:r>
          </w:p>
        </w:tc>
      </w:tr>
    </w:tbl>
    <w:p>
      <w:pPr>
        <w:pStyle w:val="Heading2"/>
      </w:pPr>
      <w:r>
        <w:t>Transcript link</w:t>
      </w:r>
    </w:p>
    <w:p>
      <w:r>
        <w:rPr>
          <w:i/>
        </w:rPr>
        <w:t>Paste the link to a Google Doc containing the WHOLE conversation, shared as "Anyone with the link" (Viewer) — not the transcript text, not a summary, not a chatgpt.com/c/ URL, not a login-gated OneDrive link. A link the grader cannot open counts as no link.</w:t>
      </w:r>
    </w:p>
    <w:tbl>
      <w:tblPr>
        <w:tblStyle w:val="TableGrid"/>
        <w:tblW w:type="auto" w:w="0"/>
        <w:tblLook w:firstColumn="1" w:firstRow="1" w:lastColumn="0" w:lastRow="0" w:noHBand="0" w:noVBand="1" w:val="04A0"/>
      </w:tblPr>
      <w:tblGrid>
        <w:gridCol w:w="4320"/>
        <w:gridCol w:w="4320"/>
      </w:tblGrid>
      <w:tr>
        <w:tc>
          <w:tcPr>
            <w:tcW w:type="dxa" w:w="2016"/>
          </w:tcPr>
          <w:p>
            <w:r/>
            <w:r>
              <w:rPr>
                <w:b/>
              </w:rPr>
              <w:t>Transcript URL</w:t>
            </w:r>
          </w:p>
        </w:tc>
        <w:tc>
          <w:tcPr>
            <w:tcW w:type="dxa" w:w="4320"/>
          </w:tcPr>
          <w:p>
            <w:r>
              <w:t>https://...</w:t>
            </w:r>
          </w:p>
        </w:tc>
      </w:tr>
    </w:tbl>
    <w:p>
      <w:r>
        <w:br w:type="page"/>
      </w:r>
    </w:p>
    <w:p>
      <w:pPr>
        <w:pStyle w:val="Heading1"/>
      </w:pPr>
      <w:r>
        <w:t>Style Guide — formatting reference (not a separate deliverable)</w:t>
      </w:r>
    </w:p>
    <w:p>
      <w:r>
        <w:t>This page is a reference, not something extra to write or submit: this one Word document, exported to PDF, is your entire submission. The submission is evaluated on content (per the rubric above) and on report-style professionalism — aim for the standard you would deliver to a client or executive reader.</w:t>
      </w:r>
    </w:p>
    <w:p>
      <w:pPr>
        <w:pStyle w:val="ListBullet"/>
      </w:pPr>
      <w:r>
        <w:t>Font: Calibri 11pt or Times New Roman 12pt; 1-inch margins; single or 1.15 spacing.</w:t>
      </w:r>
    </w:p>
    <w:p>
      <w:pPr>
        <w:pStyle w:val="ListBullet"/>
      </w:pPr>
      <w:r>
        <w:t>Tables and figures: number and caption every one (e.g., "Table 1. Kindle Fire 3-year revenue model"); reference each in the body text.</w:t>
      </w:r>
    </w:p>
    <w:p>
      <w:pPr>
        <w:pStyle w:val="ListBullet"/>
      </w:pPr>
      <w:r>
        <w:t>Citations: use the page number printed on the case page, in parentheses (e.g., "sold at cost (case p. 13)"). If your tutor gave course-pack or PDF-viewer pages, convert them before submitting.</w:t>
      </w:r>
    </w:p>
    <w:p>
      <w:pPr>
        <w:pStyle w:val="ListBullet"/>
      </w:pPr>
      <w:r>
        <w:t>Tone: professional, concise, evidence-led. Avoid first-person colloquialisms ("I think", "in my opinion").</w:t>
      </w:r>
    </w:p>
    <w:p>
      <w:pPr>
        <w:pStyle w:val="ListBullet"/>
      </w:pPr>
      <w:r>
        <w:t>Numbers: include units, percentages, and time ranges; round consistently.</w:t>
      </w:r>
    </w:p>
    <w:p>
      <w:pPr>
        <w:pStyle w:val="ListBullet"/>
      </w:pPr>
      <w:r>
        <w:t>AI content: paraphrase and verify against the case PDF. Do not paste raw AI output.</w:t>
      </w:r>
    </w:p>
    <w:p>
      <w:pPr>
        <w:pStyle w:val="ListBullet"/>
      </w:pPr>
      <w:r>
        <w:t>Final check: spell-check, make sure the transcript link is a real hyperlink, and upload the .docx itself (do not export to PDF — comments come back on your Word file).</w:t>
      </w:r>
    </w:p>
    <w:p/>
    <w:p>
      <w:r>
        <w:rPr>
          <w:i/>
        </w:rPr>
        <w:t>--- End of assignment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