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Aldi &amp; the Hard-Discounters — Case Skill Guide</w:t>
      </w:r>
    </w:p>
    <w:p>
      <w:r>
        <w:rPr>
          <w:b/>
        </w:rPr>
        <w:t>IBM4212 / GBA6520 — Marketing Problems.</w:t>
      </w:r>
      <w:r>
        <w:t xml:space="preserve"> Share with the assignment. This guide teaches you how to work the case well — it contains no answers. Companion: </w:t>
      </w:r>
      <w:r>
        <w:rPr>
          <w:rFonts w:ascii="Courier New" w:hAnsi="Courier New"/>
        </w:rPr>
        <w:t>Aldi_Hard_Discounters_Model_Answers.md</w:t>
      </w:r>
      <w:r>
        <w:t xml:space="preserve"> (released after grading).</w:t>
      </w:r>
    </w:p>
    <w:p>
      <w:r>
        <w:t>---</w:t>
      </w:r>
    </w:p>
    <w:p>
      <w:pPr>
        <w:pStyle w:val="Heading2"/>
      </w:pPr>
      <w:r>
        <w:t>1. What each question is really testing</w:t>
      </w:r>
    </w:p>
    <w:p>
      <w:r>
        <w:t>The rubric (in your assignment doc) is the same five criteria for every question. Here is what strong work looks like on THIS case — and the mistakes that actually cost points in prior cohorts.</w:t>
      </w:r>
    </w:p>
    <w:p>
      <w:pPr>
        <w:pStyle w:val="Heading3"/>
      </w:pPr>
      <w:r>
        <w:t>Question 1 — Industry structure</w:t>
      </w:r>
    </w:p>
    <w:p>
      <w:r>
        <w:rPr>
          <w:b/>
        </w:rPr>
        <w:t>Strong answers:</w:t>
      </w:r>
      <w:r>
        <w:t xml:space="preserve"> open with the paradox — fragmented (store count, p. 2) yet concentrated (top-three share, p. 2) at razor-thin margins (p. 2) — and apply Porter's Five Forces as a lens, not a checklist. They distinguish the player categories (Exhibit 2, p. 2) and ground future trends in the case's own projections: the McKinsey forecast (p. 1), online-grocery trajectory (Exhibit 6, p. 5), millennial private-label shift (p. 10).</w:t>
      </w:r>
    </w:p>
    <w:p>
      <w:r>
        <w:rPr>
          <w:b/>
        </w:rPr>
        <w:t>What costs points:</w:t>
      </w:r>
      <w:r>
        <w:t xml:space="preserve"> a book report with zero case data; jumping into Aldi's model — that's Q2, Q1 describes the playing field ALL competitors face; no framework, leaving disconnected observations; vague futures ("technology will change things") when the case hands you projections.</w:t>
      </w:r>
    </w:p>
    <w:p>
      <w:pPr>
        <w:pStyle w:val="Heading3"/>
      </w:pPr>
      <w:r>
        <w:t>Question 2 — Aldi's competitive advantage</w:t>
      </w:r>
    </w:p>
    <w:p>
      <w:r>
        <w:rPr>
          <w:b/>
        </w:rPr>
        <w:t>Strong answers:</w:t>
      </w:r>
      <w:r>
        <w:t xml:space="preserve"> quantify the magnitude — revenue per SKU (Exhibit 3, p. 3), checkout speed (pp. 7–8), skeleton staffing (pp. 8–9), store footprint (p. 7) — then explain the </w:t>
      </w:r>
      <w:r>
        <w:rPr>
          <w:i/>
        </w:rPr>
        <w:t>system</w:t>
      </w:r>
      <w:r>
        <w:t>, not the parts: limited SKUs enable display-ready pallets, which cut stocking labor, which allows a tiny crew, which funds the price gap. They trace it to the Albrecht founding culture (p. 6; Exhibit 8, p. 9) and treat the private-label engine (share + test kitchen, pp. 7–8) as both cost weapon and quality control.</w:t>
      </w:r>
    </w:p>
    <w:p>
      <w:r>
        <w:rPr>
          <w:b/>
        </w:rPr>
        <w:t>What costs points:</w:t>
      </w:r>
      <w:r>
        <w:t xml:space="preserve"> a feature sheet ("small stores, few SKUs, private labels") with no linkages — describing, not analyzing; "Aldi is efficient" with no case numbers; missing customer co-production (cart deposit, self-bagging, p. 7) as deliberate cost design; no analytical lens.</w:t>
      </w:r>
    </w:p>
    <w:p>
      <w:pPr>
        <w:pStyle w:val="Heading3"/>
      </w:pPr>
      <w:r>
        <w:t>Question 3 — Sustainable competitive advantages</w:t>
      </w:r>
    </w:p>
    <w:p>
      <w:r>
        <w:rPr>
          <w:b/>
        </w:rPr>
        <w:t>Strong answers:</w:t>
      </w:r>
      <w:r>
        <w:t xml:space="preserve"> argue </w:t>
      </w:r>
      <w:r>
        <w:rPr>
          <w:i/>
        </w:rPr>
        <w:t>sustainability</w:t>
      </w:r>
      <w:r>
        <w:t>, not advantage — that's the operative word. They run each advantage through VRIO or barriers-to-imitation, separating durable (culture, the integrated system) from fragile (loyalty that follows the price gap), and name vulnerabilities honestly: online absence (p. 1), Walmart's price creep (p. 11), upmarket drift (pp. 10–11), Lidl as cautionary tale (pp. 9–10). They engage the case's closing "beginning to atrophy?" question (p. 11).</w:t>
      </w:r>
    </w:p>
    <w:p>
      <w:r>
        <w:rPr>
          <w:b/>
        </w:rPr>
        <w:t>What costs points:</w:t>
      </w:r>
      <w:r>
        <w:t xml:space="preserve"> restating Q2 with minor rewording (the most common structural error); a one-sided "unassailable" argument; "competitors can't copy Aldi" as a claim without the </w:t>
      </w:r>
      <w:r>
        <w:rPr>
          <w:i/>
        </w:rPr>
        <w:t>why</w:t>
      </w:r>
      <w:r>
        <w:t xml:space="preserve"> (path dependence, cultural embedding, system interdependence); leaving it blank — even a partial attempt earns credit.</w:t>
      </w:r>
    </w:p>
    <w:p>
      <w:pPr>
        <w:pStyle w:val="Heading3"/>
      </w:pPr>
      <w:r>
        <w:t>Question 4 — Recommendations, competitor playbooks, chinks in the armor</w:t>
      </w:r>
    </w:p>
    <w:p>
      <w:r>
        <w:rPr>
          <w:b/>
        </w:rPr>
        <w:t>Heads-up: THREE sub-parts — changes for Aldi, how peers can compete, and the chinks in Aldi's armor. Lowest-scoring question in a prior cohort, mostly from answering only one part.</w:t>
      </w:r>
    </w:p>
    <w:p>
      <w:r>
        <w:rPr>
          <w:b/>
        </w:rPr>
        <w:t>Strong answers:</w:t>
      </w:r>
      <w:r>
        <w:t xml:space="preserve"> cover all three. Recommendations are 2–3 prioritized moves that </w:t>
      </w:r>
      <w:r>
        <w:rPr>
          <w:i/>
        </w:rPr>
        <w:t>reinforce</w:t>
      </w:r>
      <w:r>
        <w:t xml:space="preserve"> the cost model — Instacart economics (p. 11), SKU replacement not SKU inflation (Lidl as guardrail, pp. 9–10), defending the price gap (Exhibit 7, p. 7). Competitor playbooks are differentiated by type — Walmart, traditional grocers, online players each get distinct logic (pp. 5, 10). Vulnerabilities are case-cited, each tied to a realistic competitive response (pp. 1, 8, 10–11).</w:t>
      </w:r>
    </w:p>
    <w:p>
      <w:r>
        <w:rPr>
          <w:b/>
        </w:rPr>
        <w:t>What costs points:</w:t>
      </w:r>
      <w:r>
        <w:t xml:space="preserve"> answering one sub-part and skipping the rest; generic recommendations ("go digital," "cut prices") with no how or trade-off; competitors as one monolithic group; proposals that quietly break the cost model without acknowledging the tension.</w:t>
      </w:r>
    </w:p>
    <w:p>
      <w:r>
        <w:t>---</w:t>
      </w:r>
    </w:p>
    <w:p>
      <w:pPr>
        <w:pStyle w:val="Heading2"/>
      </w:pPr>
      <w:r>
        <w:t>2. Working with your AI tutor — patterns that separate strong from weak</w:t>
      </w:r>
    </w:p>
    <w:p>
      <w:r>
        <w:t>From real prior-cohort transcripts (de-identified). These are the "substantive exchanges" your AI-process log is graded on. Stating the assignment question verbatim at the start to set the agenda is fine — it just doesn't count as an exchange; what you do next is what's graded.</w:t>
      </w:r>
    </w:p>
    <w:p>
      <w:r>
        <w:rPr>
          <w:b/>
        </w:rPr>
        <w:t>The three-box format (every case since Fall 2026):</w:t>
      </w:r>
      <w:r>
        <w:t xml:space="preserve"> for each question you fill </w:t>
      </w:r>
      <w:r>
        <w:rPr>
          <w:b/>
        </w:rPr>
        <w:t>Box A</w:t>
      </w:r>
      <w:r>
        <w:t xml:space="preserve"> (your first take, before any AI — a committed position, your best case evidence, what you're unsure about; graded for honesty, not polish), </w:t>
      </w:r>
      <w:r>
        <w:rPr>
          <w:b/>
        </w:rPr>
        <w:t>Box B</w:t>
      </w:r>
      <w:r>
        <w:t xml:space="preserve"> (your final AI-assisted answer — the box graded for content), and </w:t>
      </w:r>
      <w:r>
        <w:rPr>
          <w:b/>
        </w:rPr>
        <w:t>Box C</w:t>
      </w:r>
      <w:r>
        <w:t xml:space="preserve"> (the delta log: 3+ substantive exchanges, each change from A to B tagged [evidence] [structure] [counterargument] [math check] [wording], and at least one AI suggestion you rejected, with the reason). Box A and Box C are where the process points live — an empty Box C earns no process credit even with a perfect transcript.</w:t>
      </w:r>
    </w:p>
    <w:p>
      <w:r>
        <w:rPr>
          <w:b/>
        </w:rPr>
        <w:t>Patterns that produced the best work:</w:t>
      </w:r>
    </w:p>
    <w:p>
      <w:pPr>
        <w:ind w:left="432" w:hanging="432"/>
      </w:pPr>
      <w:r>
        <w:t>1.</w:t>
        <w:tab/>
      </w:r>
      <w:r>
        <w:rPr>
          <w:b/>
        </w:rPr>
        <w:t>Position first.</w:t>
      </w:r>
      <w:r>
        <w:t xml:space="preserve"> Bring a committed take and make the tutor attack it. Arrive with no reasoning and a Socratic tutor has nothing to work with.</w:t>
      </w:r>
    </w:p>
    <w:p>
      <w:pPr>
        <w:ind w:left="432" w:hanging="432"/>
      </w:pPr>
      <w:r>
        <w:t>2.</w:t>
        <w:tab/>
      </w:r>
      <w:r>
        <w:rPr>
          <w:b/>
        </w:rPr>
        <w:t>Chain sub-questions that escalate</w:t>
      </w:r>
      <w:r>
        <w:t xml:space="preserve"> — category → leader → roots → mechanism → resources — each exchange answering the previous one's "so what?"</w:t>
      </w:r>
    </w:p>
    <w:p>
      <w:pPr>
        <w:ind w:left="432" w:hanging="432"/>
      </w:pPr>
      <w:r>
        <w:t>3.</w:t>
        <w:tab/>
      </w:r>
      <w:r>
        <w:rPr>
          <w:b/>
        </w:rPr>
        <w:t>Pre-empt the generic answer.</w:t>
      </w:r>
      <w:r>
        <w:t xml:space="preserve"> "How is this industry structurally competitive, </w:t>
      </w:r>
      <w:r>
        <w:rPr>
          <w:i/>
        </w:rPr>
        <w:t>beyond just 'many competitors'</w:t>
      </w:r>
      <w:r>
        <w:t xml:space="preserve"> — what mechanisms drive it?"</w:t>
      </w:r>
    </w:p>
    <w:p>
      <w:pPr>
        <w:ind w:left="432" w:hanging="432"/>
      </w:pPr>
      <w:r>
        <w:t>4.</w:t>
        <w:tab/>
      </w:r>
      <w:r>
        <w:rPr>
          <w:b/>
        </w:rPr>
        <w:t>Ask tension questions.</w:t>
      </w:r>
      <w:r>
        <w:t xml:space="preserve"> "Does Aldi's sustainability come from its cost advantage, or from competitors' inability to copy the system without hurting themselves?" Contradictions produce analysis; "what are Aldi's advantages?" produces a list.</w:t>
      </w:r>
    </w:p>
    <w:p>
      <w:pPr>
        <w:ind w:left="432" w:hanging="432"/>
      </w:pPr>
      <w:r>
        <w:t>5.</w:t>
        <w:tab/>
      </w:r>
      <w:r>
        <w:rPr>
          <w:b/>
        </w:rPr>
        <w:t>Escalate the instruction verb.</w:t>
      </w:r>
      <w:r>
        <w:t xml:space="preserve"> Describe → evaluate → critically analyze. "Describe" gets bullets; "critically analyze" gets reasoning and trade-offs.</w:t>
      </w:r>
    </w:p>
    <w:p>
      <w:pPr>
        <w:ind w:left="432" w:hanging="432"/>
      </w:pPr>
      <w:r>
        <w:t>6.</w:t>
        <w:tab/>
      </w:r>
      <w:r>
        <w:rPr>
          <w:b/>
        </w:rPr>
        <w:t>Catch blind spots and push back.</w:t>
      </w:r>
      <w:r>
        <w:t xml:space="preserve"> One student noticed the AI over-indexed on cost leadership and compensated in their own writing. When it recycles: "You've repeated the SKU point three times — what angle haven't you addressed?" When it rambles: "Which two matter most, and why?"</w:t>
      </w:r>
    </w:p>
    <w:p>
      <w:pPr>
        <w:ind w:left="432" w:hanging="432"/>
      </w:pPr>
      <w:r>
        <w:t>7.</w:t>
        <w:tab/>
      </w:r>
      <w:r>
        <w:rPr>
          <w:b/>
        </w:rPr>
        <w:t>Stop on your own judgment.</w:t>
      </w:r>
      <w:r>
        <w:t xml:space="preserve"> After 2–3 defended rounds, say "that's good enough — next question." The tutor's last objection is not a verdict; it will always have one more. Deciding when an answer is defended is a graded skill (your synthesis asks where you stopped and why), and the first three-box cohort's biggest time sink was waiting for the AI to be satisfied.</w:t>
      </w:r>
    </w:p>
    <w:p>
      <w:pPr>
        <w:ind w:left="432" w:hanging="432"/>
      </w:pPr>
      <w:r>
        <w:t>8.</w:t>
        <w:tab/>
      </w:r>
      <w:r>
        <w:rPr>
          <w:b/>
        </w:rPr>
        <w:t>Cite the case's printed page numbers.</w:t>
      </w:r>
      <w:r>
        <w:t xml:space="preserve"> The starter prompt tells the tutor to say "case p. X". If it drifts into course-pack or PDF-viewer pages, ask for the number printed on the case page — and write only printed numbers in Box B.</w:t>
      </w:r>
    </w:p>
    <w:p>
      <w:r>
        <w:rPr>
          <w:b/>
        </w:rPr>
        <w:t>Patterns that predicted weak work:</w:t>
      </w:r>
    </w:p>
    <w:p>
      <w:pPr>
        <w:pStyle w:val="ListBullet"/>
      </w:pPr>
      <w:r>
        <w:t>Declaring a workload split up front ("70% by you, 20% by me"). There is no contribution split to report anymore — and pre-committing the AI to the work makes you passive, plainly visible in the transcript.</w:t>
      </w:r>
    </w:p>
    <w:p>
      <w:pPr>
        <w:pStyle w:val="ListBullet"/>
      </w:pPr>
      <w:r>
        <w:t>Accepting the handed insight. Offered "the professor-level insight most students miss," one student replied "Sure" — the conclusion without the reasoning, which is the graded part. Ask instead: "What's missing from my reasoning?"</w:t>
      </w:r>
    </w:p>
    <w:p>
      <w:pPr>
        <w:pStyle w:val="ListBullet"/>
      </w:pPr>
      <w:r>
        <w:t xml:space="preserve">The proofreader loop — rounds of "is this good?" show submitting for approval, not thinking. After a flagged gap, ask </w:t>
      </w:r>
      <w:r>
        <w:rPr>
          <w:i/>
        </w:rPr>
        <w:t>why</w:t>
      </w:r>
      <w:r>
        <w:t xml:space="preserve"> ("what fails when Kroger tries to adopt Aldi's model?").</w:t>
      </w:r>
    </w:p>
    <w:p>
      <w:pPr>
        <w:pStyle w:val="ListBullet"/>
      </w:pPr>
      <w:r>
        <w:t>Pasting rough notes for the tutor to structure and polish — the AI doing the analytical work while you watch.</w:t>
      </w:r>
    </w:p>
    <w:p>
      <w:pPr>
        <w:pStyle w:val="ListBullet"/>
      </w:pPr>
      <w:r>
        <w:t>Drive-by parallel questions with no follow-up; noticing the tutor went vague or repetitive and doing nothing about it.</w:t>
      </w:r>
    </w:p>
    <w:p>
      <w:pPr>
        <w:pStyle w:val="ListBullet"/>
      </w:pPr>
      <w:r>
        <w:t>Answer-fishing ("just give me the answer") — the refusals and the fishing are both visible in the transcript, and it's graded down.</w:t>
      </w:r>
    </w:p>
    <w:p>
      <w:pPr>
        <w:pStyle w:val="ListBullet"/>
      </w:pPr>
      <w:r>
        <w:t xml:space="preserve">A transcript link the grader can't open: a private </w:t>
      </w:r>
      <w:r>
        <w:rPr>
          <w:rFonts w:ascii="Courier New" w:hAnsi="Courier New"/>
        </w:rPr>
        <w:t>chatgpt.com/c/</w:t>
      </w:r>
      <w:r>
        <w:t xml:space="preserve"> URL (ChatGPT Edu cannot share by link), a login-gated OneDrive link, or a Google Doc left on "Restricted." And a transcript that is only half there: ChatGPT loads long threads in pieces, so scroll to the very top of the chat before you select all, then paste into the Google Doc as plain text (Cmd+Shift+V / Ctrl+Shift+V). Backup: Print → Save as PDF, upload to Drive, share "Anyone with the link." Test the link in a private browser window — an unopenable or partial link is graded as no link.</w:t>
      </w:r>
    </w:p>
    <w:p>
      <w:pPr>
        <w:pStyle w:val="ListBullet"/>
      </w:pPr>
      <w:r>
        <w:t>An empty Box C with a good transcript. The process credit lives on the page: exchanges, tagged changes, and the rejected suggestion. One student did a genuine 50-turn session and earned almost nothing for it because all the delta logs were blank.</w:t>
      </w:r>
    </w:p>
    <w:p>
      <w:r>
        <w:rPr>
          <w:b/>
        </w:rPr>
        <w:t>Why this matters beyond the grade:</w:t>
      </w:r>
      <w:r>
        <w:t xml:space="preserve"> when everyone has ChatGPT, the analysis is commoditized — the differentiator is walking someone through your reasoning. "The tutor treated Aldi's advantages as independent features; I pushed it to explain how the choices interact, which moved my answer from a list of tactics to an activity system" — that's an interview answer. The exchange log is practice for it.</w:t>
      </w:r>
    </w:p>
    <w:p>
      <w:r>
        <w:t>---</w:t>
      </w:r>
    </w:p>
    <w:p>
      <w:pPr>
        <w:pStyle w:val="Heading2"/>
      </w:pPr>
      <w:r>
        <w:t>3. Case data quick index (verify everything against your own PDF)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Pages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What's there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p. 1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McKinsey survival forecast; expansion plan + Arizona delay; late online entry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pp. 2–3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Industry structure: store count, top-three concentration, margin figure, player categories (Exhibit 2), SKU explosion, good/better/best merchandising, hard-discounter share trajectory, growth rate, revenue per SKU (Exhibit 3)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pp. 4–5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Operating cost + revenue per sq ft (Exhibits 4–5); online-grocery projection (Exhibit 6); procurement's share of costs; Kroger vertical integration; data-analytics savings; post-2008 value shift; promoter-vs-detractor spending gap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p. 6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Albrecht founding story, U.S. entry, real-estate/co-location logic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pp. 7–8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The Aldi model: store footprint, SKU count, private-label share, customer survey reasons, basket price comparison (Exhibit 7), checkout speed, quarter-deposit carts, test-kitchen stats, "Aldi Finds" cadence, net/net pricing, display-ready pallets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pp. 8–9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Staffing model (headcount, cross-training, wages, hours), cultural values (Exhibit 8), NPS results, revenue growth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pp. 9–10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Competitor responses: Lidl's missteps, Kroger's Ruler Foods + automated warehouses, private-label acceptance trends, in-store experience plays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pp. 10–11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Tensions: Instacart partnership + new-customer finding, fresh/vegan expansion, national brands on shelves, Walmart price creep, Kohl's co-location, the closing "atrophy" question</w:t>
            </w:r>
          </w:p>
        </w:tc>
      </w:tr>
    </w:tbl>
    <w:p/>
    <w:p>
      <w:r>
        <w:t>The full data appendix with the specific figures is in the Model Answers companion (released after grading) — before then, finding and citing these numbers yourself is part of the graded skill.</w:t>
      </w:r>
    </w:p>
    <w:p>
      <w:r>
        <w:t>---</w:t>
      </w:r>
    </w:p>
    <w:p>
      <w:r>
        <w:rPr>
          <w:i/>
        </w:rPr>
        <w:t>SPOT policy: this is the single point of truth for Aldi &amp; Hard-Discounters case skills — semester-agnostic, updated in place only when the assignment format or rubric changes or a new durable pitfall emerges. Change log below.</w:t>
      </w:r>
    </w:p>
    <w:p>
      <w:r>
        <w:rPr>
          <w:b/>
        </w:rPr>
        <w:t>Change log:</w:t>
      </w:r>
      <w:r>
        <w:t xml:space="preserve"> 2026-08-10 — created; distilled from the S2026 Discussion Guide and the Aldi Prompting Patterns Workshop (now archived), updated for the single-box/voice-mode assignment format.</w:t>
      </w:r>
    </w:p>
    <w:p>
      <w:r>
        <w:t>2026-09-07 — three-box format rolled out to Aldi (all five cases): §2 now explains Box A/B/C, adds stop-on-your-own-judgment and printed-page-number patterns, and the unopenable-link / empty-Box-C pitfalls.</w:t>
      </w:r>
    </w:p>
    <w:p>
      <w:r>
        <w:t>2026-09-09 — transcript pitfall rewritten for long threads: scroll to top before select-all, plain-text paste, Drive-PDF backup.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