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Chunlei — Case Skill Guide</w:t>
      </w:r>
    </w:p>
    <w:p>
      <w:r>
        <w:rPr>
          <w:b/>
        </w:rPr>
        <w:t>IBM4212 / GBA6520 — Marketing Problems.</w:t>
      </w:r>
      <w:r>
        <w:t xml:space="preserve"> Share with the assignment. This guide teaches you how to work the case well — it contains no answers. Companion: </w:t>
      </w:r>
      <w:r>
        <w:rPr>
          <w:rFonts w:ascii="Courier New" w:hAnsi="Courier New"/>
        </w:rPr>
        <w:t>Chunlei_Model_Answers.md</w:t>
      </w:r>
      <w:r>
        <w:t xml:space="preserve"> (released after grading).</w:t>
      </w:r>
    </w:p>
    <w:p>
      <w:r>
        <w:t>---</w:t>
      </w:r>
    </w:p>
    <w:p>
      <w:pPr>
        <w:pStyle w:val="Heading2"/>
      </w:pPr>
      <w:r>
        <w:t>1. What each question is really testing</w:t>
      </w:r>
    </w:p>
    <w:p>
      <w:r>
        <w:t>The rubric (in your assignment doc) is the same five criteria for every question. Here is what strong work looks like on THIS case — and the mistakes that actually cost points in prior cohorts.</w:t>
      </w:r>
    </w:p>
    <w:p>
      <w:pPr>
        <w:pStyle w:val="Heading3"/>
      </w:pPr>
      <w:r>
        <w:t>Question 1 — RFO framework analysis</w:t>
      </w:r>
    </w:p>
    <w:p>
      <w:r>
        <w:rPr>
          <w:b/>
        </w:rPr>
        <w:t>Strong answers:</w:t>
      </w:r>
      <w:r>
        <w:t xml:space="preserve"> clean Resources / Forces / Observers sections dense with case-cited evidence (technology and brand on pp. 2–3, regulatory and market forces on pp. 1 and 8, stakeholders on pp. 1 and 4–6), closing with a bridge from RFO into the ERP dimensions used in Q2–Q4. They rank the observers and name the binding constraint — p. 1 tells you who holds the two-week deadline — and they flag Chunlei's resource GAPS (no U.S. distribution, no regulatory experience), because the gaps are why partners matter.</w:t>
      </w:r>
    </w:p>
    <w:p>
      <w:r>
        <w:rPr>
          <w:b/>
        </w:rPr>
        <w:t>What costs points:</w:t>
      </w:r>
      <w:r>
        <w:t xml:space="preserve"> flat category lists with no interactions and no ERP bridge; misclassifying the partner candidates as competitors, or FDI as an observer; "FDA" instead of USDA; generic claims with no case figures; misciting the revenue history (verify against Table 1, p. 13); quoted phrases that aren't actually in the case.</w:t>
      </w:r>
    </w:p>
    <w:p>
      <w:pPr>
        <w:pStyle w:val="Heading3"/>
      </w:pPr>
      <w:r>
        <w:t>Question 2 — ERP comparison of entry options</w:t>
      </w:r>
    </w:p>
    <w:p>
      <w:r>
        <w:rPr>
          <w:b/>
        </w:rPr>
        <w:t>Strong answers:</w:t>
      </w:r>
      <w:r>
        <w:t xml:space="preserve"> all FOUR options — Calmei JV, Harry &amp; David JV, Oishii JV, FDI — scored across all THREE ERP dimensions, anchored in Table 3 (savings, Chunlei share) and Table 4 (sales rates by scenario). They differentiate the partners on prominence — three different luxury tiers (pp. 4–6), only one matching Chunlei's aspiration — name dominance relationships, treat resilience as a survival threshold rather than a weighted average, and flag that Calmei is also Chunlei's only U.S. competitor (knowledge-leakage risk).</w:t>
      </w:r>
    </w:p>
    <w:p>
      <w:r>
        <w:rPr>
          <w:b/>
        </w:rPr>
        <w:t>What costs points:</w:t>
      </w:r>
      <w:r>
        <w:t xml:space="preserve"> collapsing to generic "JV vs. FDI" — skipping a partner caps the score; no case numbers on the partners; crowning the highest-savings partner without checking its sales rates and brand fit; pretending one option dominates when the case is built on the tension that none does.</w:t>
      </w:r>
    </w:p>
    <w:p>
      <w:pPr>
        <w:pStyle w:val="Heading3"/>
      </w:pPr>
      <w:r>
        <w:t>Question 3 — Quantitative scenario analysis (historically the hardest question)</w:t>
      </w:r>
    </w:p>
    <w:p>
      <w:r>
        <w:rPr>
          <w:b/>
        </w:rPr>
        <w:t>Strong answers:</w:t>
      </w:r>
      <w:r>
        <w:t xml:space="preserve"> an actual model — 4 options × 3 scenarios = 12 cells over 8 years (Years 1–4 incubation costs, no revenue; Years 5–8 operations). Categorize the assumptions into ERP first (pp. 8–9, Tables 3–4), then apply one formula consistently — production × price × sales rate × Chunlei share, with a (1 − savings) cost adjustment — report cumulative net positions per cell, and synthesize: who wins each scenario, where catastrophic loss concentrates. Label any assumption you add beyond the case.</w:t>
      </w:r>
    </w:p>
    <w:p>
      <w:r>
        <w:rPr>
          <w:b/>
        </w:rPr>
        <w:t>What costs points:</w:t>
      </w:r>
      <w:r>
        <w:t xml:space="preserve"> the #1 failure — a well-written qualitative essay with zero numbers (roughly half a prior cohort; the assignment's heads-up says it caps the evidence criterion at half); invented inputs (growth rates, CAC figures, crossover years not in the case); using the p. 8 narrative pricing instead of Table 4 (Table 4 is authoritative); forgetting Chunlei share; treating sales rate as a subtraction instead of a multiplier; ignoring the Y1–Y4 cost burden; no magnitude check — 45,000 lbs at case pricing bounds the revenue ceiling, so eight-figure annual projections mean a broken model.</w:t>
      </w:r>
    </w:p>
    <w:p>
      <w:pPr>
        <w:pStyle w:val="Heading3"/>
      </w:pPr>
      <w:r>
        <w:t>Question 4 — Strategic recommendation</w:t>
      </w:r>
    </w:p>
    <w:p>
      <w:r>
        <w:rPr>
          <w:b/>
        </w:rPr>
        <w:t>Strong answers:</w:t>
      </w:r>
      <w:r>
        <w:t xml:space="preserve"> commit in the first paragraph — one option or a phased hybrid — then defend it with the Q1 binding constraint, the Q2 ERP synthesis, and your own Q3 numbers ("X stays positive in all three scenarios while FDI goes negative in low-growth, per my model"). Reject each of the other three options explicitly with case-specific reasons, give any phased plan concrete transition triggers (sustained pricing, sell-through, proven seasons), and name what could go wrong with your own pick.</w:t>
      </w:r>
    </w:p>
    <w:p>
      <w:r>
        <w:rPr>
          <w:b/>
        </w:rPr>
        <w:t>What costs points:</w:t>
      </w:r>
      <w:r>
        <w:t xml:space="preserve"> hedged "it depends" non-answers; "balances efficiency, resilience, and prominence" with no evidence; a recommendation untethered from Q1–Q3; "a JV" without naming the partner; phased plans with no triggers; building toward one option and then picking another without reconciling the pivot.</w:t>
      </w:r>
    </w:p>
    <w:p>
      <w:r>
        <w:t>---</w:t>
      </w:r>
    </w:p>
    <w:p>
      <w:pPr>
        <w:pStyle w:val="Heading2"/>
      </w:pPr>
      <w:r>
        <w:t>2. Working with your AI tutor — patterns that separate strong from weak</w:t>
      </w:r>
    </w:p>
    <w:p>
      <w:r>
        <w:t>From real prior-cohort transcripts (de-identified). These are the substantive exchanges your reflection is graded on. Stating the assignment question verbatim to set the agenda is allowed — it just doesn't count as an exchange.</w:t>
      </w:r>
    </w:p>
    <w:p>
      <w:r>
        <w:rPr>
          <w:b/>
        </w:rPr>
        <w:t>The three-box format (every case since Fall 2026):</w:t>
      </w:r>
      <w:r>
        <w:t xml:space="preserve"> for each question you fill </w:t>
      </w:r>
      <w:r>
        <w:rPr>
          <w:b/>
        </w:rPr>
        <w:t>Box A</w:t>
      </w:r>
      <w:r>
        <w:t xml:space="preserve"> (your first take, before any AI — a committed position, your best case evidence, what you're unsure about; graded for honesty, not polish), </w:t>
      </w:r>
      <w:r>
        <w:rPr>
          <w:b/>
        </w:rPr>
        <w:t>Box B</w:t>
      </w:r>
      <w:r>
        <w:t xml:space="preserve"> (your final AI-assisted answer — the box graded for content), and </w:t>
      </w:r>
      <w:r>
        <w:rPr>
          <w:b/>
        </w:rPr>
        <w:t>Box C</w:t>
      </w:r>
      <w:r>
        <w:t xml:space="preserve"> (the delta log: 3+ substantive exchanges, each change from A to B tagged [evidence] [structure] [counterargument] [math check] [wording], and at least one AI suggestion you rejected, with the reason). Box A and Box C are where the process points live — an empty Box C earns no process credit even with a perfect transcript.</w:t>
      </w:r>
    </w:p>
    <w:p>
      <w:r>
        <w:rPr>
          <w:b/>
        </w:rPr>
        <w:t>Patterns that produced the best work:</w:t>
      </w:r>
    </w:p>
    <w:p>
      <w:pPr>
        <w:ind w:left="432" w:hanging="432"/>
      </w:pPr>
      <w:r>
        <w:t>1.</w:t>
        <w:tab/>
      </w:r>
      <w:r>
        <w:rPr>
          <w:b/>
        </w:rPr>
        <w:t>Constraint first.</w:t>
      </w:r>
      <w:r>
        <w:t xml:space="preserve"> Open with a committed position: "My thesis: the Series C investors are the binding observer — no entry mode is executable without their tranche. Stress-test that."</w:t>
      </w:r>
    </w:p>
    <w:p>
      <w:pPr>
        <w:ind w:left="432" w:hanging="432"/>
      </w:pPr>
      <w:r>
        <w:t>2.</w:t>
        <w:tab/>
      </w:r>
      <w:r>
        <w:rPr>
          <w:b/>
        </w:rPr>
        <w:t>Argue the opposite.</w:t>
      </w:r>
      <w:r>
        <w:t xml:space="preserve"> "Give me the strongest case for the option I'm leaning against." "What makes my strategy fail?" The tutor will defend whatever you propose — make it attack instead.</w:t>
      </w:r>
    </w:p>
    <w:p>
      <w:pPr>
        <w:ind w:left="432" w:hanging="432"/>
      </w:pPr>
      <w:r>
        <w:t>3.</w:t>
        <w:tab/>
      </w:r>
      <w:r>
        <w:rPr>
          <w:b/>
        </w:rPr>
        <w:t>The math-correction loop.</w:t>
      </w:r>
      <w:r>
        <w:t xml:space="preserve"> Share your projection table and ask where it breaks. One student's tutor caught a formula error; re-running all four options flipped their Q4 recommendation — the highest-value AI use in the cohort.</w:t>
      </w:r>
    </w:p>
    <w:p>
      <w:pPr>
        <w:ind w:left="432" w:hanging="432"/>
      </w:pPr>
      <w:r>
        <w:t>4.</w:t>
        <w:tab/>
      </w:r>
      <w:r>
        <w:rPr>
          <w:b/>
        </w:rPr>
        <w:t>Pre-name your framework.</w:t>
      </w:r>
      <w:r>
        <w:t xml:space="preserve"> "Score each option 1–5 per ERP dimension and identify strictly dominated options." "Treat resilience as pass/fail." This forces the tutor past its default "balance all three" mush.</w:t>
      </w:r>
    </w:p>
    <w:p>
      <w:pPr>
        <w:ind w:left="432" w:hanging="432"/>
      </w:pPr>
      <w:r>
        <w:t>5.</w:t>
        <w:tab/>
      </w:r>
      <w:r>
        <w:rPr>
          <w:b/>
        </w:rPr>
        <w:t>Demand case grounding.</w:t>
      </w:r>
      <w:r>
        <w:t xml:space="preserve"> When the tutor offers a number, ask "which table is that from?" Prior tutors confidently produced growth rates and "case quotes" that appear nowhere in the case.</w:t>
      </w:r>
    </w:p>
    <w:p>
      <w:pPr>
        <w:ind w:left="432" w:hanging="432"/>
      </w:pPr>
      <w:r>
        <w:t>6.</w:t>
        <w:tab/>
      </w:r>
      <w:r>
        <w:rPr>
          <w:b/>
        </w:rPr>
        <w:t>Feed your draft in for a rubric check</w:t>
      </w:r>
      <w:r>
        <w:t xml:space="preserve"> — after you've written it: "flag any criterion below 80% and say exactly what's missing."</w:t>
      </w:r>
    </w:p>
    <w:p>
      <w:pPr>
        <w:ind w:left="432" w:hanging="432"/>
      </w:pPr>
      <w:r>
        <w:t>7.</w:t>
        <w:tab/>
      </w:r>
      <w:r>
        <w:rPr>
          <w:b/>
        </w:rPr>
        <w:t>Stop on your own judgment.</w:t>
      </w:r>
      <w:r>
        <w:t xml:space="preserve"> After 2–3 defended rounds, say "that's good enough — next question." The tutor's last objection is not a verdict; it will always have one more. Deciding when an answer is defended is a graded skill (your synthesis asks where you stopped and why), and the first three-box cohort's biggest time sink was waiting for the AI to be satisfied.</w:t>
      </w:r>
    </w:p>
    <w:p>
      <w:pPr>
        <w:ind w:left="432" w:hanging="432"/>
      </w:pPr>
      <w:r>
        <w:t>8.</w:t>
        <w:tab/>
      </w:r>
      <w:r>
        <w:rPr>
          <w:b/>
        </w:rPr>
        <w:t>Cite the case's printed page numbers.</w:t>
      </w:r>
      <w:r>
        <w:t xml:space="preserve"> The starter prompt tells the tutor to say "case p. X". If it drifts into course-pack or PDF-viewer pages, ask for the number printed on the case page — and write only printed numbers in Box B.</w:t>
      </w:r>
    </w:p>
    <w:p>
      <w:r>
        <w:rPr>
          <w:b/>
        </w:rPr>
        <w:t>Patterns that predicted weak work:</w:t>
      </w:r>
    </w:p>
    <w:p>
      <w:pPr>
        <w:pStyle w:val="ListBullet"/>
      </w:pPr>
      <w:r>
        <w:t>Answer-fishing — the case question plus "write me 500 words." Your fishing and the tutor's compliance are both visible in the transcript, and it's graded down.</w:t>
      </w:r>
    </w:p>
    <w:p>
      <w:pPr>
        <w:pStyle w:val="ListBullet"/>
      </w:pPr>
      <w:r>
        <w:t>The same three-exchange template repeated for all four questions — the four questions demand different analytical moves.</w:t>
      </w:r>
    </w:p>
    <w:p>
      <w:pPr>
        <w:pStyle w:val="ListBullet"/>
      </w:pPr>
      <w:r>
        <w:t>Formatting-only exchanges ("make it executive-level," "count my words").</w:t>
      </w:r>
    </w:p>
    <w:p>
      <w:pPr>
        <w:pStyle w:val="ListBullet"/>
      </w:pPr>
      <w:r>
        <w:t>Bracketed AI critique left in the answer body ("[this might be overstated]") — resolve the dialogue before submitting.</w:t>
      </w:r>
    </w:p>
    <w:p>
      <w:pPr>
        <w:pStyle w:val="ListBullet"/>
      </w:pPr>
      <w:r>
        <w:t>Importing fabricated numbers or quotes. If a figure isn't in Tables 1–4 or pp. 8–9, label it as your assumption or drop it; if a phrase is in quotation marks, it must be in the case.</w:t>
      </w:r>
    </w:p>
    <w:p>
      <w:pPr>
        <w:pStyle w:val="ListBullet"/>
      </w:pPr>
      <w:r>
        <w:t>Skipping the model ("I'll work on Q3 later"), or accepting AI projections without checking magnitudes against the case's production and pricing bounds.</w:t>
      </w:r>
    </w:p>
    <w:p>
      <w:pPr>
        <w:pStyle w:val="ListBullet"/>
      </w:pPr>
      <w:r>
        <w:t xml:space="preserve">A transcript link the grader can't open: a private </w:t>
      </w:r>
      <w:r>
        <w:rPr>
          <w:rFonts w:ascii="Courier New" w:hAnsi="Courier New"/>
        </w:rPr>
        <w:t>chatgpt.com/c/</w:t>
      </w:r>
      <w:r>
        <w:t xml:space="preserve"> URL (ChatGPT Edu cannot share by link), a login-gated OneDrive link, or a Google Doc left on "Restricted." And a transcript that is only half there: ChatGPT loads long threads in pieces, so scroll to the very top of the chat before you select all, then paste into the Google Doc as plain text (Cmd+Shift+V / Ctrl+Shift+V). Backup: Print → Save as PDF, upload to Drive, share "Anyone with the link." Test the link in a private browser window — an unopenable or partial link is graded as no link.</w:t>
      </w:r>
    </w:p>
    <w:p>
      <w:pPr>
        <w:pStyle w:val="ListBullet"/>
      </w:pPr>
      <w:r>
        <w:t>An empty Box C with a good transcript. The process credit lives on the page: exchanges, tagged changes, and the rejected suggestion. One student did a genuine 50-turn session and earned almost nothing for it because all the delta logs were blank.</w:t>
      </w:r>
    </w:p>
    <w:p>
      <w:r>
        <w:rPr>
          <w:b/>
        </w:rPr>
        <w:t>Why this matters beyond the grade:</w:t>
      </w:r>
      <w:r>
        <w:t xml:space="preserve"> when everyone has ChatGPT, the output is commoditized — the differentiator is walking someone through your reasoning. "I leaned toward one partner on brand fit, but when my model showed a six-figure medium-growth gap driven purely by sales rate, I revised and made the brand-fit concession an acknowledged trade-off" — that's an interview answer. The reflection is practice for it.</w:t>
      </w:r>
    </w:p>
    <w:p>
      <w:r>
        <w:t>---</w:t>
      </w:r>
    </w:p>
    <w:p>
      <w:pPr>
        <w:pStyle w:val="Heading2"/>
      </w:pPr>
      <w:r>
        <w:t>3. Case data quick index (verify everything against your own 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Pages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What's there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p. 1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Cao's two-week Series C deadline, the JV-vs-FDI decision, exotic-fruit market growth, the acai precedent, the USDA live-plant import ban, tariffs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2–3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Cao's background; the patented greenhouse system and yield results; awards, TikTok traction, sell-out cycle; designer-fruit comparables; Calmei's U.S. price point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p. 4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The entry-mode screen — why exporting and licensing are out; Calmei as the only existing U.S. yumberry seller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4–6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Partner profiles: Calmei (capabilities, channel, customers), Harry &amp; David (parent, heritage, orchards, workforce, product benchmark), Oishii (Omakase Berry, greenhouse tech, funding, distribution)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6–7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General JV trade-offs; the FDI option — control, cost burden, risks of entering as a Chinese company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p. 8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Planning context; pricing assumptions (narrative version — superseded, see below); sales rates by partner and scenario; production volume and Year-5 harvest timing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p. 9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Cost structure: Year 1 setup, annual operating costs, partner efficiency savings, Chunlei share by option; Ventura County site logic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10–12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Exhibits 1–5 (product, greenhouse, and partner pricing images)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pp. 13–14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Tables 1–4: revenue history, production volumes, share + savings, scenarios × sales rates. </w:t>
            </w:r>
            <w:r>
              <w:rPr>
                <w:b/>
                <w:sz w:val="19"/>
              </w:rPr>
              <w:t>Table 4 supersedes the p. 8 narrative pricing — build the Q3 model on Table 4.</w:t>
            </w:r>
          </w:p>
        </w:tc>
      </w:tr>
    </w:tbl>
    <w:p/>
    <w:p>
      <w:r>
        <w:t>The full data appendix with the specific figures is in the Model Answers companion (released after grading) — before then, finding and citing these numbers yourself is part of the graded skill.</w:t>
      </w:r>
    </w:p>
    <w:p>
      <w:r>
        <w:t>---</w:t>
      </w:r>
    </w:p>
    <w:p>
      <w:r>
        <w:rPr>
          <w:i/>
        </w:rPr>
        <w:t>SPOT policy: this is the single point of truth for Chunlei case skills — semester-agnostic, updated in place only when the assignment format or rubric changes or a new durable pitfall emerges. Change log below.</w:t>
      </w:r>
    </w:p>
    <w:p>
      <w:r>
        <w:rPr>
          <w:b/>
        </w:rPr>
        <w:t>Change log:</w:t>
      </w:r>
      <w:r>
        <w:t xml:space="preserve"> 2026-08-10 — created; distilled from the S2026 Discussion Guide and the Chunlei Prompting Patterns guide (now archived), and the single-box/voice-mode assignment redesign.</w:t>
      </w:r>
    </w:p>
    <w:p>
      <w:r>
        <w:t>2026-09-07 — three-box format rolled out to Chunlei (all five cases): §2 now explains Box A/B/C, adds stop-on-your-own-judgment and printed-page-number patterns, and the unopenable-link / empty-Box-C pitfalls.</w:t>
      </w:r>
    </w:p>
    <w:p>
      <w:r>
        <w:t>2026-09-09 — transcript pitfall rewritten for long threads: scroll to top before select-all, plain-text paste, Drive-PDF backup.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