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 Armour — Case Skill Guide</w:t>
      </w:r>
    </w:p>
    <w:p>
      <w:r>
        <w:rPr>
          <w:b/>
        </w:rPr>
        <w:t>IBM4212 / GBA6520 — Marketing Problems.</w:t>
      </w:r>
      <w:r>
        <w:t xml:space="preserve"> Share with the assignment. This guide teaches you how to work the case well — it contains no answers. Companion: </w:t>
      </w:r>
      <w:r>
        <w:rPr>
          <w:rFonts w:ascii="Courier New" w:hAnsi="Courier New"/>
        </w:rPr>
        <w:t>Under_Armour_Model_Answers.md</w:t>
      </w:r>
      <w:r>
        <w:t xml:space="preserve"> (released after grading).</w:t>
      </w:r>
    </w:p>
    <w:p>
      <w:r>
        <w:t>---</w:t>
      </w:r>
    </w:p>
    <w:p>
      <w:pPr>
        <w:pStyle w:val="Heading2"/>
      </w:pPr>
      <w:r>
        <w:t>1. What each question is really testing</w:t>
      </w:r>
    </w:p>
    <w:p>
      <w:r>
        <w:t>The rubric (in your assignment doc) is the same five criteria for every question. Here is what strong work looks like on THIS case — and the mistakes that actually cost points in prior cohorts.</w:t>
      </w:r>
    </w:p>
    <w:p>
      <w:pPr>
        <w:pStyle w:val="Heading3"/>
      </w:pPr>
      <w:r>
        <w:t>Question 1 — Positioning statement + drivers of early brand-building success</w:t>
      </w:r>
    </w:p>
    <w:p>
      <w:r>
        <w:rPr>
          <w:b/>
        </w:rPr>
        <w:t>Strong answers:</w:t>
      </w:r>
      <w:r>
        <w:t xml:space="preserve"> write an actual positioning statement using the class template (All Customers Differ lecture, Positioning Statement Template slide: Target → Need → Offer → Why better, functional, with evidence → Why better, emotional, with evidence → Versus a named competitor) — NOT the generic one-liner from UA's website. Name specific fabric technologies (pp. 2–3) as the reasons to believe, and use the no-patentable-IP point (p. 3) to argue that brand, not product, is the moat. Rank the drivers rather than list them — spark → accelerant → sustainer across Any Given Sunday (p. 2), licensing + the Galyan's-to-Dick's push (pp. 2, 4), Protect This House (Table 1, p. 4), later athlete signings (p. 5) — anchored in the "by athletes, for athletes" origin (p. 2).</w:t>
      </w:r>
    </w:p>
    <w:p>
      <w:r>
        <w:rPr>
          <w:b/>
        </w:rPr>
        <w:t>What costs points:</w:t>
      </w:r>
      <w:r>
        <w:t xml:space="preserve"> a narrative paragraph instead of a structured statement (this alone separated the 8s and 9s from the 6s and 7s); a target covering everyone from pros to casual exercisers; listing drivers with no cause-and-effect; skipping Any Given Sunday or Protect This House; pure functional positioning that misses the underdog/grit identity; answering only half of a two-part question.</w:t>
      </w:r>
    </w:p>
    <w:p>
      <w:pPr>
        <w:pStyle w:val="Heading3"/>
      </w:pPr>
      <w:r>
        <w:t>Question 2 — The women-targeted ads (Table 2): alignment and approaches</w:t>
      </w:r>
    </w:p>
    <w:p>
      <w:r>
        <w:rPr>
          <w:b/>
        </w:rPr>
        <w:t>Strong answers:</w:t>
      </w:r>
      <w:r>
        <w:t xml:space="preserve"> work through the full progression in Table 2 (p. 7) phase by phase — 2010, 2012, 2014, 2016 — covering the elements the question names: actors, music/tone, theme, specific target, channels. Use the "athletic but not athletes" insight (p. 6) as the pivot that explains WHY the messaging changed, and track the channel shift from sports networks to women's-lifestyle networks to digital (p. 7) as its own dimension. Evaluate alignment per campaign — preserve UA's performance DNA or drift? — with the 2003 "shrink it and pink it" failure (pp. 1, 6) as the correction the whole progression is making, and close by naming the distinct approaches.</w:t>
      </w:r>
    </w:p>
    <w:p>
      <w:r>
        <w:rPr>
          <w:b/>
        </w:rPr>
        <w:t>What costs points:</w:t>
      </w:r>
      <w:r>
        <w:t xml:space="preserve"> deep-diving only the 2014 breakthrough as if it were the whole women's effort; answering UA's general positioning instead of the women's ads (multiple prior submissions did this); missing the p. 6 insight — answers without it capped around 7/10 because they couldn't explain why UA changed course; creative analysis with no channel discussion; "UA's ads empower women" as the conclusion — true but not an argument.</w:t>
      </w:r>
    </w:p>
    <w:p>
      <w:pPr>
        <w:pStyle w:val="Heading3"/>
      </w:pPr>
      <w:r>
        <w:t>Question 3 — Ad theme going forward for the $1.9B women's goal</w:t>
      </w:r>
    </w:p>
    <w:p>
      <w:r>
        <w:rPr>
          <w:b/>
        </w:rPr>
        <w:t>Strong answers:</w:t>
      </w:r>
      <w:r>
        <w:t xml:space="preserve"> commit to ONE named theme — not "continue empowerment marketing" — and justify it against both Nike AND Lululemon (pp. 5–6), showing the lane only UA can own. Sequence the target outward from the p. 6 insight segment, and face the performance-vs-breadth trade-off (p. 8) head-on: the goal is too big for elite athletes alone, but drifting into lifestyle surrenders UA's advantage. Attach concrete execution levers — footwear/product and the NYC flagship (p. 5), Connected Fitness (pp. 5–6), the women's digital community (pp. 7–8) — with at least loose scale math connecting the goal (p. 1) to women's current share of sales (p. 6).</w:t>
      </w:r>
    </w:p>
    <w:p>
      <w:r>
        <w:rPr>
          <w:b/>
        </w:rPr>
        <w:t>What costs points:</w:t>
      </w:r>
      <w:r>
        <w:t xml:space="preserve"> an abstract recommendation with no named theme; a strategy Nike or Lululemon could run just as well; no return to the $1.9B number — the goal IS the prompt; no trade-off analysis (p. 8); no execution levers; answering Q1 or Q2 here — if the question asks for a recommendation, every paragraph should be recommending.</w:t>
      </w:r>
    </w:p>
    <w:p>
      <w:r>
        <w:t>---</w:t>
      </w:r>
    </w:p>
    <w:p>
      <w:pPr>
        <w:pStyle w:val="Heading2"/>
      </w:pPr>
      <w:r>
        <w:t>2. Working with your AI tutor — patterns that separate strong from weak</w:t>
      </w:r>
    </w:p>
    <w:p>
      <w:r>
        <w:t>From real prior-cohort transcripts (de-identified). These are the substantive exchanges your process is graded on. Stating the assignment question verbatim to set the tutor's agenda is fine — it frames the session, but it doesn't count as an exchange. The exchanges start when you take a position.</w:t>
      </w:r>
    </w:p>
    <w:p>
      <w:r>
        <w:rPr>
          <w:b/>
        </w:rPr>
        <w:t>The three-box format (every case since Fall 2026):</w:t>
      </w:r>
      <w:r>
        <w:t xml:space="preserve"> for each question you fill </w:t>
      </w:r>
      <w:r>
        <w:rPr>
          <w:b/>
        </w:rPr>
        <w:t>Box A</w:t>
      </w:r>
      <w:r>
        <w:t xml:space="preserve"> (your first take, before any AI — a committed position, your best case evidence, what you're unsure about; graded for honesty, not polish), </w:t>
      </w:r>
      <w:r>
        <w:rPr>
          <w:b/>
        </w:rPr>
        <w:t>Box B</w:t>
      </w:r>
      <w:r>
        <w:t xml:space="preserve"> (your final AI-assisted answer — the box graded for content), and </w:t>
      </w:r>
      <w:r>
        <w:rPr>
          <w:b/>
        </w:rPr>
        <w:t>Box C</w:t>
      </w:r>
      <w:r>
        <w:t xml:space="preserve"> (the delta log: 3+ substantive exchanges, each change from A to B tagged [evidence] [structure] [counterargument] [math check] [wording], and at least one AI suggestion you rejected, with the reason). Box A and Box C are where the process points live — an empty Box C earns no process credit even with a perfect transcript.</w:t>
      </w:r>
    </w:p>
    <w:p>
      <w:r>
        <w:rPr>
          <w:b/>
        </w:rPr>
        <w:t>Patterns that produced the best work:</w:t>
      </w:r>
    </w:p>
    <w:p>
      <w:pPr>
        <w:ind w:left="432" w:hanging="432"/>
      </w:pPr>
      <w:r>
        <w:t>1.</w:t>
        <w:tab/>
      </w:r>
      <w:r>
        <w:rPr>
          <w:b/>
        </w:rPr>
        <w:t>Thesis first, with your own frame.</w:t>
      </w:r>
      <w:r>
        <w:t xml:space="preserve"> The top scorer opened with a fully written positioning statement, then supplied their own frame (a spark/accelerant/sustainer ranking; a self-coined label for the decision pattern behind the 2003 failure) and made the tutor work inside it.</w:t>
      </w:r>
    </w:p>
    <w:p>
      <w:pPr>
        <w:ind w:left="432" w:hanging="432"/>
      </w:pPr>
      <w:r>
        <w:t>2.</w:t>
        <w:tab/>
      </w:r>
      <w:r>
        <w:rPr>
          <w:b/>
        </w:rPr>
        <w:t>Counterfactuals and role-play.</w:t>
      </w:r>
      <w:r>
        <w:t xml:space="preserve"> "If Nike had copied the compression product right away, could UA still have differentiated?" and "You're UA's CMO chasing $1.9B — pick a strategy" force a decision, not a both-sides summary.</w:t>
      </w:r>
    </w:p>
    <w:p>
      <w:pPr>
        <w:ind w:left="432" w:hanging="432"/>
      </w:pPr>
      <w:r>
        <w:t>3.</w:t>
        <w:tab/>
      </w:r>
      <w:r>
        <w:rPr>
          <w:b/>
        </w:rPr>
        <w:t>Force the distinction.</w:t>
      </w:r>
      <w:r>
        <w:t xml:space="preserve"> "Is the women's push a repositioning or an extension?" — making the tutor pick one gives you a position to interrogate; "describe UA's women's strategy" produces mush.</w:t>
      </w:r>
    </w:p>
    <w:p>
      <w:pPr>
        <w:ind w:left="432" w:hanging="432"/>
      </w:pPr>
      <w:r>
        <w:t>4.</w:t>
        <w:tab/>
      </w:r>
      <w:r>
        <w:rPr>
          <w:b/>
        </w:rPr>
        <w:t>Triangulate from several angles.</w:t>
      </w:r>
      <w:r>
        <w:t xml:space="preserve"> One student probed the same ad set with three hypotheses (continuity with the men's DNA; collective-to-individual shift; performance-to-empowerment shift) and let the evidence pick.</w:t>
      </w:r>
    </w:p>
    <w:p>
      <w:pPr>
        <w:ind w:left="432" w:hanging="432"/>
      </w:pPr>
      <w:r>
        <w:t>5.</w:t>
        <w:tab/>
      </w:r>
      <w:r>
        <w:rPr>
          <w:b/>
        </w:rPr>
        <w:t>Refuse the collapsed answer.</w:t>
      </w:r>
      <w:r>
        <w:t xml:space="preserve"> AI's default is to blend four distinct campaigns into one tidy "empowerment arc." Push back with the Table 2 timeline and ask which phase drifted furthest from the performance DNA.</w:t>
      </w:r>
    </w:p>
    <w:p>
      <w:pPr>
        <w:ind w:left="432" w:hanging="432"/>
      </w:pPr>
      <w:r>
        <w:t>6.</w:t>
        <w:tab/>
      </w:r>
      <w:r>
        <w:rPr>
          <w:b/>
        </w:rPr>
        <w:t>Demand case grounding.</w:t>
      </w:r>
      <w:r>
        <w:t xml:space="preserve"> When the tutor hands you a fact, ask where in the case it is — and verify the page before you use it.</w:t>
      </w:r>
    </w:p>
    <w:p>
      <w:pPr>
        <w:ind w:left="432" w:hanging="432"/>
      </w:pPr>
      <w:r>
        <w:t>7.</w:t>
        <w:tab/>
      </w:r>
      <w:r>
        <w:rPr>
          <w:b/>
        </w:rPr>
        <w:t>Stop on your own judgment.</w:t>
      </w:r>
      <w:r>
        <w:t xml:space="preserve"> After 2–3 defended rounds, say "that's good enough — next question." The tutor's last objection is not a verdict; it will always have one more. Deciding when an answer is defended is a graded skill (your synthesis asks where you stopped and why), and the first three-box cohort's biggest time sink was waiting for the AI to be satisfied.</w:t>
      </w:r>
    </w:p>
    <w:p>
      <w:pPr>
        <w:ind w:left="432" w:hanging="432"/>
      </w:pPr>
      <w:r>
        <w:t>8.</w:t>
        <w:tab/>
      </w:r>
      <w:r>
        <w:rPr>
          <w:b/>
        </w:rPr>
        <w:t>Cite the case's printed page numbers.</w:t>
      </w:r>
      <w:r>
        <w:t xml:space="preserve"> The starter prompt tells the tutor to say "case p. X". If it drifts into course-pack or PDF-viewer pages, ask for the number printed on the case page — and write only printed numbers in Box B.</w:t>
      </w:r>
    </w:p>
    <w:p>
      <w:r>
        <w:rPr>
          <w:b/>
        </w:rPr>
        <w:t>Patterns that predicted weak work:</w:t>
      </w:r>
    </w:p>
    <w:p>
      <w:pPr>
        <w:pStyle w:val="ListBullet"/>
      </w:pPr>
      <w:r>
        <w:t>Answer-fishing ("just tell me the answer," or the question restated as your only move all session). The tutor's refusals and your fishing are both visible in the transcript, and it's graded down.</w:t>
      </w:r>
    </w:p>
    <w:p>
      <w:pPr>
        <w:pStyle w:val="ListBullet"/>
      </w:pPr>
      <w:r>
        <w:t>Letting the tutor drive: "break this question down for me," then navigation-level replies ("not sure," "next question"). If AI asks all the questions, there's no evidence you did the thinking.</w:t>
      </w:r>
    </w:p>
    <w:p>
      <w:pPr>
        <w:pStyle w:val="ListBullet"/>
      </w:pPr>
      <w:r>
        <w:t>The same routine on every question — draft, "is this good?", accept the tweaks. Identical process three times reads as no real iteration anywhere.</w:t>
      </w:r>
    </w:p>
    <w:p>
      <w:pPr>
        <w:pStyle w:val="ListBullet"/>
      </w:pPr>
      <w:r>
        <w:t>Grammar-only sessions. Legitimate as a secondary tool; scores nothing as your documented AI process.</w:t>
      </w:r>
    </w:p>
    <w:p>
      <w:pPr>
        <w:pStyle w:val="ListBullet"/>
      </w:pPr>
      <w:r>
        <w:t>Accepting the tidy default. "Just do empowerment marketing" collapses the case's core contradiction — a narrow performance brand that must scale far past its core. Sharpen that tension; don't let AI dissolve it.</w:t>
      </w:r>
    </w:p>
    <w:p>
      <w:pPr>
        <w:pStyle w:val="ListBullet"/>
      </w:pPr>
      <w:r>
        <w:t xml:space="preserve">A transcript link the grader can't open: a private </w:t>
      </w:r>
      <w:r>
        <w:rPr>
          <w:rFonts w:ascii="Courier New" w:hAnsi="Courier New"/>
        </w:rPr>
        <w:t>chatgpt.com/c/</w:t>
      </w:r>
      <w:r>
        <w:t xml:space="preserve"> URL (ChatGPT Edu cannot share by link), a login-gated OneDrive link, or a Google Doc left on "Restricted." And a transcript that is only half there: ChatGPT loads long threads in pieces, so scroll to the very top of the chat before you select all, then paste into the Google Doc as plain text (Cmd+Shift+V / Ctrl+Shift+V). Backup: Print → Save as PDF, upload to Drive, share "Anyone with the link." Test the link in a private browser window — an unopenable or partial link is graded as no link.</w:t>
      </w:r>
    </w:p>
    <w:p>
      <w:pPr>
        <w:pStyle w:val="ListBullet"/>
      </w:pPr>
      <w:r>
        <w:t>An empty Box C with a good transcript. The process credit lives on the page: exchanges, tagged changes, and the rejected suggestion. One student did a genuine 50-turn session and earned almost nothing for it because all the delta logs were blank.</w:t>
      </w:r>
    </w:p>
    <w:p>
      <w:r>
        <w:rPr>
          <w:b/>
        </w:rPr>
        <w:t>Why this matters beyond the grade:</w:t>
      </w:r>
      <w:r>
        <w:t xml:space="preserve"> when everyone has ChatGPT, output is commoditized — the differentiator is walking someone through your reasoning. "I started with 'UA's women's ads are empowering,' but when the tutor made me lay out the timeline I saw four distinct positioning moves, not one arc — and 2014 is the one that flirts with Nike's territory" — that's an interview answer. The tutoring session is practice for it.</w:t>
      </w:r>
    </w:p>
    <w:p>
      <w:r>
        <w:t>---</w:t>
      </w:r>
    </w:p>
    <w:p>
      <w:pPr>
        <w:pStyle w:val="Heading2"/>
      </w:pPr>
      <w:r>
        <w:t>3. Case data quick index (verify everything against your own PDF)</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Pages</w:t>
            </w:r>
          </w:p>
        </w:tc>
        <w:tc>
          <w:tcPr>
            <w:tcW w:type="dxa" w:w="4968"/>
          </w:tcPr>
          <w:p>
            <w:r>
              <w:rPr>
                <w:b/>
                <w:sz w:val="19"/>
              </w:rPr>
            </w:r>
            <w:r>
              <w:rPr>
                <w:b/>
                <w:sz w:val="19"/>
              </w:rPr>
              <w:t>What's there</w:t>
            </w:r>
          </w:p>
        </w:tc>
      </w:tr>
      <w:tr>
        <w:tc>
          <w:tcPr>
            <w:tcW w:type="dxa" w:w="4968"/>
          </w:tcPr>
          <w:p>
            <w:r>
              <w:rPr>
                <w:sz w:val="19"/>
              </w:rPr>
            </w:r>
            <w:r>
              <w:rPr>
                <w:sz w:val="19"/>
              </w:rPr>
              <w:t>p. 1</w:t>
            </w:r>
          </w:p>
        </w:tc>
        <w:tc>
          <w:tcPr>
            <w:tcW w:type="dxa" w:w="4968"/>
          </w:tcPr>
          <w:p>
            <w:r>
              <w:rPr>
                <w:sz w:val="19"/>
              </w:rPr>
            </w:r>
            <w:r>
              <w:rPr>
                <w:sz w:val="19"/>
              </w:rPr>
              <w:t>Founding context, the growth streak, 2014 revenue, Plank's women's sales goal, the fate of the 2003 first women's line</w:t>
            </w:r>
          </w:p>
        </w:tc>
      </w:tr>
      <w:tr>
        <w:tc>
          <w:tcPr>
            <w:tcW w:type="dxa" w:w="4968"/>
          </w:tcPr>
          <w:p>
            <w:r>
              <w:rPr>
                <w:sz w:val="19"/>
              </w:rPr>
            </w:r>
            <w:r>
              <w:rPr>
                <w:sz w:val="19"/>
              </w:rPr>
              <w:t>p. 2</w:t>
            </w:r>
          </w:p>
        </w:tc>
        <w:tc>
          <w:tcPr>
            <w:tcW w:type="dxa" w:w="4968"/>
          </w:tcPr>
          <w:p>
            <w:r>
              <w:rPr>
                <w:sz w:val="19"/>
              </w:rPr>
            </w:r>
            <w:r>
              <w:rPr>
                <w:sz w:val="19"/>
              </w:rPr>
              <w:t>Plank's origin story, HeatGear + the fabric platform, the Any Given Sunday + ESPN Magazine breakthrough (with sales figure), MLB/NHL/collegiate licensing</w:t>
            </w:r>
          </w:p>
        </w:tc>
      </w:tr>
      <w:tr>
        <w:tc>
          <w:tcPr>
            <w:tcW w:type="dxa" w:w="4968"/>
          </w:tcPr>
          <w:p>
            <w:r>
              <w:rPr>
                <w:sz w:val="19"/>
              </w:rPr>
            </w:r>
            <w:r>
              <w:rPr>
                <w:sz w:val="19"/>
              </w:rPr>
              <w:t>p. 3</w:t>
            </w:r>
          </w:p>
        </w:tc>
        <w:tc>
          <w:tcPr>
            <w:tcW w:type="dxa" w:w="4968"/>
          </w:tcPr>
          <w:p>
            <w:r>
              <w:rPr>
                <w:sz w:val="19"/>
              </w:rPr>
            </w:r>
            <w:r>
              <w:rPr>
                <w:sz w:val="19"/>
              </w:rPr>
              <w:t>No-patentable-IP statement, sporting-goods retail share (footnote), Click-Clack cleat share, the 2008 footwear launch and campaign spend</w:t>
            </w:r>
          </w:p>
        </w:tc>
      </w:tr>
      <w:tr>
        <w:tc>
          <w:tcPr>
            <w:tcW w:type="dxa" w:w="4968"/>
          </w:tcPr>
          <w:p>
            <w:r>
              <w:rPr>
                <w:sz w:val="19"/>
              </w:rPr>
            </w:r>
            <w:r>
              <w:rPr>
                <w:sz w:val="19"/>
              </w:rPr>
              <w:t>p. 4</w:t>
            </w:r>
          </w:p>
        </w:tc>
        <w:tc>
          <w:tcPr>
            <w:tcW w:type="dxa" w:w="4968"/>
          </w:tcPr>
          <w:p>
            <w:r>
              <w:rPr>
                <w:sz w:val="19"/>
              </w:rPr>
            </w:r>
            <w:r>
              <w:rPr>
                <w:sz w:val="19"/>
              </w:rPr>
              <w:t>Big-box share pre-Sports-Authority, Galyan's → Dick's, Protect This House launch (Table 1), the "our competitor" naming rule, the IPO</w:t>
            </w:r>
          </w:p>
        </w:tc>
      </w:tr>
      <w:tr>
        <w:tc>
          <w:tcPr>
            <w:tcW w:type="dxa" w:w="4968"/>
          </w:tcPr>
          <w:p>
            <w:r>
              <w:rPr>
                <w:sz w:val="19"/>
              </w:rPr>
            </w:r>
            <w:r>
              <w:rPr>
                <w:sz w:val="19"/>
              </w:rPr>
              <w:t>p. 5</w:t>
            </w:r>
          </w:p>
        </w:tc>
        <w:tc>
          <w:tcPr>
            <w:tcW w:type="dxa" w:w="4968"/>
          </w:tcPr>
          <w:p>
            <w:r>
              <w:rPr>
                <w:sz w:val="19"/>
              </w:rPr>
            </w:r>
            <w:r>
              <w:rPr>
                <w:sz w:val="19"/>
              </w:rPr>
              <w:t>Wholesale-vs-DTC mix, the Fifth Avenue flagship, the Curry signing, footwear growth rate, competitor share data (Nike, Adidas, UA)</w:t>
            </w:r>
          </w:p>
        </w:tc>
      </w:tr>
      <w:tr>
        <w:tc>
          <w:tcPr>
            <w:tcW w:type="dxa" w:w="4968"/>
          </w:tcPr>
          <w:p>
            <w:r>
              <w:rPr>
                <w:sz w:val="19"/>
              </w:rPr>
            </w:r>
            <w:r>
              <w:rPr>
                <w:sz w:val="19"/>
              </w:rPr>
              <w:t>pp. 5–6</w:t>
            </w:r>
          </w:p>
        </w:tc>
        <w:tc>
          <w:tcPr>
            <w:tcW w:type="dxa" w:w="4968"/>
          </w:tcPr>
          <w:p>
            <w:r>
              <w:rPr>
                <w:sz w:val="19"/>
              </w:rPr>
            </w:r>
            <w:r>
              <w:rPr>
                <w:sz w:val="19"/>
              </w:rPr>
              <w:t>Connected Fitness acquisitions (price tag, apps, engagement stats), 2015 revenue and 2017 estimate</w:t>
            </w:r>
          </w:p>
        </w:tc>
      </w:tr>
      <w:tr>
        <w:tc>
          <w:tcPr>
            <w:tcW w:type="dxa" w:w="4968"/>
          </w:tcPr>
          <w:p>
            <w:r>
              <w:rPr>
                <w:sz w:val="19"/>
              </w:rPr>
            </w:r>
            <w:r>
              <w:rPr>
                <w:sz w:val="19"/>
              </w:rPr>
              <w:t>p. 6</w:t>
            </w:r>
          </w:p>
        </w:tc>
        <w:tc>
          <w:tcPr>
            <w:tcW w:type="dxa" w:w="4968"/>
          </w:tcPr>
          <w:p>
            <w:r>
              <w:rPr>
                <w:sz w:val="19"/>
              </w:rPr>
            </w:r>
            <w:r>
              <w:rPr>
                <w:sz w:val="19"/>
              </w:rPr>
              <w:t>The 2010 women's reboot, the female creative team, women's share of 2013 sales, Lululemon, the Guidance Counsel "athletic but not athletes" insight</w:t>
            </w:r>
          </w:p>
        </w:tc>
      </w:tr>
      <w:tr>
        <w:tc>
          <w:tcPr>
            <w:tcW w:type="dxa" w:w="4968"/>
          </w:tcPr>
          <w:p>
            <w:r>
              <w:rPr>
                <w:sz w:val="19"/>
              </w:rPr>
            </w:r>
            <w:r>
              <w:rPr>
                <w:sz w:val="19"/>
              </w:rPr>
              <w:t>p. 7</w:t>
            </w:r>
          </w:p>
        </w:tc>
        <w:tc>
          <w:tcPr>
            <w:tcW w:type="dxa" w:w="4968"/>
          </w:tcPr>
          <w:p>
            <w:r>
              <w:rPr>
                <w:sz w:val="19"/>
              </w:rPr>
            </w:r>
            <w:r>
              <w:rPr>
                <w:sz w:val="19"/>
              </w:rPr>
              <w:t>Table 2: all four women's campaigns — years, taglines, spokespeople, channels, the two signature 2014 executions, the Fremar quote</w:t>
            </w:r>
          </w:p>
        </w:tc>
      </w:tr>
      <w:tr>
        <w:tc>
          <w:tcPr>
            <w:tcW w:type="dxa" w:w="4968"/>
          </w:tcPr>
          <w:p>
            <w:r>
              <w:rPr>
                <w:sz w:val="19"/>
              </w:rPr>
            </w:r>
            <w:r>
              <w:rPr>
                <w:sz w:val="19"/>
              </w:rPr>
              <w:t>pp. 7–8</w:t>
            </w:r>
          </w:p>
        </w:tc>
        <w:tc>
          <w:tcPr>
            <w:tcW w:type="dxa" w:w="4968"/>
          </w:tcPr>
          <w:p>
            <w:r>
              <w:rPr>
                <w:sz w:val="19"/>
              </w:rPr>
            </w:r>
            <w:r>
              <w:rPr>
                <w:sz w:val="19"/>
              </w:rPr>
              <w:t>The women-only Facebook fan page, What's Beautiful (three iterations, formats, prizes)</w:t>
            </w:r>
          </w:p>
        </w:tc>
      </w:tr>
      <w:tr>
        <w:tc>
          <w:tcPr>
            <w:tcW w:type="dxa" w:w="4968"/>
          </w:tcPr>
          <w:p>
            <w:r>
              <w:rPr>
                <w:sz w:val="19"/>
              </w:rPr>
            </w:r>
            <w:r>
              <w:rPr>
                <w:sz w:val="19"/>
              </w:rPr>
              <w:t>p. 8</w:t>
            </w:r>
          </w:p>
        </w:tc>
        <w:tc>
          <w:tcPr>
            <w:tcW w:type="dxa" w:w="4968"/>
          </w:tcPr>
          <w:p>
            <w:r>
              <w:rPr>
                <w:sz w:val="19"/>
              </w:rPr>
            </w:r>
            <w:r>
              <w:rPr>
                <w:sz w:val="19"/>
              </w:rPr>
              <w:t>The closing tension: which positioning/advertising model carries the brand forward</w:t>
            </w:r>
          </w:p>
        </w:tc>
      </w:tr>
    </w:tbl>
    <w:p/>
    <w:p>
      <w:r>
        <w:t>The full data appendix with the specific figures is in the Model Answers companion (released after grading) — before then, finding and citing these numbers yourself is part of the graded skill.</w:t>
      </w:r>
    </w:p>
    <w:p>
      <w:r>
        <w:t>---</w:t>
      </w:r>
    </w:p>
    <w:p>
      <w:r>
        <w:rPr>
          <w:i/>
        </w:rPr>
        <w:t>SPOT policy: this is the single point of truth for Under Armour case skills — semester-agnostic, updated in place only when the assignment format or rubric changes or a new durable pitfall emerges. Change log below.</w:t>
      </w:r>
    </w:p>
    <w:p>
      <w:r>
        <w:rPr>
          <w:b/>
        </w:rPr>
        <w:t>Change log:</w:t>
      </w:r>
      <w:r>
        <w:t xml:space="preserve"> 2026-08-10 — created; distilled from the S2026 Discussion Guide and the Under Armour Prompting Patterns guide (now archived), reframed for the single-box/voice-mode assignment redesign.</w:t>
      </w:r>
    </w:p>
    <w:p>
      <w:r>
        <w:t>2026-09-07 — three-box format rolled out to Under Armour (all five cases): §2 now explains Box A/B/C, adds stop-on-your-own-judgment and printed-page-number patterns, and the unopenable-link / empty-Box-C pitfalls.</w:t>
      </w:r>
    </w:p>
    <w:p>
      <w:r>
        <w:t>2026-09-09 — transcript pitfall rewritten for long threads: scroll to top before select-all, plain-text paste, Drive-PDF backup.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