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Lab 5 — Literature-review table + source audit</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5 (weekly labs strand, 15% of the course; late −10% per day)</w:t>
            </w:r>
          </w:p>
        </w:tc>
      </w:tr>
      <w:tr>
        <w:tc>
          <w:tcPr>
            <w:tcW w:type="dxa" w:w="4968"/>
          </w:tcPr>
          <w:p>
            <w:r>
              <w:rPr>
                <w:sz w:val="19"/>
              </w:rPr>
            </w:r>
            <w:r>
              <w:rPr>
                <w:sz w:val="19"/>
              </w:rPr>
              <w:t>Due</w:t>
            </w:r>
          </w:p>
        </w:tc>
        <w:tc>
          <w:tcPr>
            <w:tcW w:type="dxa" w:w="4968"/>
          </w:tcPr>
          <w:p>
            <w:r>
              <w:rPr>
                <w:sz w:val="19"/>
              </w:rPr>
            </w:r>
            <w:r>
              <w:rPr>
                <w:sz w:val="19"/>
              </w:rPr>
              <w:t>Friday Sep 25, 11:59 PM</w:t>
            </w:r>
          </w:p>
        </w:tc>
      </w:tr>
      <w:tr>
        <w:tc>
          <w:tcPr>
            <w:tcW w:type="dxa" w:w="4968"/>
          </w:tcPr>
          <w:p>
            <w:r>
              <w:rPr>
                <w:sz w:val="19"/>
              </w:rPr>
            </w:r>
            <w:r>
              <w:rPr>
                <w:sz w:val="19"/>
              </w:rPr>
              <w:t>Work</w:t>
            </w:r>
          </w:p>
        </w:tc>
        <w:tc>
          <w:tcPr>
            <w:tcW w:type="dxa" w:w="4968"/>
          </w:tcPr>
          <w:p>
            <w:r>
              <w:rPr>
                <w:sz w:val="19"/>
              </w:rPr>
            </w:r>
            <w:r>
              <w:rPr>
                <w:sz w:val="19"/>
              </w:rPr>
              <w:t>Individual</w:t>
            </w:r>
          </w:p>
        </w:tc>
      </w:tr>
      <w:tr>
        <w:tc>
          <w:tcPr>
            <w:tcW w:type="dxa" w:w="4968"/>
          </w:tcPr>
          <w:p>
            <w:r>
              <w:rPr>
                <w:sz w:val="19"/>
              </w:rPr>
            </w:r>
            <w:r>
              <w:rPr>
                <w:sz w:val="19"/>
              </w:rPr>
              <w:t>Submit</w:t>
            </w:r>
          </w:p>
        </w:tc>
        <w:tc>
          <w:tcPr>
            <w:tcW w:type="dxa" w:w="4968"/>
          </w:tcPr>
          <w:p>
            <w:r>
              <w:rPr>
                <w:sz w:val="19"/>
              </w:rPr>
            </w:r>
            <w:r>
              <w:rPr>
                <w:sz w:val="19"/>
              </w:rPr>
              <w:t xml:space="preserve">Canvas — PDF of this doc's template, filled + your Zotero </w:t>
            </w:r>
            <w:r>
              <w:rPr>
                <w:rFonts w:ascii="Courier New" w:hAnsi="Courier New"/>
                <w:sz w:val="19"/>
              </w:rPr>
              <w:t>.bib</w:t>
            </w:r>
            <w:r>
              <w:rPr>
                <w:sz w:val="19"/>
              </w:rPr>
              <w:t xml:space="preserve"> export (two files)</w:t>
            </w:r>
          </w:p>
        </w:tc>
      </w:tr>
    </w:tbl>
    <w:p/>
    <w:p>
      <w:r>
        <w:rPr>
          <w:b/>
        </w:rPr>
        <w:t>Where this fits:</w:t>
      </w:r>
      <w:r>
        <w:t xml:space="preserve"> Lecture — Sep 18 </w:t>
      </w:r>
      <w:r>
        <w:rPr>
          <w:i/>
        </w:rPr>
        <w:t>AI-powered literature review + secondary research</w:t>
      </w:r>
      <w:r>
        <w:t xml:space="preserve"> → Project beat — feeds the mini Teach beat (Sep 25) and, later, the STAMP related-work section → Stack layer — </w:t>
      </w:r>
      <w:r>
        <w:rPr>
          <w:b/>
        </w:rPr>
        <w:t>research</w:t>
      </w:r>
      <w:r>
        <w:t>.</w:t>
      </w:r>
    </w:p>
    <w:p>
      <w:pPr>
        <w:pStyle w:val="Heading2"/>
      </w:pPr>
      <w:r>
        <w:t>The gist</w:t>
      </w:r>
    </w:p>
    <w:p>
      <w:r>
        <w:t>Two parts, one skill: AI drafts, you audit. You build a three-paper literature-review table on LLMs as synthetic survey respondents, anchored on Li et al. (2024), with Zotero records saved from checkable pages. Then you take one Copper Lane claim about China's coffee-shop market and audit it across six rows until something breaks. Plan about two hours over the weekend of Sep 19–20.</w:t>
      </w:r>
    </w:p>
    <w:p>
      <w:pPr>
        <w:pStyle w:val="Heading2"/>
      </w:pPr>
      <w:r>
        <w:t>Steps</w:t>
      </w:r>
    </w:p>
    <w:p>
      <w:pPr>
        <w:pStyle w:val="ListNumber"/>
      </w:pPr>
      <w:r>
        <w:rPr>
          <w:b/>
        </w:rPr>
        <w:t>Build the Zotero collection</w:t>
      </w:r>
      <w:r>
        <w:t xml:space="preserve"> </w:t>
      </w:r>
      <w:r>
        <w:rPr>
          <w:rFonts w:ascii="Courier New" w:hAnsi="Courier New"/>
        </w:rPr>
        <w:t>AI in Marketing – synthetic respondents</w:t>
      </w:r>
      <w:r>
        <w:t xml:space="preserve">: Li, Castelo, Katona &amp; Sarvary (2024, </w:t>
      </w:r>
      <w:r>
        <w:rPr>
          <w:i/>
        </w:rPr>
        <w:t>Marketing Science</w:t>
      </w:r>
      <w:r>
        <w:t xml:space="preserve"> 43(2), 254–266) plus at least two more papers on silicon samples / simulated consumers / LLM-as-respondent, each saved from a publisher, journal, or preprint page with the connector, never by hand. No DOI, no citation; preprints carry the SSRN/arXiv/NBER URL, the date accessed, and the label "preprint." Export the collection as </w:t>
      </w:r>
      <w:r>
        <w:rPr>
          <w:rFonts w:ascii="Courier New" w:hAnsi="Courier New"/>
        </w:rPr>
        <w:t>.bib</w:t>
      </w:r>
      <w:r>
        <w:t>.</w:t>
      </w:r>
    </w:p>
    <w:p>
      <w:pPr>
        <w:pStyle w:val="ListNumber"/>
      </w:pPr>
      <w:r>
        <w:rPr>
          <w:b/>
        </w:rPr>
        <w:t>Run a deep-research pass</w:t>
      </w:r>
      <w:r>
        <w:t xml:space="preserve"> with at least two scoped prompts (adapt the Sep 18 templates: a DOI for every paper, "no reliable source found" instead of guessing). Its output is a candidate list; the seed set on the slides (Brand, Israeli &amp; Ngwe; Argyle et al.; Horton) is a starting point, not a bibliography. Save transcript links.</w:t>
      </w:r>
    </w:p>
    <w:p>
      <w:pPr>
        <w:pStyle w:val="ListNumber"/>
      </w:pPr>
      <w:r>
        <w:rPr>
          <w:b/>
        </w:rPr>
        <w:t>Fill the 8-column lit-review table</w:t>
      </w:r>
      <w:r>
        <w:t xml:space="preserve"> (Appendix A) from the papers themselves: abstract, method, results tables, limitations. A cell filled from an AI summary alone counts as empty. The last column says </w:t>
      </w:r>
      <w:r>
        <w:rPr>
          <w:i/>
        </w:rPr>
        <w:t>extends · contradicts · different construct · same method</w:t>
      </w:r>
      <w:r>
        <w:t>, and why.</w:t>
      </w:r>
    </w:p>
    <w:p>
      <w:pPr>
        <w:pStyle w:val="ListNumber"/>
      </w:pPr>
      <w:r>
        <w:rPr>
          <w:b/>
        </w:rPr>
        <w:t>Write the catch note</w:t>
      </w:r>
      <w:r>
        <w:t xml:space="preserve"> (3–5 sentences): one thing the AI got wrong or could not find (a citation that did not resolve, a claim the paper never made, a wrong venue). If you caught nothing, say what you checked.</w:t>
      </w:r>
    </w:p>
    <w:p>
      <w:pPr>
        <w:pStyle w:val="ListNumber"/>
      </w:pPr>
      <w:r>
        <w:rPr>
          <w:b/>
        </w:rPr>
        <w:t>Pick one Copper Lane claim</w:t>
      </w:r>
      <w:r>
        <w:t xml:space="preserve"> about the China coffee-shop market (a store-count comparison between two study-card brands, a market-size figure, a "fastest-growing chain" line, a typical latte price) and run at least two scoped deep-research prompts on it.</w:t>
      </w:r>
    </w:p>
    <w:p>
      <w:pPr>
        <w:pStyle w:val="ListNumber"/>
      </w:pPr>
      <w:r>
        <w:rPr>
          <w:b/>
        </w:rPr>
        <w:t>Audit it across six rows</w:t>
      </w:r>
      <w:r>
        <w:t xml:space="preserve">: the claim as the AI first stated it, the source(s) it cited, and the corroborating or contradicting sources you found yourself. At least one row from a licensed library report (Mintel / IBISWorld / Statista via the CPP Library portal), or one line on what the portal search found. Verdicts use only </w:t>
      </w:r>
      <w:r>
        <w:rPr>
          <w:b/>
        </w:rPr>
        <w:t>Verified · Partially verified · Unverified · Contradicted</w:t>
      </w:r>
      <w:r>
        <w:t xml:space="preserve">; an AI summary is not a source, so audit what it cites. Vendor price or count rows state what the headline excludes. </w:t>
      </w:r>
      <w:r>
        <w:rPr>
          <w:b/>
        </w:rPr>
        <w:t>At least one row must be Unverified or Contradicted, with a real action</w:t>
      </w:r>
      <w:r>
        <w:t xml:space="preserve"> (claim cut, ranged, or downgraded to "vendor-claimed"). A clean audit is a failed audit.</w:t>
      </w:r>
    </w:p>
    <w:p>
      <w:pPr>
        <w:pStyle w:val="ListNumber"/>
      </w:pPr>
      <w:r>
        <w:rPr>
          <w:b/>
        </w:rPr>
        <w:t>Close with one sentence</w:t>
      </w:r>
      <w:r>
        <w:t xml:space="preserve">: what Copper Lane can trust about this claim today, and what needs a person on the ground in China. Export to PDF; upload with the </w:t>
      </w:r>
      <w:r>
        <w:rPr>
          <w:rFonts w:ascii="Courier New" w:hAnsi="Courier New"/>
        </w:rPr>
        <w:t>.bib</w:t>
      </w:r>
      <w:r>
        <w:t>.</w:t>
      </w:r>
    </w:p>
    <w:p>
      <w:pPr>
        <w:pStyle w:val="Heading2"/>
      </w:pPr>
      <w:r>
        <w:t>What to submit</w:t>
      </w:r>
    </w:p>
    <w:p>
      <w:pPr>
        <w:ind w:left="360"/>
      </w:pPr>
      <w:r>
        <w:rPr>
          <w:b/>
        </w:rPr>
        <w:t xml:space="preserve">☐  </w:t>
      </w:r>
      <w:r>
        <w:t>Lit-review table: three papers, eight columns, DOI or preprint URL + date for each</w:t>
      </w:r>
    </w:p>
    <w:p>
      <w:pPr>
        <w:ind w:left="360"/>
      </w:pPr>
      <w:r>
        <w:rPr>
          <w:b/>
        </w:rPr>
        <w:t xml:space="preserve">☐  </w:t>
      </w:r>
      <w:r>
        <w:t>Catch note, 3–5 sentences, naming a concrete miss or check</w:t>
      </w:r>
    </w:p>
    <w:p>
      <w:pPr>
        <w:ind w:left="360"/>
      </w:pPr>
      <w:r>
        <w:rPr>
          <w:b/>
        </w:rPr>
        <w:t xml:space="preserve">☐  </w:t>
      </w:r>
      <w:r>
        <w:t xml:space="preserve">Zotero </w:t>
      </w:r>
      <w:r>
        <w:rPr>
          <w:rFonts w:ascii="Courier New" w:hAnsi="Courier New"/>
        </w:rPr>
        <w:t>.bib</w:t>
      </w:r>
      <w:r>
        <w:t xml:space="preserve"> export from the named collection, three or more records</w:t>
      </w:r>
    </w:p>
    <w:p>
      <w:pPr>
        <w:ind w:left="360"/>
      </w:pPr>
      <w:r>
        <w:rPr>
          <w:b/>
        </w:rPr>
        <w:t xml:space="preserve">☐  </w:t>
      </w:r>
      <w:r>
        <w:t>Six-row source audit, ≥ 1 Unverified/Contradicted with action, library-portal row or line</w:t>
      </w:r>
    </w:p>
    <w:p>
      <w:pPr>
        <w:ind w:left="360"/>
      </w:pPr>
      <w:r>
        <w:rPr>
          <w:b/>
        </w:rPr>
        <w:t xml:space="preserve">☐  </w:t>
      </w:r>
      <w:r>
        <w:t>Closing trust sentence for Copper Lane</w:t>
      </w:r>
    </w:p>
    <w:p>
      <w:pPr>
        <w:ind w:left="360"/>
      </w:pPr>
      <w:r>
        <w:rPr>
          <w:b/>
        </w:rPr>
        <w:t xml:space="preserve">☐  </w:t>
      </w:r>
      <w:r>
        <w:t>AI disclosure: tools, verbatim prompts (≥ 2 per part), tested transcript links</w:t>
      </w:r>
    </w:p>
    <w:p>
      <w:pPr>
        <w:pStyle w:val="Heading2"/>
      </w:pPr>
      <w:r>
        <w:t>How you'll be graded</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Lit-review table accuracy</w:t>
            </w:r>
          </w:p>
        </w:tc>
        <w:tc>
          <w:tcPr>
            <w:tcW w:type="dxa" w:w="3312"/>
          </w:tcPr>
          <w:p>
            <w:r>
              <w:rPr>
                <w:sz w:val="19"/>
              </w:rPr>
            </w:r>
            <w:r>
              <w:rPr>
                <w:sz w:val="19"/>
              </w:rPr>
              <w:t>35%</w:t>
            </w:r>
          </w:p>
        </w:tc>
        <w:tc>
          <w:tcPr>
            <w:tcW w:type="dxa" w:w="3312"/>
          </w:tcPr>
          <w:p>
            <w:r>
              <w:rPr>
                <w:sz w:val="19"/>
              </w:rPr>
            </w:r>
            <w:r>
              <w:rPr>
                <w:sz w:val="19"/>
              </w:rPr>
              <w:t>Three real papers; all eight columns filled from the papers, with each paper's own number in the headline cell; the Li et al. column says something specific</w:t>
            </w:r>
          </w:p>
        </w:tc>
      </w:tr>
      <w:tr>
        <w:tc>
          <w:tcPr>
            <w:tcW w:type="dxa" w:w="3312"/>
          </w:tcPr>
          <w:p>
            <w:r>
              <w:rPr>
                <w:sz w:val="19"/>
              </w:rPr>
            </w:r>
            <w:r>
              <w:rPr>
                <w:sz w:val="19"/>
              </w:rPr>
              <w:t>Source audit rigor</w:t>
            </w:r>
          </w:p>
        </w:tc>
        <w:tc>
          <w:tcPr>
            <w:tcW w:type="dxa" w:w="3312"/>
          </w:tcPr>
          <w:p>
            <w:r>
              <w:rPr>
                <w:sz w:val="19"/>
              </w:rPr>
            </w:r>
            <w:r>
              <w:rPr>
                <w:sz w:val="19"/>
              </w:rPr>
              <w:t>35%</w:t>
            </w:r>
          </w:p>
        </w:tc>
        <w:tc>
          <w:tcPr>
            <w:tcW w:type="dxa" w:w="3312"/>
          </w:tcPr>
          <w:p>
            <w:r>
              <w:rPr>
                <w:sz w:val="19"/>
              </w:rPr>
            </w:r>
            <w:r>
              <w:rPr>
                <w:sz w:val="19"/>
              </w:rPr>
              <w:t>Six rows on one claim family; verdicts justified by the who/why/when/how columns, not decorative; ≥ 1 Unverified/Contradicted with a real action; closing sentence draws the trust boundary</w:t>
            </w:r>
          </w:p>
        </w:tc>
      </w:tr>
      <w:tr>
        <w:tc>
          <w:tcPr>
            <w:tcW w:type="dxa" w:w="3312"/>
          </w:tcPr>
          <w:p>
            <w:r>
              <w:rPr>
                <w:sz w:val="19"/>
              </w:rPr>
            </w:r>
            <w:r>
              <w:rPr>
                <w:sz w:val="19"/>
              </w:rPr>
              <w:t>Zotero hygiene (DOI, .bib)</w:t>
            </w:r>
          </w:p>
        </w:tc>
        <w:tc>
          <w:tcPr>
            <w:tcW w:type="dxa" w:w="3312"/>
          </w:tcPr>
          <w:p>
            <w:r>
              <w:rPr>
                <w:sz w:val="19"/>
              </w:rPr>
            </w:r>
            <w:r>
              <w:rPr>
                <w:sz w:val="19"/>
              </w:rPr>
              <w:t>10%</w:t>
            </w:r>
          </w:p>
        </w:tc>
        <w:tc>
          <w:tcPr>
            <w:tcW w:type="dxa" w:w="3312"/>
          </w:tcPr>
          <w:p>
            <w:r>
              <w:rPr>
                <w:sz w:val="19"/>
              </w:rPr>
            </w:r>
            <w:r>
              <w:rPr>
                <w:rFonts w:ascii="Courier New" w:hAnsi="Courier New"/>
                <w:sz w:val="19"/>
              </w:rPr>
              <w:t>.bib</w:t>
            </w:r>
            <w:r>
              <w:rPr>
                <w:sz w:val="19"/>
              </w:rPr>
              <w:t xml:space="preserve"> from the named collection; records saved from checkable pages with DOI or preprint URL + date; records match the table</w:t>
            </w:r>
          </w:p>
        </w:tc>
      </w:tr>
      <w:tr>
        <w:tc>
          <w:tcPr>
            <w:tcW w:type="dxa" w:w="3312"/>
          </w:tcPr>
          <w:p>
            <w:r>
              <w:rPr>
                <w:sz w:val="19"/>
              </w:rPr>
            </w:r>
            <w:r>
              <w:rPr>
                <w:sz w:val="19"/>
              </w:rPr>
              <w:t>Writing</w:t>
            </w:r>
          </w:p>
        </w:tc>
        <w:tc>
          <w:tcPr>
            <w:tcW w:type="dxa" w:w="3312"/>
          </w:tcPr>
          <w:p>
            <w:r>
              <w:rPr>
                <w:sz w:val="19"/>
              </w:rPr>
            </w:r>
            <w:r>
              <w:rPr>
                <w:sz w:val="19"/>
              </w:rPr>
              <w:t>10%</w:t>
            </w:r>
          </w:p>
        </w:tc>
        <w:tc>
          <w:tcPr>
            <w:tcW w:type="dxa" w:w="3312"/>
          </w:tcPr>
          <w:p>
            <w:r>
              <w:rPr>
                <w:sz w:val="19"/>
              </w:rPr>
            </w:r>
            <w:r>
              <w:rPr>
                <w:sz w:val="19"/>
              </w:rPr>
              <w:t>Catch note names a concrete miss or check; cells are verifiable sentences, not adjectives</w:t>
            </w:r>
          </w:p>
        </w:tc>
      </w:tr>
      <w:tr>
        <w:tc>
          <w:tcPr>
            <w:tcW w:type="dxa" w:w="3312"/>
          </w:tcPr>
          <w:p>
            <w:r>
              <w:rPr>
                <w:sz w:val="19"/>
              </w:rPr>
            </w:r>
            <w:r>
              <w:rPr>
                <w:sz w:val="19"/>
              </w:rPr>
              <w:t>Process &amp; AI disclosure</w:t>
            </w:r>
          </w:p>
        </w:tc>
        <w:tc>
          <w:tcPr>
            <w:tcW w:type="dxa" w:w="3312"/>
          </w:tcPr>
          <w:p>
            <w:r>
              <w:rPr>
                <w:sz w:val="19"/>
              </w:rPr>
            </w:r>
            <w:r>
              <w:rPr>
                <w:sz w:val="19"/>
              </w:rPr>
              <w:t>10%</w:t>
            </w:r>
          </w:p>
        </w:tc>
        <w:tc>
          <w:tcPr>
            <w:tcW w:type="dxa" w:w="3312"/>
          </w:tcPr>
          <w:p>
            <w:r>
              <w:rPr>
                <w:sz w:val="19"/>
              </w:rPr>
            </w:r>
            <w:r>
              <w:rPr>
                <w:sz w:val="19"/>
              </w:rPr>
              <w:t>Human-first work documented; the disclosure answers name the actual change</w:t>
            </w:r>
          </w:p>
        </w:tc>
      </w:tr>
    </w:tbl>
    <w:p/>
    <w:p>
      <w:pPr>
        <w:pStyle w:val="Heading2"/>
      </w:pPr>
      <w:r>
        <w:t>AI disclosure (required)</w:t>
      </w:r>
    </w:p>
    <w:p>
      <w:r>
        <w:rPr>
          <w:b/>
        </w:rPr>
        <w:t>Human first.</w:t>
      </w:r>
      <w:r>
        <w:t xml:space="preserve"> Draft or plan this yourself before any AI touches it; that order is the only way to</w:t>
      </w:r>
    </w:p>
    <w:p>
      <w:r>
        <w:t>see what AI actually adds — or quietly subtracts. Then use AI freely and log the consequential uses</w:t>
      </w:r>
    </w:p>
    <w:p>
      <w:r>
        <w:t>in the delta style you learned with the Kindle Fire case (tags: evidence / structure / counterargument /</w:t>
      </w:r>
    </w:p>
    <w:p>
      <w:r>
        <w:t>math check / wording):</w:t>
      </w:r>
    </w:p>
    <w:p>
      <w:r>
        <w:t xml:space="preserve">(a) </w:t>
      </w:r>
      <w:r>
        <w:rPr>
          <w:b/>
        </w:rPr>
        <w:t>What I asked</w:t>
      </w:r>
      <w:r>
        <w:t xml:space="preserve"> — the two or three prompts that mattered, in one line each.</w:t>
      </w:r>
    </w:p>
    <w:p>
      <w:r>
        <w:t xml:space="preserve">(b) </w:t>
      </w:r>
      <w:r>
        <w:rPr>
          <w:b/>
        </w:rPr>
        <w:t>What I kept</w:t>
      </w:r>
      <w:r>
        <w:t xml:space="preserve"> — the change I accepted, and why it was an improvement.</w:t>
      </w:r>
    </w:p>
    <w:p>
      <w:r>
        <w:t xml:space="preserve">(c) </w:t>
      </w:r>
      <w:r>
        <w:rPr>
          <w:b/>
        </w:rPr>
        <w:t>What I overrode</w:t>
      </w:r>
      <w:r>
        <w:t xml:space="preserve"> — the AI suggestion I rejected or rewrote, and why.</w:t>
      </w:r>
    </w:p>
    <w:p>
      <w:r>
        <w:t>List the tools used and paste the transcript link(s). Generic answers ("AI helped with clarity") score</w:t>
      </w:r>
    </w:p>
    <w:p>
      <w:r>
        <w:t>zero on this category; name the actual change.</w:t>
      </w:r>
    </w:p>
    <w:p>
      <w:r>
        <w:t>Here the AI use is the assignment: the human-first artifact is your search question and claim choice, written before the deep-research run; include verbatim prompts, at least two per part.</w:t>
      </w:r>
    </w:p>
    <w:p>
      <w:r>
        <w:br w:type="page"/>
      </w:r>
    </w:p>
    <w:p>
      <w:pPr>
        <w:pStyle w:val="Heading2"/>
      </w:pPr>
      <w:r>
        <w:t>Appendix A — Template (fill this out)</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Field</w:t>
            </w:r>
          </w:p>
        </w:tc>
        <w:tc>
          <w:tcPr>
            <w:tcW w:type="dxa" w:w="4968"/>
          </w:tcPr>
          <w:p>
            <w:r>
              <w:rPr>
                <w:b/>
                <w:sz w:val="19"/>
              </w:rPr>
            </w:r>
            <w:r>
              <w:rPr>
                <w:b/>
                <w:sz w:val="19"/>
              </w:rPr>
              <w:t>Your entry</w:t>
            </w:r>
          </w:p>
        </w:tc>
      </w:tr>
      <w:tr>
        <w:tc>
          <w:tcPr>
            <w:tcW w:type="dxa" w:w="4968"/>
          </w:tcPr>
          <w:p>
            <w:r>
              <w:rPr>
                <w:sz w:val="19"/>
              </w:rPr>
            </w:r>
            <w:r>
              <w:rPr>
                <w:sz w:val="19"/>
              </w:rPr>
              <w:t>Name</w:t>
            </w:r>
          </w:p>
        </w:tc>
        <w:tc>
          <w:tcPr>
            <w:tcW w:type="dxa" w:w="4968"/>
          </w:tcPr>
          <w:p>
            <w:r>
              <w:rPr>
                <w:sz w:val="19"/>
              </w:rPr>
            </w:r>
          </w:p>
        </w:tc>
      </w:tr>
      <w:tr>
        <w:tc>
          <w:tcPr>
            <w:tcW w:type="dxa" w:w="4968"/>
          </w:tcPr>
          <w:p>
            <w:r>
              <w:rPr>
                <w:sz w:val="19"/>
              </w:rPr>
            </w:r>
            <w:r>
              <w:rPr>
                <w:sz w:val="19"/>
              </w:rPr>
              <w:t>Tools used (deep-research mode, chat, Zotero connector)</w:t>
            </w:r>
          </w:p>
        </w:tc>
        <w:tc>
          <w:tcPr>
            <w:tcW w:type="dxa" w:w="4968"/>
          </w:tcPr>
          <w:p>
            <w:r>
              <w:rPr>
                <w:sz w:val="19"/>
              </w:rPr>
            </w:r>
          </w:p>
        </w:tc>
      </w:tr>
      <w:tr>
        <w:tc>
          <w:tcPr>
            <w:tcW w:type="dxa" w:w="4968"/>
          </w:tcPr>
          <w:p>
            <w:r>
              <w:rPr>
                <w:sz w:val="19"/>
              </w:rPr>
            </w:r>
            <w:r>
              <w:rPr>
                <w:sz w:val="19"/>
              </w:rPr>
              <w:t>Transcript link(s), tested in a private window</w:t>
            </w:r>
          </w:p>
        </w:tc>
        <w:tc>
          <w:tcPr>
            <w:tcW w:type="dxa" w:w="4968"/>
          </w:tcPr>
          <w:p>
            <w:r>
              <w:rPr>
                <w:sz w:val="19"/>
              </w:rPr>
            </w:r>
          </w:p>
        </w:tc>
      </w:tr>
      <w:tr>
        <w:tc>
          <w:tcPr>
            <w:tcW w:type="dxa" w:w="4968"/>
          </w:tcPr>
          <w:p>
            <w:r>
              <w:rPr>
                <w:sz w:val="19"/>
              </w:rPr>
            </w:r>
            <w:r>
              <w:rPr>
                <w:sz w:val="19"/>
              </w:rPr>
              <w:t>Library portal searched (database + what you found, one line)</w:t>
            </w:r>
          </w:p>
        </w:tc>
        <w:tc>
          <w:tcPr>
            <w:tcW w:type="dxa" w:w="4968"/>
          </w:tcPr>
          <w:p>
            <w:r>
              <w:rPr>
                <w:sz w:val="19"/>
              </w:rPr>
            </w:r>
          </w:p>
        </w:tc>
      </w:tr>
    </w:tbl>
    <w:p/>
    <w:p>
      <w:pPr>
        <w:sectPr>
          <w:pgSz w:w="12240" w:h="15840"/>
          <w:pgMar w:top="1008" w:right="1152" w:bottom="1008" w:left="1152" w:header="720" w:footer="720" w:gutter="0"/>
          <w:cols w:space="720"/>
          <w:docGrid w:linePitch="360"/>
        </w:sectPr>
      </w:pPr>
    </w:p>
    <w:p>
      <w:r>
        <w:rPr>
          <w:b/>
        </w:rPr>
        <w:t>Part 1 — Lit-review table.</w:t>
      </w:r>
      <w:r>
        <w:t xml:space="preserve"> Row 1 = Li et al. 2024. LLM role: respondent · judge · generator · coder. Relation: extends · contradicts · different construct · same method, plus one sentence why.</w:t>
      </w:r>
    </w:p>
    <w:tbl>
      <w:tblPr>
        <w:tblStyle w:val="TableGrid"/>
        <w:tblW w:type="auto" w:w="0"/>
        <w:tblLook w:firstColumn="1" w:firstRow="1" w:lastColumn="0" w:lastRow="0" w:noHBand="0" w:noVBand="1" w:val="04A0"/>
      </w:tblPr>
      <w:tblGrid>
        <w:gridCol w:w="1764"/>
        <w:gridCol w:w="1764"/>
        <w:gridCol w:w="1764"/>
        <w:gridCol w:w="1764"/>
        <w:gridCol w:w="1764"/>
        <w:gridCol w:w="1764"/>
        <w:gridCol w:w="1764"/>
        <w:gridCol w:w="1764"/>
      </w:tblGrid>
      <w:tr>
        <w:tc>
          <w:tcPr>
            <w:tcW w:type="dxa" w:w="1764"/>
          </w:tcPr>
          <w:p>
            <w:r>
              <w:rPr>
                <w:b/>
                <w:sz w:val="18"/>
              </w:rPr>
            </w:r>
            <w:r>
              <w:rPr>
                <w:b/>
                <w:sz w:val="18"/>
              </w:rPr>
              <w:t>Paper (author-year, venue, DOI or preprint URL + date)</w:t>
            </w:r>
          </w:p>
        </w:tc>
        <w:tc>
          <w:tcPr>
            <w:tcW w:type="dxa" w:w="1764"/>
          </w:tcPr>
          <w:p>
            <w:r>
              <w:rPr>
                <w:b/>
                <w:sz w:val="18"/>
              </w:rPr>
            </w:r>
            <w:r>
              <w:rPr>
                <w:b/>
                <w:sz w:val="18"/>
              </w:rPr>
              <w:t>Question</w:t>
            </w:r>
          </w:p>
        </w:tc>
        <w:tc>
          <w:tcPr>
            <w:tcW w:type="dxa" w:w="1764"/>
          </w:tcPr>
          <w:p>
            <w:r>
              <w:rPr>
                <w:b/>
                <w:sz w:val="18"/>
              </w:rPr>
            </w:r>
            <w:r>
              <w:rPr>
                <w:b/>
                <w:sz w:val="18"/>
              </w:rPr>
              <w:t>Sample / data (n)</w:t>
            </w:r>
          </w:p>
        </w:tc>
        <w:tc>
          <w:tcPr>
            <w:tcW w:type="dxa" w:w="1764"/>
          </w:tcPr>
          <w:p>
            <w:r>
              <w:rPr>
                <w:b/>
                <w:sz w:val="18"/>
              </w:rPr>
            </w:r>
            <w:r>
              <w:rPr>
                <w:b/>
                <w:sz w:val="18"/>
              </w:rPr>
              <w:t>LLM role</w:t>
            </w:r>
          </w:p>
        </w:tc>
        <w:tc>
          <w:tcPr>
            <w:tcW w:type="dxa" w:w="1764"/>
          </w:tcPr>
          <w:p>
            <w:r>
              <w:rPr>
                <w:b/>
                <w:sz w:val="18"/>
              </w:rPr>
            </w:r>
            <w:r>
              <w:rPr>
                <w:b/>
                <w:sz w:val="18"/>
              </w:rPr>
              <w:t>Validity check (against what, how)</w:t>
            </w:r>
          </w:p>
        </w:tc>
        <w:tc>
          <w:tcPr>
            <w:tcW w:type="dxa" w:w="1764"/>
          </w:tcPr>
          <w:p>
            <w:r>
              <w:rPr>
                <w:b/>
                <w:sz w:val="18"/>
              </w:rPr>
            </w:r>
            <w:r>
              <w:rPr>
                <w:b/>
                <w:sz w:val="18"/>
              </w:rPr>
              <w:t>Headline finding (with the paper's number)</w:t>
            </w:r>
          </w:p>
        </w:tc>
        <w:tc>
          <w:tcPr>
            <w:tcW w:type="dxa" w:w="1764"/>
          </w:tcPr>
          <w:p>
            <w:r>
              <w:rPr>
                <w:b/>
                <w:sz w:val="18"/>
              </w:rPr>
            </w:r>
            <w:r>
              <w:rPr>
                <w:b/>
                <w:sz w:val="18"/>
              </w:rPr>
              <w:t>Limitation (stated by the authors)</w:t>
            </w:r>
          </w:p>
        </w:tc>
        <w:tc>
          <w:tcPr>
            <w:tcW w:type="dxa" w:w="1764"/>
          </w:tcPr>
          <w:p>
            <w:r>
              <w:rPr>
                <w:b/>
                <w:sz w:val="18"/>
              </w:rPr>
            </w:r>
            <w:r>
              <w:rPr>
                <w:b/>
                <w:sz w:val="18"/>
              </w:rPr>
              <w:t>How it relates to Li et al. 2024</w:t>
            </w:r>
          </w:p>
        </w:tc>
      </w:tr>
      <w:tr>
        <w:tc>
          <w:tcPr>
            <w:tcW w:type="dxa" w:w="1764"/>
          </w:tcPr>
          <w:p>
            <w:r>
              <w:rPr>
                <w:sz w:val="18"/>
              </w:rPr>
            </w:r>
            <w:r>
              <w:rPr>
                <w:sz w:val="18"/>
              </w:rPr>
              <w:t xml:space="preserve">Li, Castelo, Katona &amp; Sarvary (2024), </w:t>
            </w:r>
            <w:r>
              <w:rPr>
                <w:i/>
                <w:sz w:val="18"/>
              </w:rPr>
              <w:t>Marketing Science</w:t>
            </w:r>
            <w:r>
              <w:rPr>
                <w:sz w:val="18"/>
              </w:rPr>
              <w:t xml:space="preserve"> 43(2), DOI:</w:t>
            </w:r>
          </w:p>
        </w:tc>
        <w:tc>
          <w:tcPr>
            <w:tcW w:type="dxa" w:w="1764"/>
          </w:tcPr>
          <w:p>
            <w:r>
              <w:rPr>
                <w:sz w:val="18"/>
              </w:rPr>
            </w:r>
          </w:p>
        </w:tc>
        <w:tc>
          <w:tcPr>
            <w:tcW w:type="dxa" w:w="1764"/>
          </w:tcPr>
          <w:p>
            <w:r>
              <w:rPr>
                <w:sz w:val="18"/>
              </w:rPr>
            </w:r>
          </w:p>
        </w:tc>
        <w:tc>
          <w:tcPr>
            <w:tcW w:type="dxa" w:w="1764"/>
          </w:tcPr>
          <w:p>
            <w:r>
              <w:rPr>
                <w:sz w:val="18"/>
              </w:rPr>
            </w:r>
          </w:p>
        </w:tc>
        <w:tc>
          <w:tcPr>
            <w:tcW w:type="dxa" w:w="1764"/>
          </w:tcPr>
          <w:p>
            <w:r>
              <w:rPr>
                <w:sz w:val="18"/>
              </w:rPr>
            </w:r>
          </w:p>
        </w:tc>
        <w:tc>
          <w:tcPr>
            <w:tcW w:type="dxa" w:w="1764"/>
          </w:tcPr>
          <w:p>
            <w:r>
              <w:rPr>
                <w:sz w:val="18"/>
              </w:rPr>
            </w:r>
          </w:p>
        </w:tc>
        <w:tc>
          <w:tcPr>
            <w:tcW w:type="dxa" w:w="1764"/>
          </w:tcPr>
          <w:p>
            <w:r>
              <w:rPr>
                <w:sz w:val="18"/>
              </w:rPr>
            </w:r>
          </w:p>
        </w:tc>
        <w:tc>
          <w:tcPr>
            <w:tcW w:type="dxa" w:w="1764"/>
          </w:tcPr>
          <w:p>
            <w:r>
              <w:rPr>
                <w:sz w:val="18"/>
              </w:rPr>
            </w:r>
            <w:r>
              <w:rPr>
                <w:sz w:val="18"/>
              </w:rPr>
              <w:t>— (anchor paper)</w:t>
            </w:r>
          </w:p>
        </w:tc>
      </w:tr>
    </w:tbl>
    <w:p/>
    <w:p>
      <w:r>
        <w:rPr>
          <w:b/>
        </w:rPr>
        <w:t>Catch note (3–5 sentences).</w:t>
      </w:r>
    </w:p>
    <w:tbl>
      <w:tblPr>
        <w:tblStyle w:val="TableGrid"/>
        <w:tblW w:type="auto" w:w="0"/>
        <w:tblLook w:firstColumn="1" w:firstRow="1" w:lastColumn="0" w:lastRow="0" w:noHBand="0" w:noVBand="1" w:val="04A0"/>
      </w:tblPr>
      <w:tblGrid>
        <w:gridCol w:w="14112"/>
      </w:tblGrid>
      <w:tr>
        <w:tc>
          <w:tcPr>
            <w:tcW w:type="dxa" w:w="14112"/>
          </w:tcPr>
          <w:p>
            <w:r>
              <w:rPr>
                <w:b/>
                <w:sz w:val="18"/>
              </w:rPr>
            </w:r>
            <w:r>
              <w:rPr>
                <w:b/>
                <w:sz w:val="18"/>
              </w:rPr>
              <w:t>Write here</w:t>
            </w:r>
          </w:p>
        </w:tc>
      </w:tr>
      <w:tr>
        <w:tc>
          <w:tcPr>
            <w:tcW w:type="dxa" w:w="14112"/>
          </w:tcPr>
          <w:p>
            <w:r>
              <w:rPr>
                <w:sz w:val="18"/>
              </w:rPr>
            </w:r>
            <w:r>
              <w:rPr>
                <w:sz w:val="18"/>
              </w:rPr>
              <w:t>(replace this text)</w:t>
            </w:r>
          </w:p>
        </w:tc>
      </w:tr>
    </w:tbl>
    <w:p/>
    <w:p>
      <w:r>
        <w:rPr>
          <w:b/>
        </w:rPr>
        <w:t>Part 2 — Source audit.</w:t>
      </w:r>
      <w:r>
        <w:t xml:space="preserve"> One claim, six rows. Publisher type: gov / trade assoc. / research firm / vendor / news / blog / AI-summary. Verdicts: Verified · Partially verified · Unverified · Contradicted.</w:t>
      </w:r>
    </w:p>
    <w:tbl>
      <w:tblPr>
        <w:tblStyle w:val="TableGrid"/>
        <w:tblW w:type="auto" w:w="0"/>
        <w:tblLook w:firstColumn="1" w:firstRow="1" w:lastColumn="0" w:lastRow="0" w:noHBand="0" w:noVBand="1" w:val="04A0"/>
      </w:tblPr>
      <w:tblGrid>
        <w:gridCol w:w="1568"/>
        <w:gridCol w:w="1568"/>
        <w:gridCol w:w="1568"/>
        <w:gridCol w:w="1568"/>
        <w:gridCol w:w="1568"/>
        <w:gridCol w:w="1568"/>
        <w:gridCol w:w="1568"/>
        <w:gridCol w:w="1568"/>
        <w:gridCol w:w="1568"/>
      </w:tblGrid>
      <w:tr>
        <w:tc>
          <w:tcPr>
            <w:tcW w:type="dxa" w:w="1568"/>
          </w:tcPr>
          <w:p>
            <w:r>
              <w:rPr>
                <w:b/>
                <w:sz w:val="18"/>
              </w:rPr>
            </w:r>
            <w:r>
              <w:rPr>
                <w:b/>
                <w:sz w:val="18"/>
              </w:rPr>
              <w:t>#</w:t>
            </w:r>
          </w:p>
        </w:tc>
        <w:tc>
          <w:tcPr>
            <w:tcW w:type="dxa" w:w="1568"/>
          </w:tcPr>
          <w:p>
            <w:r>
              <w:rPr>
                <w:b/>
                <w:sz w:val="18"/>
              </w:rPr>
            </w:r>
            <w:r>
              <w:rPr>
                <w:b/>
                <w:sz w:val="18"/>
              </w:rPr>
              <w:t>Claim (as stated)</w:t>
            </w:r>
          </w:p>
        </w:tc>
        <w:tc>
          <w:tcPr>
            <w:tcW w:type="dxa" w:w="1568"/>
          </w:tcPr>
          <w:p>
            <w:r>
              <w:rPr>
                <w:b/>
                <w:sz w:val="18"/>
              </w:rPr>
            </w:r>
            <w:r>
              <w:rPr>
                <w:b/>
                <w:sz w:val="18"/>
              </w:rPr>
              <w:t>Source (name + URL)</w:t>
            </w:r>
          </w:p>
        </w:tc>
        <w:tc>
          <w:tcPr>
            <w:tcW w:type="dxa" w:w="1568"/>
          </w:tcPr>
          <w:p>
            <w:r>
              <w:rPr>
                <w:b/>
                <w:sz w:val="18"/>
              </w:rPr>
            </w:r>
            <w:r>
              <w:rPr>
                <w:b/>
                <w:sz w:val="18"/>
              </w:rPr>
              <w:t>Publisher type · Date</w:t>
            </w:r>
          </w:p>
        </w:tc>
        <w:tc>
          <w:tcPr>
            <w:tcW w:type="dxa" w:w="1568"/>
          </w:tcPr>
          <w:p>
            <w:r>
              <w:rPr>
                <w:b/>
                <w:sz w:val="18"/>
              </w:rPr>
            </w:r>
            <w:r>
              <w:rPr>
                <w:b/>
                <w:sz w:val="18"/>
              </w:rPr>
              <w:t>Who collected it &amp; why (their incentive)</w:t>
            </w:r>
          </w:p>
        </w:tc>
        <w:tc>
          <w:tcPr>
            <w:tcW w:type="dxa" w:w="1568"/>
          </w:tcPr>
          <w:p>
            <w:r>
              <w:rPr>
                <w:b/>
                <w:sz w:val="18"/>
              </w:rPr>
            </w:r>
            <w:r>
              <w:rPr>
                <w:b/>
                <w:sz w:val="18"/>
              </w:rPr>
              <w:t>Method behind the number</w:t>
            </w:r>
          </w:p>
        </w:tc>
        <w:tc>
          <w:tcPr>
            <w:tcW w:type="dxa" w:w="1568"/>
          </w:tcPr>
          <w:p>
            <w:r>
              <w:rPr>
                <w:b/>
                <w:sz w:val="18"/>
              </w:rPr>
            </w:r>
            <w:r>
              <w:rPr>
                <w:b/>
                <w:sz w:val="18"/>
              </w:rPr>
              <w:t>Corroborating source (or "none found")</w:t>
            </w:r>
          </w:p>
        </w:tc>
        <w:tc>
          <w:tcPr>
            <w:tcW w:type="dxa" w:w="1568"/>
          </w:tcPr>
          <w:p>
            <w:r>
              <w:rPr>
                <w:b/>
                <w:sz w:val="18"/>
              </w:rPr>
            </w:r>
            <w:r>
              <w:rPr>
                <w:b/>
                <w:sz w:val="18"/>
              </w:rPr>
              <w:t>Verdict</w:t>
            </w:r>
          </w:p>
        </w:tc>
        <w:tc>
          <w:tcPr>
            <w:tcW w:type="dxa" w:w="1568"/>
          </w:tcPr>
          <w:p>
            <w:r>
              <w:rPr>
                <w:b/>
                <w:sz w:val="18"/>
              </w:rPr>
            </w:r>
            <w:r>
              <w:rPr>
                <w:b/>
                <w:sz w:val="18"/>
              </w:rPr>
              <w:t>Action taken</w:t>
            </w:r>
          </w:p>
        </w:tc>
      </w:tr>
      <w:tr>
        <w:tc>
          <w:tcPr>
            <w:tcW w:type="dxa" w:w="1568"/>
          </w:tcPr>
          <w:p>
            <w:r>
              <w:rPr>
                <w:sz w:val="18"/>
              </w:rPr>
            </w:r>
            <w:r>
              <w:rPr>
                <w:sz w:val="18"/>
              </w:rPr>
              <w:t>1</w:t>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r>
      <w:tr>
        <w:tc>
          <w:tcPr>
            <w:tcW w:type="dxa" w:w="1568"/>
          </w:tcPr>
          <w:p>
            <w:r>
              <w:rPr>
                <w:sz w:val="18"/>
              </w:rPr>
            </w:r>
            <w:r>
              <w:rPr>
                <w:sz w:val="18"/>
              </w:rPr>
              <w:t>2</w:t>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r>
      <w:tr>
        <w:tc>
          <w:tcPr>
            <w:tcW w:type="dxa" w:w="1568"/>
          </w:tcPr>
          <w:p>
            <w:r>
              <w:rPr>
                <w:sz w:val="18"/>
              </w:rPr>
            </w:r>
            <w:r>
              <w:rPr>
                <w:sz w:val="18"/>
              </w:rPr>
              <w:t>3</w:t>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r>
      <w:tr>
        <w:tc>
          <w:tcPr>
            <w:tcW w:type="dxa" w:w="1568"/>
          </w:tcPr>
          <w:p>
            <w:r>
              <w:rPr>
                <w:sz w:val="18"/>
              </w:rPr>
            </w:r>
            <w:r>
              <w:rPr>
                <w:sz w:val="18"/>
              </w:rPr>
              <w:t>4</w:t>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r>
      <w:tr>
        <w:tc>
          <w:tcPr>
            <w:tcW w:type="dxa" w:w="1568"/>
          </w:tcPr>
          <w:p>
            <w:r>
              <w:rPr>
                <w:sz w:val="18"/>
              </w:rPr>
            </w:r>
            <w:r>
              <w:rPr>
                <w:sz w:val="18"/>
              </w:rPr>
              <w:t>5</w:t>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r>
      <w:tr>
        <w:tc>
          <w:tcPr>
            <w:tcW w:type="dxa" w:w="1568"/>
          </w:tcPr>
          <w:p>
            <w:r>
              <w:rPr>
                <w:sz w:val="18"/>
              </w:rPr>
            </w:r>
            <w:r>
              <w:rPr>
                <w:sz w:val="18"/>
              </w:rPr>
              <w:t>6</w:t>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r>
    </w:tbl>
    <w:p/>
    <w:p>
      <w:pPr>
        <w:sectPr>
          <w:pgSz w:w="15840" w:h="12240" w:orient="landscape"/>
          <w:pgMar w:top="1008" w:right="864" w:bottom="1008" w:left="864" w:header="720" w:footer="720" w:gutter="0"/>
          <w:cols w:space="720"/>
          <w:docGrid w:linePitch="360"/>
        </w:sectPr>
      </w:pPr>
    </w:p>
    <w:p>
      <w:r>
        <w:rPr>
          <w:b/>
        </w:rPr>
        <w:t>Closing sentence.</w:t>
      </w:r>
      <w:r>
        <w:t xml:space="preserve"> What Copper Lane can trust about this claim today, and what needs a person on the ground in China.</w:t>
      </w:r>
    </w:p>
    <w:tbl>
      <w:tblPr>
        <w:tblStyle w:val="TableGrid"/>
        <w:tblW w:type="auto" w:w="0"/>
        <w:tblLook w:firstColumn="1" w:firstRow="1" w:lastColumn="0" w:lastRow="0" w:noHBand="0" w:noVBand="1" w:val="04A0"/>
      </w:tblPr>
      <w:tblGrid>
        <w:gridCol w:w="9936"/>
      </w:tblGrid>
      <w:tr>
        <w:tc>
          <w:tcPr>
            <w:tcW w:type="dxa" w:w="9936"/>
          </w:tcPr>
          <w:p>
            <w:r>
              <w:rPr>
                <w:b/>
                <w:sz w:val="19"/>
              </w:rPr>
            </w:r>
            <w:r>
              <w:rPr>
                <w:b/>
                <w:sz w:val="19"/>
              </w:rPr>
              <w:t>Write here</w:t>
            </w:r>
          </w:p>
        </w:tc>
      </w:tr>
      <w:tr>
        <w:tc>
          <w:tcPr>
            <w:tcW w:type="dxa" w:w="9936"/>
          </w:tcPr>
          <w:p>
            <w:r>
              <w:rPr>
                <w:sz w:val="19"/>
              </w:rPr>
            </w:r>
            <w:r>
              <w:rPr>
                <w:sz w:val="19"/>
              </w:rPr>
              <w:t>(replace this text)</w:t>
            </w:r>
          </w:p>
        </w:tc>
      </w:tr>
    </w:tbl>
    <w:p/>
    <w:p>
      <w:pPr>
        <w:pStyle w:val="Heading2"/>
      </w:pPr>
      <w:r>
        <w:t>Appendix B — Worked fragment</w:t>
      </w:r>
    </w:p>
    <w:p>
      <w:r>
        <w:rPr>
          <w:b/>
        </w:rPr>
        <w:t>An audit row to the standard.</w:t>
      </w:r>
      <w:r>
        <w:t xml:space="preserve"> Claim: "Luckin has more stores in China than Starbucks." Source: a news roundup citing the company's quarterly report. Publisher type: news → vendor (company filing), dated. Who and why: the company reports its own count and has an incentive to headline growth. Method: company-reported store count; the roundup does not say whether the figure includes franchised (partnership) stores or only company-operated ones, and the two brands define "store" differently. Corroboration: the other brand's investor release for the same quarter, which uses a different cutoff date. Verdict: </w:t>
      </w:r>
      <w:r>
        <w:rPr>
          <w:b/>
        </w:rPr>
        <w:t>Partially verified</w:t>
      </w:r>
      <w:r>
        <w:t>. Action: memo reports the comparison as a range with both definitions and the two dates, and never as a single headline gap.</w:t>
      </w:r>
    </w:p>
    <w:p>
      <w:r>
        <w:rPr>
          <w:b/>
        </w:rPr>
        <w:t>A lit-review cell that counts as empty.</w:t>
      </w:r>
      <w:r>
        <w:t xml:space="preserve"> "Validity check: the authors compared AI and human results and found them similar." No criterion, no method, no number. Rewrite from the results table: what was compared, against which human data, and what agreement figure they report.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