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M3 — Pre-registered codebook experiment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15 of the STAMP project's 100 (= 6% of the course)</w:t>
            </w:r>
          </w:p>
        </w:tc>
      </w:tr>
      <w:tr>
        <w:tc>
          <w:tcPr>
            <w:tcW w:type="dxa" w:w="4968"/>
          </w:tcPr>
          <w:p>
            <w:r>
              <w:rPr>
                <w:sz w:val="19"/>
              </w:rPr>
            </w:r>
            <w:r>
              <w:rPr>
                <w:sz w:val="19"/>
              </w:rPr>
              <w:t>Due</w:t>
            </w:r>
          </w:p>
        </w:tc>
        <w:tc>
          <w:tcPr>
            <w:tcW w:type="dxa" w:w="4968"/>
          </w:tcPr>
          <w:p>
            <w:r>
              <w:rPr>
                <w:sz w:val="19"/>
              </w:rPr>
            </w:r>
            <w:r>
              <w:rPr>
                <w:sz w:val="19"/>
              </w:rPr>
              <w:t>Friday Nov 13, 11:59 PM — pre-registration block committed by Friday Nov 6</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Canvas — one PDF export of this doc's template, filled + the link and commit hash of your committed PREREG</w:t>
            </w:r>
          </w:p>
        </w:tc>
      </w:tr>
    </w:tbl>
    <w:p/>
    <w:p>
      <w:r>
        <w:rPr>
          <w:b/>
        </w:rPr>
        <w:t>Where this fits:</w:t>
      </w:r>
      <w:r>
        <w:t xml:space="preserve"> Lecture — Oct 30 </w:t>
      </w:r>
      <w:r>
        <w:rPr>
          <w:i/>
        </w:rPr>
        <w:t>Analytics II — experiments + STAMP hypothesis design</w:t>
      </w:r>
      <w:r>
        <w:t xml:space="preserve"> → Project beat — experiment runs → Stack layer — </w:t>
      </w:r>
      <w:r>
        <w:rPr>
          <w:b/>
        </w:rPr>
        <w:t>experiment</w:t>
      </w:r>
      <w:r>
        <w:t>.</w:t>
      </w:r>
    </w:p>
    <w:p>
      <w:pPr>
        <w:pStyle w:val="Heading2"/>
      </w:pPr>
      <w:r>
        <w:t>The gist</w:t>
      </w:r>
    </w:p>
    <w:p>
      <w:r>
        <w:t>M2 asked which pipeline design to ship. M3 asks a research question about the codebook itself, and answers it the way the research program does: hypothesis and decision rule written down before any paid run, one manipulation per arm, a paired-bootstrap confidence interval, and a verdict you are bound to by your own rule. A null result honestly reported earns full credit; a hypothesis rewritten after the numbers came in earns the bottom band. Done well, M3 gives your final report its cleanest section and gives your extension a method to reuse.</w:t>
      </w:r>
    </w:p>
    <w:p>
      <w:pPr>
        <w:pStyle w:val="Heading2"/>
      </w:pPr>
      <w:r>
        <w:t>Steps</w:t>
      </w:r>
    </w:p>
    <w:p>
      <w:pPr>
        <w:pStyle w:val="ListNumber"/>
      </w:pPr>
      <w:r>
        <w:rPr>
          <w:b/>
        </w:rPr>
        <w:t>Choose one sanctioned cell</w:t>
      </w:r>
      <w:r>
        <w:t xml:space="preserve"> from the Experiment Design Guide on the Course Hub: </w:t>
      </w:r>
      <w:r>
        <w:rPr>
          <w:b/>
        </w:rPr>
        <w:t>A</w:t>
      </w:r>
      <w:r>
        <w:t xml:space="preserve"> definition-variant grid (starting prompt only, no loop), </w:t>
      </w:r>
      <w:r>
        <w:rPr>
          <w:b/>
        </w:rPr>
        <w:t>B</w:t>
      </w:r>
      <w:r>
        <w:t xml:space="preserve"> component ablation of your own M2 codebook (</w:t>
      </w:r>
      <w:r>
        <w:rPr>
          <w:rFonts w:ascii="Courier New" w:hAnsi="Courier New"/>
        </w:rPr>
        <w:t>noinc</w:t>
      </w:r>
      <w:r>
        <w:t xml:space="preserve"> / </w:t>
      </w:r>
      <w:r>
        <w:rPr>
          <w:rFonts w:ascii="Courier New" w:hAnsi="Courier New"/>
        </w:rPr>
        <w:t>nodef</w:t>
      </w:r>
      <w:r>
        <w:t xml:space="preserve">, byte-identical otherwise), or </w:t>
      </w:r>
      <w:r>
        <w:rPr>
          <w:b/>
        </w:rPr>
        <w:t>C</w:t>
      </w:r>
      <w:r>
        <w:t xml:space="preserve"> seed → loop (does the starting seed change the loop's gain?). If you can't decide, take B — cheapest and no reviser noise.</w:t>
      </w:r>
    </w:p>
    <w:p>
      <w:pPr>
        <w:pStyle w:val="ListNumber"/>
      </w:pPr>
      <w:r>
        <w:rPr>
          <w:b/>
        </w:rPr>
        <w:t>Fill the pre-registration block (Appendix A, Table 1) BEFORE any paid run.</w:t>
      </w:r>
      <w:r>
        <w:t xml:space="preserve"> Directional hypothesis, exact arms and version tags, primary metric (F1 vs class GT, per coder), the decision rule, cost preview, stop condition. Commit it to your team repo as </w:t>
      </w:r>
      <w:r>
        <w:rPr>
          <w:rFonts w:ascii="Courier New" w:hAnsi="Courier New"/>
        </w:rPr>
        <w:t>experiments/m3/PREREG.md</w:t>
      </w:r>
      <w:r>
        <w:t xml:space="preserve"> by </w:t>
      </w:r>
      <w:r>
        <w:rPr>
          <w:b/>
        </w:rPr>
        <w:t>Fri Nov 6</w:t>
      </w:r>
      <w:r>
        <w:t xml:space="preserve"> and keep the commit hash — runs made before the commit don't count.</w:t>
      </w:r>
    </w:p>
    <w:p>
      <w:pPr>
        <w:pStyle w:val="ListNumber"/>
      </w:pPr>
      <w:r>
        <w:rPr>
          <w:b/>
        </w:rPr>
        <w:t>Dry-run every arm</w:t>
      </w:r>
      <w:r>
        <w:t xml:space="preserve"> and paste the </w:t>
      </w:r>
      <w:r>
        <w:rPr>
          <w:rFonts w:ascii="Courier New" w:hAnsi="Courier New"/>
        </w:rPr>
        <w:t>--dry-run</w:t>
      </w:r>
      <w:r>
        <w:t xml:space="preserve"> lines verbatim into the cost preview. M3 budget is under $1.00 in every cell; Cell C needs the one-coder-first trim described in the guide, stated in the block.</w:t>
      </w:r>
    </w:p>
    <w:p>
      <w:pPr>
        <w:pStyle w:val="ListNumber"/>
      </w:pPr>
      <w:r>
        <w:rPr>
          <w:b/>
        </w:rPr>
        <w:t>Run the arms</w:t>
      </w:r>
      <w:r>
        <w:t xml:space="preserve"> with both coders, same rows, same seed. Edit exactly one thing per arm; the diff of each prompt against its parent goes in your appendix.</w:t>
      </w:r>
    </w:p>
    <w:p>
      <w:pPr>
        <w:pStyle w:val="ListNumber"/>
      </w:pPr>
      <w:r>
        <w:rPr>
          <w:b/>
        </w:rPr>
        <w:t>Compute the paired bootstrap</w:t>
      </w:r>
      <w:r>
        <w:t xml:space="preserve"> on the row-level F1 difference, B = 5000, seed 42, per coder; α per arm alongside (α without F1 is the tripwire you learned in M2). Fill Table 2 with a provenance line under every number: </w:t>
      </w:r>
      <w:r>
        <w:rPr>
          <w:rFonts w:ascii="Courier New" w:hAnsi="Courier New"/>
        </w:rPr>
        <w:t>command → output file → field</w:t>
      </w:r>
      <w:r>
        <w:t>.</w:t>
      </w:r>
    </w:p>
    <w:p>
      <w:pPr>
        <w:pStyle w:val="ListNumber"/>
      </w:pPr>
      <w:r>
        <w:rPr>
          <w:b/>
        </w:rPr>
        <w:t>Deliver the verdict by the pre-registered rule</w:t>
      </w:r>
      <w:r>
        <w:t xml:space="preserve"> — supported / refuted / null — then two or three sentences on mechanism (did precision or recall move, and why) and one sentence placing your direction next to the published result for the same cell. Compare shape and direction, never digits.</w:t>
      </w:r>
    </w:p>
    <w:p>
      <w:pPr>
        <w:pStyle w:val="ListNumber"/>
      </w:pPr>
      <w:r>
        <w:rPr>
          <w:b/>
        </w:rPr>
        <w:t>Say what you'd run next</w:t>
      </w:r>
      <w:r>
        <w:t>: one experiment, one sentence, with its cost. Log any post-commit change in the amendment log with a date and reason.</w:t>
      </w:r>
    </w:p>
    <w:p>
      <w:pPr>
        <w:pStyle w:val="Heading2"/>
      </w:pPr>
      <w:r>
        <w:t>What to submit</w:t>
      </w:r>
    </w:p>
    <w:p>
      <w:pPr>
        <w:ind w:left="360"/>
      </w:pPr>
      <w:r>
        <w:rPr>
          <w:b/>
        </w:rPr>
        <w:t xml:space="preserve">☐  </w:t>
      </w:r>
      <w:r>
        <w:t>Pre-registration block (Table 1) filled, with the repo link and commit hash dated on or before Nov 6</w:t>
      </w:r>
    </w:p>
    <w:p>
      <w:pPr>
        <w:ind w:left="360"/>
      </w:pPr>
      <w:r>
        <w:rPr>
          <w:b/>
        </w:rPr>
        <w:t xml:space="preserve">☐  </w:t>
      </w:r>
      <w:r>
        <w:t>Results table (Table 2): every arm × coder with F1, ΔF1, 95% CI, α, and a provenance line per number</w:t>
      </w:r>
    </w:p>
    <w:p>
      <w:pPr>
        <w:ind w:left="360"/>
      </w:pPr>
      <w:r>
        <w:rPr>
          <w:b/>
        </w:rPr>
        <w:t xml:space="preserve">☐  </w:t>
      </w:r>
      <w:r>
        <w:t>Verdict box: supported / refuted / null by your own rule, mechanism, placement vs the published direction</w:t>
      </w:r>
    </w:p>
    <w:p>
      <w:pPr>
        <w:ind w:left="360"/>
      </w:pPr>
      <w:r>
        <w:rPr>
          <w:b/>
        </w:rPr>
        <w:t xml:space="preserve">☐  </w:t>
      </w:r>
      <w:r>
        <w:t>Next-step box: one experiment, one sentence, one cost</w:t>
      </w:r>
    </w:p>
    <w:p>
      <w:pPr>
        <w:ind w:left="360"/>
      </w:pPr>
      <w:r>
        <w:rPr>
          <w:b/>
        </w:rPr>
        <w:t xml:space="preserve">☐  </w:t>
      </w:r>
      <w:r>
        <w:t>Appendix: diff of every prompt arm vs its parent; dry-run estimate vs actual spend</w:t>
      </w:r>
    </w:p>
    <w:p>
      <w:pPr>
        <w:ind w:left="360"/>
      </w:pPr>
      <w:r>
        <w:rPr>
          <w:b/>
        </w:rPr>
        <w:t xml:space="preserve">☐  </w:t>
      </w:r>
      <w:r>
        <w:t>AI disclosure (below), with tools, actual prompts, and transcript links</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Pre-registration complete before runs</w:t>
            </w:r>
          </w:p>
        </w:tc>
        <w:tc>
          <w:tcPr>
            <w:tcW w:type="dxa" w:w="3312"/>
          </w:tcPr>
          <w:p>
            <w:r>
              <w:rPr>
                <w:sz w:val="19"/>
              </w:rPr>
            </w:r>
            <w:r>
              <w:rPr>
                <w:sz w:val="19"/>
              </w:rPr>
              <w:t>25%</w:t>
            </w:r>
          </w:p>
        </w:tc>
        <w:tc>
          <w:tcPr>
            <w:tcW w:type="dxa" w:w="3312"/>
          </w:tcPr>
          <w:p>
            <w:r>
              <w:rPr>
                <w:sz w:val="19"/>
              </w:rPr>
            </w:r>
            <w:r>
              <w:rPr>
                <w:sz w:val="19"/>
              </w:rPr>
              <w:t>Directional H, arms, metric, decision rule, cost preview, and stop condition all filled and committed by Nov 6; the hash checks out; amendment log is honest</w:t>
            </w:r>
          </w:p>
        </w:tc>
      </w:tr>
      <w:tr>
        <w:tc>
          <w:tcPr>
            <w:tcW w:type="dxa" w:w="3312"/>
          </w:tcPr>
          <w:p>
            <w:r>
              <w:rPr>
                <w:sz w:val="19"/>
              </w:rPr>
            </w:r>
            <w:r>
              <w:rPr>
                <w:sz w:val="19"/>
              </w:rPr>
              <w:t>Design executed as registered</w:t>
            </w:r>
          </w:p>
        </w:tc>
        <w:tc>
          <w:tcPr>
            <w:tcW w:type="dxa" w:w="3312"/>
          </w:tcPr>
          <w:p>
            <w:r>
              <w:rPr>
                <w:sz w:val="19"/>
              </w:rPr>
            </w:r>
            <w:r>
              <w:rPr>
                <w:sz w:val="19"/>
              </w:rPr>
              <w:t>25%</w:t>
            </w:r>
          </w:p>
        </w:tc>
        <w:tc>
          <w:tcPr>
            <w:tcW w:type="dxa" w:w="3312"/>
          </w:tcPr>
          <w:p>
            <w:r>
              <w:rPr>
                <w:sz w:val="19"/>
              </w:rPr>
            </w:r>
            <w:r>
              <w:rPr>
                <w:sz w:val="19"/>
              </w:rPr>
              <w:t>Exactly one manipulation per arm (the diff shows one section); dry-run logged before every paid run; same rows, seed, and coders across arms</w:t>
            </w:r>
          </w:p>
        </w:tc>
      </w:tr>
      <w:tr>
        <w:tc>
          <w:tcPr>
            <w:tcW w:type="dxa" w:w="3312"/>
          </w:tcPr>
          <w:p>
            <w:r>
              <w:rPr>
                <w:sz w:val="19"/>
              </w:rPr>
            </w:r>
            <w:r>
              <w:rPr>
                <w:sz w:val="19"/>
              </w:rPr>
              <w:t>Statistics + CI correct</w:t>
            </w:r>
          </w:p>
        </w:tc>
        <w:tc>
          <w:tcPr>
            <w:tcW w:type="dxa" w:w="3312"/>
          </w:tcPr>
          <w:p>
            <w:r>
              <w:rPr>
                <w:sz w:val="19"/>
              </w:rPr>
            </w:r>
            <w:r>
              <w:rPr>
                <w:sz w:val="19"/>
              </w:rPr>
              <w:t>20%</w:t>
            </w:r>
          </w:p>
        </w:tc>
        <w:tc>
          <w:tcPr>
            <w:tcW w:type="dxa" w:w="3312"/>
          </w:tcPr>
          <w:p>
            <w:r>
              <w:rPr>
                <w:sz w:val="19"/>
              </w:rPr>
            </w:r>
            <w:r>
              <w:rPr>
                <w:sz w:val="19"/>
              </w:rPr>
              <w:t>Paired bootstrap B = 5000, seed 42, per coder; α reported beside F1; every number carries a command → output file → field line</w:t>
            </w:r>
          </w:p>
        </w:tc>
      </w:tr>
      <w:tr>
        <w:tc>
          <w:tcPr>
            <w:tcW w:type="dxa" w:w="3312"/>
          </w:tcPr>
          <w:p>
            <w:r>
              <w:rPr>
                <w:sz w:val="19"/>
              </w:rPr>
            </w:r>
            <w:r>
              <w:rPr>
                <w:sz w:val="19"/>
              </w:rPr>
              <w:t>Honest verdict (null = full credit)</w:t>
            </w:r>
          </w:p>
        </w:tc>
        <w:tc>
          <w:tcPr>
            <w:tcW w:type="dxa" w:w="3312"/>
          </w:tcPr>
          <w:p>
            <w:r>
              <w:rPr>
                <w:sz w:val="19"/>
              </w:rPr>
            </w:r>
            <w:r>
              <w:rPr>
                <w:sz w:val="19"/>
              </w:rPr>
              <w:t>20%</w:t>
            </w:r>
          </w:p>
        </w:tc>
        <w:tc>
          <w:tcPr>
            <w:tcW w:type="dxa" w:w="3312"/>
          </w:tcPr>
          <w:p>
            <w:r>
              <w:rPr>
                <w:sz w:val="19"/>
              </w:rPr>
            </w:r>
            <w:r>
              <w:rPr>
                <w:sz w:val="19"/>
              </w:rPr>
              <w:t>Verdict follows the pre-registered rule even when the result is null; mechanism argued from precision/recall movement; "what we'd run next" is something a researcher could actually run</w:t>
            </w:r>
          </w:p>
        </w:tc>
      </w:tr>
      <w:tr>
        <w:tc>
          <w:tcPr>
            <w:tcW w:type="dxa" w:w="3312"/>
          </w:tcPr>
          <w:p>
            <w:r>
              <w:rPr>
                <w:sz w:val="19"/>
              </w:rPr>
            </w:r>
            <w:r>
              <w:rPr>
                <w:sz w:val="19"/>
              </w:rPr>
              <w:t>Process &amp; AI disclosure</w:t>
            </w:r>
          </w:p>
        </w:tc>
        <w:tc>
          <w:tcPr>
            <w:tcW w:type="dxa" w:w="3312"/>
          </w:tcPr>
          <w:p>
            <w:r>
              <w:rPr>
                <w:sz w:val="19"/>
              </w:rPr>
            </w:r>
            <w:r>
              <w:rPr>
                <w:sz w:val="19"/>
              </w:rPr>
              <w:t>10%</w:t>
            </w:r>
          </w:p>
        </w:tc>
        <w:tc>
          <w:tcPr>
            <w:tcW w:type="dxa" w:w="3312"/>
          </w:tcPr>
          <w:p>
            <w:r>
              <w:rPr>
                <w:sz w:val="19"/>
              </w:rPr>
            </w:r>
            <w:r>
              <w:rPr>
                <w:sz w:val="19"/>
              </w:rPr>
              <w:t>Human-first work documented; the disclosure answers name the actual change</w:t>
            </w:r>
          </w:p>
        </w:tc>
      </w:tr>
    </w:tbl>
    <w:p/>
    <w:p>
      <w:pPr>
        <w:pStyle w:val="Heading2"/>
      </w:pPr>
      <w:r>
        <w:t>AI disclosure (required)</w:t>
      </w:r>
    </w:p>
    <w:p>
      <w:r>
        <w:rPr>
          <w:b/>
        </w:rPr>
        <w:t>Human first.</w:t>
      </w:r>
      <w:r>
        <w:t xml:space="preserve"> Draft or plan this yourselves before any AI touches it; that order is the only way to</w:t>
      </w:r>
    </w:p>
    <w:p>
      <w:r>
        <w:t>see what AI actually adds — or quietly subtracts. Then use AI freely and log the consequential uses</w:t>
      </w:r>
    </w:p>
    <w:p>
      <w:r>
        <w:t>in the delta style you learned with the Kindle Fire case (tags: evidence / structure / counterargument /</w:t>
      </w:r>
    </w:p>
    <w:p>
      <w:r>
        <w:t>math check / wording):</w:t>
      </w:r>
    </w:p>
    <w:p>
      <w:r>
        <w:t xml:space="preserve">(a) </w:t>
      </w:r>
      <w:r>
        <w:rPr>
          <w:b/>
        </w:rPr>
        <w:t>What we asked</w:t>
      </w:r>
      <w:r>
        <w:t xml:space="preserve"> — the two or three prompts that mattered, in one line each.</w:t>
      </w:r>
    </w:p>
    <w:p>
      <w:r>
        <w:t xml:space="preserve">(b) </w:t>
      </w:r>
      <w:r>
        <w:rPr>
          <w:b/>
        </w:rPr>
        <w:t>What we kept</w:t>
      </w:r>
      <w:r>
        <w:t xml:space="preserve"> — the change we accepted, and why it was an improvement.</w:t>
      </w:r>
    </w:p>
    <w:p>
      <w:r>
        <w:t xml:space="preserve">(c) </w:t>
      </w:r>
      <w:r>
        <w:rPr>
          <w:b/>
        </w:rPr>
        <w:t>What we overrode</w:t>
      </w:r>
      <w:r>
        <w:t xml:space="preserve"> — the AI suggestion we rejected or rewrote, and why.</w:t>
      </w:r>
    </w:p>
    <w:p>
      <w:r>
        <w:t>List the tools used and paste the transcript link(s). Generic answers ("AI helped with clarity") score</w:t>
      </w:r>
    </w:p>
    <w:p>
      <w:r>
        <w:t>zero on this category; name the actual change.</w:t>
      </w:r>
    </w:p>
    <w:p>
      <w:r>
        <w:br w:type="page"/>
      </w:r>
    </w:p>
    <w:p>
      <w:pPr>
        <w:pStyle w:val="Heading2"/>
      </w:pPr>
      <w:r>
        <w:t>Appendix A — Template (fill this out)</w:t>
      </w:r>
    </w:p>
    <w:p>
      <w:r>
        <w:rPr>
          <w:b/>
        </w:rPr>
        <w:t>Table 1 — Pre-registration block.</w:t>
      </w:r>
      <w:r>
        <w:t xml:space="preserve"> Fill every row before your first paid run; the same content goes into </w:t>
      </w:r>
      <w:r>
        <w:rPr>
          <w:rFonts w:ascii="Courier New" w:hAnsi="Courier New"/>
        </w:rPr>
        <w:t>experiments/m3/PREREG.md</w:t>
      </w:r>
      <w:r>
        <w:t xml:space="preserve"> in your team repo. Team: ______ · Committed on: ______ · Commit hash: ______ · Repo link: ______</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7056"/>
        <w:gridCol w:w="7056"/>
      </w:tblGrid>
      <w:tr>
        <w:tc>
          <w:tcPr>
            <w:tcW w:type="dxa" w:w="7056"/>
          </w:tcPr>
          <w:p>
            <w:r>
              <w:rPr>
                <w:b/>
                <w:sz w:val="18"/>
              </w:rPr>
            </w:r>
            <w:r>
              <w:rPr>
                <w:b/>
                <w:sz w:val="18"/>
              </w:rPr>
              <w:t>Field</w:t>
            </w:r>
          </w:p>
        </w:tc>
        <w:tc>
          <w:tcPr>
            <w:tcW w:type="dxa" w:w="7056"/>
          </w:tcPr>
          <w:p>
            <w:r>
              <w:rPr>
                <w:b/>
                <w:sz w:val="18"/>
              </w:rPr>
            </w:r>
            <w:r>
              <w:rPr>
                <w:b/>
                <w:sz w:val="18"/>
              </w:rPr>
              <w:t>Your entry</w:t>
            </w:r>
          </w:p>
        </w:tc>
      </w:tr>
      <w:tr>
        <w:tc>
          <w:tcPr>
            <w:tcW w:type="dxa" w:w="7056"/>
          </w:tcPr>
          <w:p>
            <w:r>
              <w:rPr>
                <w:sz w:val="18"/>
              </w:rPr>
            </w:r>
            <w:r>
              <w:rPr>
                <w:sz w:val="18"/>
              </w:rPr>
              <w:t>Hypothesis (H1, directional, one sentence: arm ___ will have higher / lower / the same F1 than arm ___ because ___)</w:t>
            </w:r>
          </w:p>
        </w:tc>
        <w:tc>
          <w:tcPr>
            <w:tcW w:type="dxa" w:w="7056"/>
          </w:tcPr>
          <w:p>
            <w:r>
              <w:rPr>
                <w:sz w:val="18"/>
              </w:rPr>
            </w:r>
          </w:p>
        </w:tc>
      </w:tr>
      <w:tr>
        <w:tc>
          <w:tcPr>
            <w:tcW w:type="dxa" w:w="7056"/>
          </w:tcPr>
          <w:p>
            <w:r>
              <w:rPr>
                <w:sz w:val="18"/>
              </w:rPr>
            </w:r>
            <w:r>
              <w:rPr>
                <w:sz w:val="18"/>
              </w:rPr>
              <w:t>Optional H2 on α (same form)</w:t>
            </w:r>
          </w:p>
        </w:tc>
        <w:tc>
          <w:tcPr>
            <w:tcW w:type="dxa" w:w="7056"/>
          </w:tcPr>
          <w:p>
            <w:r>
              <w:rPr>
                <w:sz w:val="18"/>
              </w:rPr>
            </w:r>
          </w:p>
        </w:tc>
      </w:tr>
      <w:tr>
        <w:tc>
          <w:tcPr>
            <w:tcW w:type="dxa" w:w="7056"/>
          </w:tcPr>
          <w:p>
            <w:r>
              <w:rPr>
                <w:sz w:val="18"/>
              </w:rPr>
            </w:r>
            <w:r>
              <w:rPr>
                <w:sz w:val="18"/>
              </w:rPr>
              <w:t>Cell (A def-variant / B component ablation / C seed → loop)</w:t>
            </w:r>
          </w:p>
        </w:tc>
        <w:tc>
          <w:tcPr>
            <w:tcW w:type="dxa" w:w="7056"/>
          </w:tcPr>
          <w:p>
            <w:r>
              <w:rPr>
                <w:sz w:val="18"/>
              </w:rPr>
            </w:r>
          </w:p>
        </w:tc>
      </w:tr>
      <w:tr>
        <w:tc>
          <w:tcPr>
            <w:tcW w:type="dxa" w:w="7056"/>
          </w:tcPr>
          <w:p>
            <w:r>
              <w:rPr>
                <w:sz w:val="18"/>
              </w:rPr>
            </w:r>
            <w:r>
              <w:rPr>
                <w:sz w:val="18"/>
              </w:rPr>
              <w:t>Construct + benchmark size (Solving Work, class GT, n = ___, positives = ___ %)</w:t>
            </w:r>
          </w:p>
        </w:tc>
        <w:tc>
          <w:tcPr>
            <w:tcW w:type="dxa" w:w="7056"/>
          </w:tcPr>
          <w:p>
            <w:r>
              <w:rPr>
                <w:sz w:val="18"/>
              </w:rPr>
            </w:r>
          </w:p>
        </w:tc>
      </w:tr>
      <w:tr>
        <w:tc>
          <w:tcPr>
            <w:tcW w:type="dxa" w:w="7056"/>
          </w:tcPr>
          <w:p>
            <w:r>
              <w:rPr>
                <w:sz w:val="18"/>
              </w:rPr>
            </w:r>
            <w:r>
              <w:rPr>
                <w:sz w:val="18"/>
              </w:rPr>
              <w:t>Prompt arms + exact version tags (</w:t>
            </w:r>
            <w:r>
              <w:rPr>
                <w:rFonts w:ascii="Courier New" w:hAnsi="Courier New"/>
                <w:sz w:val="18"/>
              </w:rPr>
              <w:t>SolvingWork:___</w:t>
            </w:r>
            <w:r>
              <w:rPr>
                <w:sz w:val="18"/>
              </w:rPr>
              <w:t xml:space="preserve"> vs </w:t>
            </w:r>
            <w:r>
              <w:rPr>
                <w:rFonts w:ascii="Courier New" w:hAnsi="Courier New"/>
                <w:sz w:val="18"/>
              </w:rPr>
              <w:t>SolvingWork:___</w:t>
            </w:r>
            <w:r>
              <w:rPr>
                <w:sz w:val="18"/>
              </w:rPr>
              <w:t>)</w:t>
            </w:r>
          </w:p>
        </w:tc>
        <w:tc>
          <w:tcPr>
            <w:tcW w:type="dxa" w:w="7056"/>
          </w:tcPr>
          <w:p>
            <w:r>
              <w:rPr>
                <w:sz w:val="18"/>
              </w:rPr>
            </w:r>
          </w:p>
        </w:tc>
      </w:tr>
      <w:tr>
        <w:tc>
          <w:tcPr>
            <w:tcW w:type="dxa" w:w="7056"/>
          </w:tcPr>
          <w:p>
            <w:r>
              <w:rPr>
                <w:sz w:val="18"/>
              </w:rPr>
            </w:r>
            <w:r>
              <w:rPr>
                <w:sz w:val="18"/>
              </w:rPr>
              <w:t>Coders (both arms, both coders) · judge / reviser if the cell loops · reviser draws per seed</w:t>
            </w:r>
          </w:p>
        </w:tc>
        <w:tc>
          <w:tcPr>
            <w:tcW w:type="dxa" w:w="7056"/>
          </w:tcPr>
          <w:p>
            <w:r>
              <w:rPr>
                <w:sz w:val="18"/>
              </w:rPr>
            </w:r>
          </w:p>
        </w:tc>
      </w:tr>
      <w:tr>
        <w:tc>
          <w:tcPr>
            <w:tcW w:type="dxa" w:w="7056"/>
          </w:tcPr>
          <w:p>
            <w:r>
              <w:rPr>
                <w:sz w:val="18"/>
              </w:rPr>
            </w:r>
            <w:r>
              <w:rPr>
                <w:sz w:val="18"/>
              </w:rPr>
              <w:t>Metric — primary (F1 vs class GT, per coder) · secondary (inter-model α; positive rate vs base rate)</w:t>
            </w:r>
          </w:p>
        </w:tc>
        <w:tc>
          <w:tcPr>
            <w:tcW w:type="dxa" w:w="7056"/>
          </w:tcPr>
          <w:p>
            <w:r>
              <w:rPr>
                <w:sz w:val="18"/>
              </w:rPr>
            </w:r>
          </w:p>
        </w:tc>
      </w:tr>
      <w:tr>
        <w:tc>
          <w:tcPr>
            <w:tcW w:type="dxa" w:w="7056"/>
          </w:tcPr>
          <w:p>
            <w:r>
              <w:rPr>
                <w:sz w:val="18"/>
              </w:rPr>
            </w:r>
            <w:r>
              <w:rPr>
                <w:sz w:val="18"/>
              </w:rPr>
              <w:t>Decision rule (paired bootstrap on row-level ΔF1, B = 5000, seed 42 — state your supported / refuted / null conditions)</w:t>
            </w:r>
          </w:p>
        </w:tc>
        <w:tc>
          <w:tcPr>
            <w:tcW w:type="dxa" w:w="7056"/>
          </w:tcPr>
          <w:p>
            <w:r>
              <w:rPr>
                <w:sz w:val="18"/>
              </w:rPr>
            </w:r>
          </w:p>
        </w:tc>
      </w:tr>
      <w:tr>
        <w:tc>
          <w:tcPr>
            <w:tcW w:type="dxa" w:w="7056"/>
          </w:tcPr>
          <w:p>
            <w:r>
              <w:rPr>
                <w:sz w:val="18"/>
              </w:rPr>
            </w:r>
            <w:r>
              <w:rPr>
                <w:sz w:val="18"/>
              </w:rPr>
              <w:t xml:space="preserve">Cost preview (paste the </w:t>
            </w:r>
            <w:r>
              <w:rPr>
                <w:rFonts w:ascii="Courier New" w:hAnsi="Courier New"/>
                <w:sz w:val="18"/>
              </w:rPr>
              <w:t>--dry-run</w:t>
            </w:r>
            <w:r>
              <w:rPr>
                <w:sz w:val="18"/>
              </w:rPr>
              <w:t xml:space="preserve"> lines verbatim: arm 1 $___ · arm 2 $___ · loop/judge $___ · total $___ · cap $1.00)</w:t>
            </w:r>
          </w:p>
        </w:tc>
        <w:tc>
          <w:tcPr>
            <w:tcW w:type="dxa" w:w="7056"/>
          </w:tcPr>
          <w:p>
            <w:r>
              <w:rPr>
                <w:sz w:val="18"/>
              </w:rPr>
            </w:r>
          </w:p>
        </w:tc>
      </w:tr>
      <w:tr>
        <w:tc>
          <w:tcPr>
            <w:tcW w:type="dxa" w:w="7056"/>
          </w:tcPr>
          <w:p>
            <w:r>
              <w:rPr>
                <w:sz w:val="18"/>
              </w:rPr>
            </w:r>
            <w:r>
              <w:rPr>
                <w:sz w:val="18"/>
              </w:rPr>
              <w:t>Stop condition (spend reaches $___; invalid-prediction rate &gt; 5% after one retry; reviser draw fails the format check)</w:t>
            </w:r>
          </w:p>
        </w:tc>
        <w:tc>
          <w:tcPr>
            <w:tcW w:type="dxa" w:w="7056"/>
          </w:tcPr>
          <w:p>
            <w:r>
              <w:rPr>
                <w:sz w:val="18"/>
              </w:rPr>
            </w:r>
          </w:p>
        </w:tc>
      </w:tr>
      <w:tr>
        <w:tc>
          <w:tcPr>
            <w:tcW w:type="dxa" w:w="7056"/>
          </w:tcPr>
          <w:p>
            <w:r>
              <w:rPr>
                <w:sz w:val="18"/>
              </w:rPr>
            </w:r>
            <w:r>
              <w:rPr>
                <w:sz w:val="18"/>
              </w:rPr>
              <w:t>Amendment log (date · change · reason; empty = no changes)</w:t>
            </w:r>
          </w:p>
        </w:tc>
        <w:tc>
          <w:tcPr>
            <w:tcW w:type="dxa" w:w="7056"/>
          </w:tcPr>
          <w:p>
            <w:r>
              <w:rPr>
                <w:sz w:val="18"/>
              </w:rPr>
            </w:r>
          </w:p>
        </w:tc>
      </w:tr>
    </w:tbl>
    <w:p/>
    <w:p>
      <w:r>
        <w:rPr>
          <w:b/>
        </w:rPr>
        <w:t>Table 2 — Results.</w:t>
      </w:r>
      <w:r>
        <w:t xml:space="preserve"> One row per arm × coder; the parent / baseline arm sits in the same table. A provenance line is required for every numeric cell.</w:t>
      </w:r>
    </w:p>
    <w:tbl>
      <w:tblPr>
        <w:tblStyle w:val="TableGrid"/>
        <w:tblW w:type="auto" w:w="0"/>
        <w:tblLook w:firstColumn="1" w:firstRow="1" w:lastColumn="0" w:lastRow="0" w:noHBand="0" w:noVBand="1" w:val="04A0"/>
      </w:tblPr>
      <w:tblGrid>
        <w:gridCol w:w="1411"/>
        <w:gridCol w:w="1411"/>
        <w:gridCol w:w="1411"/>
        <w:gridCol w:w="1411"/>
        <w:gridCol w:w="1411"/>
        <w:gridCol w:w="1411"/>
        <w:gridCol w:w="1411"/>
        <w:gridCol w:w="1411"/>
        <w:gridCol w:w="1411"/>
        <w:gridCol w:w="1411"/>
      </w:tblGrid>
      <w:tr>
        <w:tc>
          <w:tcPr>
            <w:tcW w:type="dxa" w:w="1411"/>
          </w:tcPr>
          <w:p>
            <w:r>
              <w:rPr>
                <w:b/>
                <w:sz w:val="18"/>
              </w:rPr>
            </w:r>
            <w:r>
              <w:rPr>
                <w:b/>
                <w:sz w:val="18"/>
              </w:rPr>
              <w:t>Arm (version tag)</w:t>
            </w:r>
          </w:p>
        </w:tc>
        <w:tc>
          <w:tcPr>
            <w:tcW w:type="dxa" w:w="1411"/>
          </w:tcPr>
          <w:p>
            <w:r>
              <w:rPr>
                <w:b/>
                <w:sz w:val="18"/>
              </w:rPr>
            </w:r>
            <w:r>
              <w:rPr>
                <w:b/>
                <w:sz w:val="18"/>
              </w:rPr>
              <w:t>Coder</w:t>
            </w:r>
          </w:p>
        </w:tc>
        <w:tc>
          <w:tcPr>
            <w:tcW w:type="dxa" w:w="1411"/>
          </w:tcPr>
          <w:p>
            <w:r>
              <w:rPr>
                <w:b/>
                <w:sz w:val="18"/>
              </w:rPr>
            </w:r>
            <w:r>
              <w:rPr>
                <w:b/>
                <w:sz w:val="18"/>
              </w:rPr>
              <w:t>Precision</w:t>
            </w:r>
          </w:p>
        </w:tc>
        <w:tc>
          <w:tcPr>
            <w:tcW w:type="dxa" w:w="1411"/>
          </w:tcPr>
          <w:p>
            <w:r>
              <w:rPr>
                <w:b/>
                <w:sz w:val="18"/>
              </w:rPr>
            </w:r>
            <w:r>
              <w:rPr>
                <w:b/>
                <w:sz w:val="18"/>
              </w:rPr>
              <w:t>Recall</w:t>
            </w:r>
          </w:p>
        </w:tc>
        <w:tc>
          <w:tcPr>
            <w:tcW w:type="dxa" w:w="1411"/>
          </w:tcPr>
          <w:p>
            <w:r>
              <w:rPr>
                <w:b/>
                <w:sz w:val="18"/>
              </w:rPr>
            </w:r>
            <w:r>
              <w:rPr>
                <w:b/>
                <w:sz w:val="18"/>
              </w:rPr>
              <w:t>Positive rate</w:t>
            </w:r>
          </w:p>
        </w:tc>
        <w:tc>
          <w:tcPr>
            <w:tcW w:type="dxa" w:w="1411"/>
          </w:tcPr>
          <w:p>
            <w:r>
              <w:rPr>
                <w:b/>
                <w:sz w:val="18"/>
              </w:rPr>
            </w:r>
            <w:r>
              <w:rPr>
                <w:b/>
                <w:sz w:val="18"/>
              </w:rPr>
              <w:t>F1</w:t>
            </w:r>
          </w:p>
        </w:tc>
        <w:tc>
          <w:tcPr>
            <w:tcW w:type="dxa" w:w="1411"/>
          </w:tcPr>
          <w:p>
            <w:r>
              <w:rPr>
                <w:b/>
                <w:sz w:val="18"/>
              </w:rPr>
            </w:r>
            <w:r>
              <w:rPr>
                <w:b/>
                <w:sz w:val="18"/>
              </w:rPr>
              <w:t>ΔF1 vs baseline</w:t>
            </w:r>
          </w:p>
        </w:tc>
        <w:tc>
          <w:tcPr>
            <w:tcW w:type="dxa" w:w="1411"/>
          </w:tcPr>
          <w:p>
            <w:r>
              <w:rPr>
                <w:b/>
                <w:sz w:val="18"/>
              </w:rPr>
            </w:r>
            <w:r>
              <w:rPr>
                <w:b/>
                <w:sz w:val="18"/>
              </w:rPr>
              <w:t>95% CI (B = 5000, seed 42)</w:t>
            </w:r>
          </w:p>
        </w:tc>
        <w:tc>
          <w:tcPr>
            <w:tcW w:type="dxa" w:w="1411"/>
          </w:tcPr>
          <w:p>
            <w:r>
              <w:rPr>
                <w:b/>
                <w:sz w:val="18"/>
              </w:rPr>
            </w:r>
            <w:r>
              <w:rPr>
                <w:b/>
                <w:sz w:val="18"/>
              </w:rPr>
              <w:t>α (per arm)</w:t>
            </w:r>
          </w:p>
        </w:tc>
        <w:tc>
          <w:tcPr>
            <w:tcW w:type="dxa" w:w="1411"/>
          </w:tcPr>
          <w:p>
            <w:r>
              <w:rPr>
                <w:b/>
                <w:sz w:val="18"/>
              </w:rPr>
            </w:r>
            <w:r>
              <w:rPr>
                <w:b/>
                <w:sz w:val="18"/>
              </w:rPr>
              <w:t>Provenance: command → output file → field</w:t>
            </w:r>
          </w:p>
        </w:tc>
      </w:tr>
    </w:tbl>
    <w:p/>
    <w:p>
      <w:pPr>
        <w:sectPr>
          <w:pgSz w:w="15840" w:h="12240" w:orient="landscape"/>
          <w:pgMar w:top="1008" w:right="864" w:bottom="1008" w:left="864" w:header="720" w:footer="720" w:gutter="0"/>
          <w:cols w:space="720"/>
          <w:docGrid w:linePitch="360"/>
        </w:sectPr>
      </w:pPr>
    </w:p>
    <w:p>
      <w:r>
        <w:rPr>
          <w:b/>
        </w:rPr>
        <w:t>Verdict box</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Verdict by the pre-registered rule (supported / refuted / null)</w:t>
            </w:r>
          </w:p>
        </w:tc>
        <w:tc>
          <w:tcPr>
            <w:tcW w:type="dxa" w:w="4968"/>
          </w:tcPr>
          <w:p>
            <w:r>
              <w:rPr>
                <w:b/>
                <w:sz w:val="19"/>
              </w:rPr>
            </w:r>
          </w:p>
        </w:tc>
      </w:tr>
      <w:tr>
        <w:tc>
          <w:tcPr>
            <w:tcW w:type="dxa" w:w="4968"/>
          </w:tcPr>
          <w:p>
            <w:r>
              <w:rPr>
                <w:sz w:val="19"/>
              </w:rPr>
            </w:r>
            <w:r>
              <w:rPr>
                <w:sz w:val="19"/>
              </w:rPr>
              <w:t>Mechanism (what moved — precision or recall — and why, 2–3 sentences)</w:t>
            </w:r>
          </w:p>
        </w:tc>
        <w:tc>
          <w:tcPr>
            <w:tcW w:type="dxa" w:w="4968"/>
          </w:tcPr>
          <w:p>
            <w:r>
              <w:rPr>
                <w:sz w:val="19"/>
              </w:rPr>
            </w:r>
          </w:p>
        </w:tc>
      </w:tr>
      <w:tr>
        <w:tc>
          <w:tcPr>
            <w:tcW w:type="dxa" w:w="4968"/>
          </w:tcPr>
          <w:p>
            <w:r>
              <w:rPr>
                <w:sz w:val="19"/>
              </w:rPr>
            </w:r>
            <w:r>
              <w:rPr>
                <w:sz w:val="19"/>
              </w:rPr>
              <w:t>Placement vs the published result for this cell (direction and shape, one sentence)</w:t>
            </w:r>
          </w:p>
        </w:tc>
        <w:tc>
          <w:tcPr>
            <w:tcW w:type="dxa" w:w="4968"/>
          </w:tcPr>
          <w:p>
            <w:r>
              <w:rPr>
                <w:sz w:val="19"/>
              </w:rPr>
            </w:r>
          </w:p>
        </w:tc>
      </w:tr>
      <w:tr>
        <w:tc>
          <w:tcPr>
            <w:tcW w:type="dxa" w:w="4968"/>
          </w:tcPr>
          <w:p>
            <w:r>
              <w:rPr>
                <w:sz w:val="19"/>
              </w:rPr>
            </w:r>
            <w:r>
              <w:rPr>
                <w:sz w:val="19"/>
              </w:rPr>
              <w:t>Dry-run estimate vs actual spend</w:t>
            </w:r>
          </w:p>
        </w:tc>
        <w:tc>
          <w:tcPr>
            <w:tcW w:type="dxa" w:w="4968"/>
          </w:tcPr>
          <w:p>
            <w:r>
              <w:rPr>
                <w:sz w:val="19"/>
              </w:rPr>
            </w:r>
          </w:p>
        </w:tc>
      </w:tr>
    </w:tbl>
    <w:p/>
    <w:p>
      <w:r>
        <w:rPr>
          <w:b/>
        </w:rPr>
        <w:t>Next-step box</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The one experiment we'd run next (one sentence)</w:t>
            </w:r>
          </w:p>
        </w:tc>
        <w:tc>
          <w:tcPr>
            <w:tcW w:type="dxa" w:w="4968"/>
          </w:tcPr>
          <w:p>
            <w:r>
              <w:rPr>
                <w:b/>
                <w:sz w:val="19"/>
              </w:rPr>
            </w:r>
          </w:p>
        </w:tc>
      </w:tr>
      <w:tr>
        <w:tc>
          <w:tcPr>
            <w:tcW w:type="dxa" w:w="4968"/>
          </w:tcPr>
          <w:p>
            <w:r>
              <w:rPr>
                <w:sz w:val="19"/>
              </w:rPr>
            </w:r>
            <w:r>
              <w:rPr>
                <w:sz w:val="19"/>
              </w:rPr>
              <w:t>Its estimated cost</w:t>
            </w:r>
          </w:p>
        </w:tc>
        <w:tc>
          <w:tcPr>
            <w:tcW w:type="dxa" w:w="4968"/>
          </w:tcPr>
          <w:p>
            <w:r>
              <w:rPr>
                <w:sz w:val="19"/>
              </w:rPr>
            </w:r>
          </w:p>
        </w:tc>
      </w:tr>
    </w:tbl>
    <w:p/>
    <w:p>
      <w:pPr>
        <w:pStyle w:val="Heading2"/>
      </w:pPr>
      <w:r>
        <w:t>Appendix B — Worked example (illustrative only — placeholder numbers, not a reference result)</w:t>
      </w:r>
    </w:p>
    <w:p>
      <w:r>
        <w:t xml:space="preserve">A Cell B team pre-registered: </w:t>
      </w:r>
      <w:r>
        <w:rPr>
          <w:i/>
        </w:rPr>
        <w:t>"H1: on Solving Work vs the class GT, `noinc` will have lower F1 than the parent `rt4` codebook because the inclusion criteria carry the content; `nodef` will be the same as `rt4`."</w:t>
      </w:r>
      <w:r>
        <w:t xml:space="preserve"> Decision rule as in Table 1. Dry-run: $0.44 + $0.44 = $0.88. Illustrative results, coder 1 only:</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b/>
                <w:sz w:val="19"/>
              </w:rPr>
            </w:r>
            <w:r>
              <w:rPr>
                <w:b/>
                <w:sz w:val="19"/>
              </w:rPr>
              <w:t>Arm</w:t>
            </w:r>
          </w:p>
        </w:tc>
        <w:tc>
          <w:tcPr>
            <w:tcW w:type="dxa" w:w="1104"/>
          </w:tcPr>
          <w:p>
            <w:r>
              <w:rPr>
                <w:b/>
                <w:sz w:val="19"/>
              </w:rPr>
            </w:r>
            <w:r>
              <w:rPr>
                <w:b/>
                <w:sz w:val="19"/>
              </w:rPr>
              <w:t>Coder</w:t>
            </w:r>
          </w:p>
        </w:tc>
        <w:tc>
          <w:tcPr>
            <w:tcW w:type="dxa" w:w="1104"/>
          </w:tcPr>
          <w:p>
            <w:r>
              <w:rPr>
                <w:b/>
                <w:sz w:val="19"/>
              </w:rPr>
            </w:r>
            <w:r>
              <w:rPr>
                <w:b/>
                <w:sz w:val="19"/>
              </w:rPr>
              <w:t>P</w:t>
            </w:r>
          </w:p>
        </w:tc>
        <w:tc>
          <w:tcPr>
            <w:tcW w:type="dxa" w:w="1104"/>
          </w:tcPr>
          <w:p>
            <w:r>
              <w:rPr>
                <w:b/>
                <w:sz w:val="19"/>
              </w:rPr>
            </w:r>
            <w:r>
              <w:rPr>
                <w:b/>
                <w:sz w:val="19"/>
              </w:rPr>
              <w:t>R</w:t>
            </w:r>
          </w:p>
        </w:tc>
        <w:tc>
          <w:tcPr>
            <w:tcW w:type="dxa" w:w="1104"/>
          </w:tcPr>
          <w:p>
            <w:r>
              <w:rPr>
                <w:b/>
                <w:sz w:val="19"/>
              </w:rPr>
            </w:r>
            <w:r>
              <w:rPr>
                <w:b/>
                <w:sz w:val="19"/>
              </w:rPr>
              <w:t>F1</w:t>
            </w:r>
          </w:p>
        </w:tc>
        <w:tc>
          <w:tcPr>
            <w:tcW w:type="dxa" w:w="1104"/>
          </w:tcPr>
          <w:p>
            <w:r>
              <w:rPr>
                <w:b/>
                <w:sz w:val="19"/>
              </w:rPr>
            </w:r>
            <w:r>
              <w:rPr>
                <w:b/>
                <w:sz w:val="19"/>
              </w:rPr>
              <w:t>ΔF1</w:t>
            </w:r>
          </w:p>
        </w:tc>
        <w:tc>
          <w:tcPr>
            <w:tcW w:type="dxa" w:w="1104"/>
          </w:tcPr>
          <w:p>
            <w:r>
              <w:rPr>
                <w:b/>
                <w:sz w:val="19"/>
              </w:rPr>
            </w:r>
            <w:r>
              <w:rPr>
                <w:b/>
                <w:sz w:val="19"/>
              </w:rPr>
              <w:t>95% CI</w:t>
            </w:r>
          </w:p>
        </w:tc>
        <w:tc>
          <w:tcPr>
            <w:tcW w:type="dxa" w:w="1104"/>
          </w:tcPr>
          <w:p>
            <w:r>
              <w:rPr>
                <w:b/>
                <w:sz w:val="19"/>
              </w:rPr>
            </w:r>
            <w:r>
              <w:rPr>
                <w:b/>
                <w:sz w:val="19"/>
              </w:rPr>
              <w:t>α</w:t>
            </w:r>
          </w:p>
        </w:tc>
        <w:tc>
          <w:tcPr>
            <w:tcW w:type="dxa" w:w="1104"/>
          </w:tcPr>
          <w:p>
            <w:r>
              <w:rPr>
                <w:b/>
                <w:sz w:val="19"/>
              </w:rPr>
            </w:r>
            <w:r>
              <w:rPr>
                <w:b/>
                <w:sz w:val="19"/>
              </w:rPr>
              <w:t>Provenance</w:t>
            </w:r>
          </w:p>
        </w:tc>
      </w:tr>
      <w:tr>
        <w:tc>
          <w:tcPr>
            <w:tcW w:type="dxa" w:w="1104"/>
          </w:tcPr>
          <w:p>
            <w:r>
              <w:rPr>
                <w:sz w:val="19"/>
              </w:rPr>
            </w:r>
            <w:r>
              <w:rPr>
                <w:sz w:val="19"/>
              </w:rPr>
              <w:t>rt4 (parent)</w:t>
            </w:r>
          </w:p>
        </w:tc>
        <w:tc>
          <w:tcPr>
            <w:tcW w:type="dxa" w:w="1104"/>
          </w:tcPr>
          <w:p>
            <w:r>
              <w:rPr>
                <w:sz w:val="19"/>
              </w:rPr>
            </w:r>
            <w:r>
              <w:rPr>
                <w:sz w:val="19"/>
              </w:rPr>
              <w:t>coder 1</w:t>
            </w:r>
          </w:p>
        </w:tc>
        <w:tc>
          <w:tcPr>
            <w:tcW w:type="dxa" w:w="1104"/>
          </w:tcPr>
          <w:p>
            <w:r>
              <w:rPr>
                <w:sz w:val="19"/>
              </w:rPr>
            </w:r>
            <w:r>
              <w:rPr>
                <w:sz w:val="19"/>
              </w:rPr>
              <w:t>.79</w:t>
            </w:r>
          </w:p>
        </w:tc>
        <w:tc>
          <w:tcPr>
            <w:tcW w:type="dxa" w:w="1104"/>
          </w:tcPr>
          <w:p>
            <w:r>
              <w:rPr>
                <w:sz w:val="19"/>
              </w:rPr>
            </w:r>
            <w:r>
              <w:rPr>
                <w:sz w:val="19"/>
              </w:rPr>
              <w:t>.88</w:t>
            </w:r>
          </w:p>
        </w:tc>
        <w:tc>
          <w:tcPr>
            <w:tcW w:type="dxa" w:w="1104"/>
          </w:tcPr>
          <w:p>
            <w:r>
              <w:rPr>
                <w:sz w:val="19"/>
              </w:rPr>
            </w:r>
            <w:r>
              <w:rPr>
                <w:sz w:val="19"/>
              </w:rPr>
              <w:t>.83</w:t>
            </w:r>
          </w:p>
        </w:tc>
        <w:tc>
          <w:tcPr>
            <w:tcW w:type="dxa" w:w="1104"/>
          </w:tcPr>
          <w:p>
            <w:r>
              <w:rPr>
                <w:sz w:val="19"/>
              </w:rPr>
            </w:r>
            <w:r>
              <w:rPr>
                <w:sz w:val="19"/>
              </w:rPr>
              <w:t>—</w:t>
            </w:r>
          </w:p>
        </w:tc>
        <w:tc>
          <w:tcPr>
            <w:tcW w:type="dxa" w:w="1104"/>
          </w:tcPr>
          <w:p>
            <w:r>
              <w:rPr>
                <w:sz w:val="19"/>
              </w:rPr>
            </w:r>
            <w:r>
              <w:rPr>
                <w:sz w:val="19"/>
              </w:rPr>
              <w:t>—</w:t>
            </w:r>
          </w:p>
        </w:tc>
        <w:tc>
          <w:tcPr>
            <w:tcW w:type="dxa" w:w="1104"/>
          </w:tcPr>
          <w:p>
            <w:r>
              <w:rPr>
                <w:sz w:val="19"/>
              </w:rPr>
            </w:r>
            <w:r>
              <w:rPr>
                <w:sz w:val="19"/>
              </w:rPr>
              <w:t>.71</w:t>
            </w:r>
          </w:p>
        </w:tc>
        <w:tc>
          <w:tcPr>
            <w:tcW w:type="dxa" w:w="1104"/>
          </w:tcPr>
          <w:p>
            <w:r>
              <w:rPr>
                <w:sz w:val="19"/>
              </w:rPr>
            </w:r>
            <w:r>
              <w:rPr>
                <w:rFonts w:ascii="Courier New" w:hAnsi="Courier New"/>
                <w:sz w:val="19"/>
              </w:rPr>
              <w:t>run_predictions.py --cell SolvingWork:rt4 … --stats → reports/SolvingWork_rt4_stats.json → f1[coder 1]</w:t>
            </w:r>
          </w:p>
        </w:tc>
      </w:tr>
      <w:tr>
        <w:tc>
          <w:tcPr>
            <w:tcW w:type="dxa" w:w="1104"/>
          </w:tcPr>
          <w:p>
            <w:r>
              <w:rPr>
                <w:sz w:val="19"/>
              </w:rPr>
            </w:r>
            <w:r>
              <w:rPr>
                <w:sz w:val="19"/>
              </w:rPr>
              <w:t>noinc</w:t>
            </w:r>
          </w:p>
        </w:tc>
        <w:tc>
          <w:tcPr>
            <w:tcW w:type="dxa" w:w="1104"/>
          </w:tcPr>
          <w:p>
            <w:r>
              <w:rPr>
                <w:sz w:val="19"/>
              </w:rPr>
            </w:r>
            <w:r>
              <w:rPr>
                <w:sz w:val="19"/>
              </w:rPr>
              <w:t>coder 1</w:t>
            </w:r>
          </w:p>
        </w:tc>
        <w:tc>
          <w:tcPr>
            <w:tcW w:type="dxa" w:w="1104"/>
          </w:tcPr>
          <w:p>
            <w:r>
              <w:rPr>
                <w:sz w:val="19"/>
              </w:rPr>
            </w:r>
            <w:r>
              <w:rPr>
                <w:sz w:val="19"/>
              </w:rPr>
              <w:t>.66</w:t>
            </w:r>
          </w:p>
        </w:tc>
        <w:tc>
          <w:tcPr>
            <w:tcW w:type="dxa" w:w="1104"/>
          </w:tcPr>
          <w:p>
            <w:r>
              <w:rPr>
                <w:sz w:val="19"/>
              </w:rPr>
            </w:r>
            <w:r>
              <w:rPr>
                <w:sz w:val="19"/>
              </w:rPr>
              <w:t>.95</w:t>
            </w:r>
          </w:p>
        </w:tc>
        <w:tc>
          <w:tcPr>
            <w:tcW w:type="dxa" w:w="1104"/>
          </w:tcPr>
          <w:p>
            <w:r>
              <w:rPr>
                <w:sz w:val="19"/>
              </w:rPr>
            </w:r>
            <w:r>
              <w:rPr>
                <w:sz w:val="19"/>
              </w:rPr>
              <w:t>.78</w:t>
            </w:r>
          </w:p>
        </w:tc>
        <w:tc>
          <w:tcPr>
            <w:tcW w:type="dxa" w:w="1104"/>
          </w:tcPr>
          <w:p>
            <w:r>
              <w:rPr>
                <w:sz w:val="19"/>
              </w:rPr>
            </w:r>
            <w:r>
              <w:rPr>
                <w:sz w:val="19"/>
              </w:rPr>
              <w:t>−.05</w:t>
            </w:r>
          </w:p>
        </w:tc>
        <w:tc>
          <w:tcPr>
            <w:tcW w:type="dxa" w:w="1104"/>
          </w:tcPr>
          <w:p>
            <w:r>
              <w:rPr>
                <w:sz w:val="19"/>
              </w:rPr>
            </w:r>
            <w:r>
              <w:rPr>
                <w:sz w:val="19"/>
              </w:rPr>
              <w:t>[−.12, +.01]</w:t>
            </w:r>
          </w:p>
        </w:tc>
        <w:tc>
          <w:tcPr>
            <w:tcW w:type="dxa" w:w="1104"/>
          </w:tcPr>
          <w:p>
            <w:r>
              <w:rPr>
                <w:sz w:val="19"/>
              </w:rPr>
            </w:r>
            <w:r>
              <w:rPr>
                <w:sz w:val="19"/>
              </w:rPr>
              <w:t>.74</w:t>
            </w:r>
          </w:p>
        </w:tc>
        <w:tc>
          <w:tcPr>
            <w:tcW w:type="dxa" w:w="1104"/>
          </w:tcPr>
          <w:p>
            <w:r>
              <w:rPr>
                <w:sz w:val="19"/>
              </w:rPr>
            </w:r>
            <w:r>
              <w:rPr>
                <w:rFonts w:ascii="Courier New" w:hAnsi="Courier New"/>
                <w:sz w:val="19"/>
              </w:rPr>
              <w:t>… SolvingWork:noinc … → reports/SolvingWork_noinc_stats.json → f1[coder 1]</w:t>
            </w:r>
          </w:p>
        </w:tc>
      </w:tr>
      <w:tr>
        <w:tc>
          <w:tcPr>
            <w:tcW w:type="dxa" w:w="1104"/>
          </w:tcPr>
          <w:p>
            <w:r>
              <w:rPr>
                <w:sz w:val="19"/>
              </w:rPr>
            </w:r>
            <w:r>
              <w:rPr>
                <w:sz w:val="19"/>
              </w:rPr>
              <w:t>nodef</w:t>
            </w:r>
          </w:p>
        </w:tc>
        <w:tc>
          <w:tcPr>
            <w:tcW w:type="dxa" w:w="1104"/>
          </w:tcPr>
          <w:p>
            <w:r>
              <w:rPr>
                <w:sz w:val="19"/>
              </w:rPr>
            </w:r>
            <w:r>
              <w:rPr>
                <w:sz w:val="19"/>
              </w:rPr>
              <w:t>coder 1</w:t>
            </w:r>
          </w:p>
        </w:tc>
        <w:tc>
          <w:tcPr>
            <w:tcW w:type="dxa" w:w="1104"/>
          </w:tcPr>
          <w:p>
            <w:r>
              <w:rPr>
                <w:sz w:val="19"/>
              </w:rPr>
            </w:r>
            <w:r>
              <w:rPr>
                <w:sz w:val="19"/>
              </w:rPr>
              <w:t>.80</w:t>
            </w:r>
          </w:p>
        </w:tc>
        <w:tc>
          <w:tcPr>
            <w:tcW w:type="dxa" w:w="1104"/>
          </w:tcPr>
          <w:p>
            <w:r>
              <w:rPr>
                <w:sz w:val="19"/>
              </w:rPr>
            </w:r>
            <w:r>
              <w:rPr>
                <w:sz w:val="19"/>
              </w:rPr>
              <w:t>.87</w:t>
            </w:r>
          </w:p>
        </w:tc>
        <w:tc>
          <w:tcPr>
            <w:tcW w:type="dxa" w:w="1104"/>
          </w:tcPr>
          <w:p>
            <w:r>
              <w:rPr>
                <w:sz w:val="19"/>
              </w:rPr>
            </w:r>
            <w:r>
              <w:rPr>
                <w:sz w:val="19"/>
              </w:rPr>
              <w:t>.83</w:t>
            </w:r>
          </w:p>
        </w:tc>
        <w:tc>
          <w:tcPr>
            <w:tcW w:type="dxa" w:w="1104"/>
          </w:tcPr>
          <w:p>
            <w:r>
              <w:rPr>
                <w:sz w:val="19"/>
              </w:rPr>
            </w:r>
            <w:r>
              <w:rPr>
                <w:sz w:val="19"/>
              </w:rPr>
              <w:t>.00</w:t>
            </w:r>
          </w:p>
        </w:tc>
        <w:tc>
          <w:tcPr>
            <w:tcW w:type="dxa" w:w="1104"/>
          </w:tcPr>
          <w:p>
            <w:r>
              <w:rPr>
                <w:sz w:val="19"/>
              </w:rPr>
            </w:r>
            <w:r>
              <w:rPr>
                <w:sz w:val="19"/>
              </w:rPr>
              <w:t>[−.05, +.06]</w:t>
            </w:r>
          </w:p>
        </w:tc>
        <w:tc>
          <w:tcPr>
            <w:tcW w:type="dxa" w:w="1104"/>
          </w:tcPr>
          <w:p>
            <w:r>
              <w:rPr>
                <w:sz w:val="19"/>
              </w:rPr>
            </w:r>
            <w:r>
              <w:rPr>
                <w:sz w:val="19"/>
              </w:rPr>
              <w:t>.70</w:t>
            </w:r>
          </w:p>
        </w:tc>
        <w:tc>
          <w:tcPr>
            <w:tcW w:type="dxa" w:w="1104"/>
          </w:tcPr>
          <w:p>
            <w:r>
              <w:rPr>
                <w:sz w:val="19"/>
              </w:rPr>
            </w:r>
            <w:r>
              <w:rPr>
                <w:rFonts w:ascii="Courier New" w:hAnsi="Courier New"/>
                <w:sz w:val="19"/>
              </w:rPr>
              <w:t>… SolvingWork:nodef … → reports/SolvingWork_nodef_stats.json → f1[coder 1]</w:t>
            </w:r>
          </w:p>
        </w:tc>
      </w:tr>
    </w:tbl>
    <w:p/>
    <w:p>
      <w:r>
        <w:rPr>
          <w:b/>
        </w:rPr>
        <w:t>Verdict:</w:t>
      </w:r>
      <w:r>
        <w:t xml:space="preserve"> </w:t>
      </w:r>
      <w:r>
        <w:rPr>
          <w:i/>
        </w:rPr>
        <w:t>null</w:t>
      </w:r>
      <w:r>
        <w:t xml:space="preserve"> on H1's first clause — the </w:t>
      </w:r>
      <w:r>
        <w:rPr>
          <w:rFonts w:ascii="Courier New" w:hAnsi="Courier New"/>
        </w:rPr>
        <w:t>noinc</w:t>
      </w:r>
      <w:r>
        <w:t xml:space="preserve"> CI straddles 0, so by our rule we cannot call it supported, even though precision fell (.79 → .66) while recall rose, which is the direction the published SW ablation reports. The </w:t>
      </w:r>
      <w:r>
        <w:rPr>
          <w:rFonts w:ascii="Courier New" w:hAnsi="Courier New"/>
        </w:rPr>
        <w:t>nodef</w:t>
      </w:r>
      <w:r>
        <w:t xml:space="preserve"> clause is consistent with "the definition costs nothing." At n ≈ 135 a −.05 sits inside the noise; we say what the CI says. </w:t>
      </w:r>
      <w:r>
        <w:rPr>
          <w:b/>
        </w:rPr>
        <w:t>Next:</w:t>
      </w:r>
      <w:r>
        <w:t xml:space="preserve"> rerun </w:t>
      </w:r>
      <w:r>
        <w:rPr>
          <w:rFonts w:ascii="Courier New" w:hAnsi="Courier New"/>
        </w:rPr>
        <w:t>noinc</w:t>
      </w:r>
      <w:r>
        <w:t xml:space="preserve"> on the second coder and pool ($0.44) to see whether the precision effect clears 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