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Kindle Fire — Case Skill Guide</w:t>
      </w:r>
    </w:p>
    <w:p>
      <w:r>
        <w:rPr>
          <w:b/>
        </w:rPr>
        <w:t>IBM4212 / GBA6520 — Marketing Problems.</w:t>
      </w:r>
      <w:r>
        <w:t xml:space="preserve"> Share with the assignment. This guide teaches you how to work the case well — it contains no answers. Companion: </w:t>
      </w:r>
      <w:r>
        <w:rPr>
          <w:rFonts w:ascii="Courier New" w:hAnsi="Courier New"/>
        </w:rPr>
        <w:t>Amazon_Kindle_Fire_Model_Answers.md</w:t>
      </w:r>
      <w:r>
        <w:t xml:space="preserve"> (released after grading).</w:t>
      </w:r>
    </w:p>
    <w:p>
      <w:r>
        <w:t>---</w:t>
      </w:r>
    </w:p>
    <w:p>
      <w:pPr>
        <w:pStyle w:val="Heading2"/>
      </w:pPr>
      <w:r>
        <w:t>1. What each question is really testing</w:t>
      </w:r>
    </w:p>
    <w:p>
      <w:r>
        <w:t>The rubric (in your assignment doc) is the same five criteria for every question. Here is what strong work looks like on THIS case — and the mistakes that actually cost points in prior cohorts.</w:t>
      </w:r>
    </w:p>
    <w:p>
      <w:pPr>
        <w:pStyle w:val="Heading3"/>
      </w:pPr>
      <w:r>
        <w:t>Question 1 — Targeting</w:t>
      </w:r>
    </w:p>
    <w:p>
      <w:r>
        <w:rPr>
          <w:b/>
        </w:rPr>
        <w:t>Strong answers:</w:t>
      </w:r>
      <w:r>
        <w:t xml:space="preserve"> name the case's own segments (pp. 9–11) — media junkies, families with kids &amp; gamers, higher-education students — and treat each as a mini-analysis: who they are → what they do with the device → which Amazon revenue stream that feeds → what could go wrong. Each segment gets at least one case-cited number. They also say who the Fire is NOT for.</w:t>
      </w:r>
    </w:p>
    <w:p>
      <w:r>
        <w:rPr>
          <w:b/>
        </w:rPr>
        <w:t>What costs points:</w:t>
      </w:r>
      <w:r>
        <w:t xml:space="preserve"> one mushy "price-sensitive Amazon customers" mega-segment (price is a trait, not a segment); demographics with no use case; invented segments while ignoring the ones the case spends three pages defining; no tie to the ecosystem economics.</w:t>
      </w:r>
    </w:p>
    <w:p>
      <w:pPr>
        <w:pStyle w:val="Heading3"/>
      </w:pPr>
      <w:r>
        <w:t>Question 2 — Positioning</w:t>
      </w:r>
    </w:p>
    <w:p>
      <w:r>
        <w:rPr>
          <w:b/>
        </w:rPr>
        <w:t>Strong answers:</w:t>
      </w:r>
      <w:r>
        <w:t xml:space="preserve"> two clearly separated positioning arguments — one vs. iPad/premium tablets, one vs. e-readers (Nook Tablet AND Amazon's own Kindle Touch) — each with a target, a frame of reference, a point of difference, and case evidence. They use the case's own framing: "minimum viable product," "affordable consumption device," "third device" (pp. 12–13).</w:t>
      </w:r>
    </w:p>
    <w:p>
      <w:r>
        <w:rPr>
          <w:b/>
        </w:rPr>
        <w:t>What costs points:</w:t>
      </w:r>
      <w:r>
        <w:t xml:space="preserve"> answering only one half (roughly half of a prior cohort did this); spec-sheet comparisons instead of value propositions; forgetting Nook; conflating Kindle Fire with the Kindle e-reader line.</w:t>
      </w:r>
    </w:p>
    <w:p>
      <w:pPr>
        <w:pStyle w:val="Heading3"/>
      </w:pPr>
      <w:r>
        <w:t>Question 3 — Financial model (historically the hardest question)</w:t>
      </w:r>
    </w:p>
    <w:p>
      <w:r>
        <w:rPr>
          <w:b/>
        </w:rPr>
        <w:t>Strong answers:</w:t>
      </w:r>
      <w:r>
        <w:t xml:space="preserve"> an actual table — five revenue streams × three years — with every assumption sourced to pp. 13–15, margins applied (contribution, not revenue), each stream's growth rate applied, the per-user result scaled to the installed base (p. 1 tells you the units), and a conclusion with one sensitivity ("what if commerce is half the assumption?").</w:t>
      </w:r>
    </w:p>
    <w:p>
      <w:r>
        <w:rPr>
          <w:b/>
        </w:rPr>
        <w:t>What costs points:</w:t>
      </w:r>
      <w:r>
        <w:t xml:space="preserve"> the #1 failure across cohorts — a well-written razor-and-blade essay with zero numbers (caps the evidence criterion at half); a </w:t>
      </w:r>
      <w:r>
        <w:rPr>
          <w:i/>
        </w:rPr>
        <w:t>partial</w:t>
      </w:r>
      <w:r>
        <w:t xml:space="preserve"> model — three streams computed and never totaled is half a model (a model means every one of the five streams computed, margins applied, then rolled up); invented inputs when pp. 13–15 hand you the figures; missing the advertising or apps streams; Year 1 = Year 2 = Year 3 (the case hands you per-stream growth rates); per-unit math never rolled up to Amazon scale; no conclusion.</w:t>
      </w:r>
    </w:p>
    <w:p>
      <w:pPr>
        <w:pStyle w:val="Heading3"/>
      </w:pPr>
      <w:r>
        <w:t>Question 4 — Product definition</w:t>
      </w:r>
    </w:p>
    <w:p>
      <w:r>
        <w:rPr>
          <w:b/>
        </w:rPr>
        <w:t>Strong answers:</w:t>
      </w:r>
      <w:r>
        <w:t xml:space="preserve"> commit in one sentence (tablet / e-reader / something else), defend with the p. 8 specs, then add the layer that makes the answer strategic: Amazon sells the hardware at cost (p. 13) because the product is really an ecosystem gateway. Close with contrasts — vs. iPad AND vs. the Kindle Touch.</w:t>
      </w:r>
    </w:p>
    <w:p>
      <w:r>
        <w:rPr>
          <w:b/>
        </w:rPr>
        <w:t>What costs points:</w:t>
      </w:r>
      <w:r>
        <w:t xml:space="preserve"> calling it an e-reader (shared brand ≠ shared category); a spec dump with no business-model layer; hedged non-answers ("kind of a hybrid"); case summary instead of classification.</w:t>
      </w:r>
    </w:p>
    <w:p>
      <w:r>
        <w:t>---</w:t>
      </w:r>
    </w:p>
    <w:p>
      <w:pPr>
        <w:pStyle w:val="Heading2"/>
      </w:pPr>
      <w:r>
        <w:t>2. Working with your AI tutor — patterns that separate strong from weak</w:t>
      </w:r>
    </w:p>
    <w:p>
      <w:r>
        <w:t>From real prior-cohort transcripts (de-identified). These are the "substantive exchanges" your delta log (Box C) is graded on.</w:t>
      </w:r>
    </w:p>
    <w:p>
      <w:r>
        <w:rPr>
          <w:b/>
        </w:rPr>
        <w:t>The three-box format (every case since Fall 2026):</w:t>
      </w:r>
      <w:r>
        <w:t xml:space="preserve"> for each question you fill </w:t>
      </w:r>
      <w:r>
        <w:rPr>
          <w:b/>
        </w:rPr>
        <w:t>Box A</w:t>
      </w:r>
      <w:r>
        <w:t xml:space="preserve"> (your first take, before any AI, in three pre-labelled rows: your position, your best case evidence (case p. X), and what you're least sure about; graded for honesty, not polish), </w:t>
      </w:r>
      <w:r>
        <w:rPr>
          <w:b/>
        </w:rPr>
        <w:t>Box B</w:t>
      </w:r>
      <w:r>
        <w:t xml:space="preserve"> (your final AI-assisted answer — the box graded for content), and </w:t>
      </w:r>
      <w:r>
        <w:rPr>
          <w:b/>
        </w:rPr>
        <w:t>Box C</w:t>
      </w:r>
      <w:r>
        <w:t xml:space="preserve"> (the delta log, three rows: your exchanges, at least 3 per question, where one exchange = you state or defend a position, the tutor challenges it, you answer; each change from A to B tagged [evidence] [structure] [counterargument] [math check] [wording]; and the AI suggestion you rejected). One rejected AI suggestion is required per case, not per question: quote the tutor's suggestion in one line, then your case-based reason (case p. X); on the other questions write "none". The starter prompt asks the tutor to offer one alternative reading per question for you to accept or reject. After the last question, the synthesis is a four-row table (100–250 words total): where AI helped most (name the question and the change); where AI added least or misled you (name one specific exchange); where you decided an answer was good enough and stopped, and why; one thing you will do differently on the next case. Box A and Box C are where the process points live — an empty Box C earns no process credit even with a perfect transcript. Each assignment doc shows a Version line; if Canvas announces a newer version, follow the announcement.</w:t>
      </w:r>
    </w:p>
    <w:p>
      <w:r>
        <w:rPr>
          <w:b/>
        </w:rPr>
        <w:t>Patterns that produced the best work:</w:t>
      </w:r>
    </w:p>
    <w:p>
      <w:pPr>
        <w:ind w:left="432" w:hanging="432"/>
      </w:pPr>
      <w:r>
        <w:t>1.</w:t>
        <w:tab/>
      </w:r>
      <w:r>
        <w:rPr>
          <w:b/>
        </w:rPr>
        <w:t>Thesis first.</w:t>
      </w:r>
      <w:r>
        <w:t xml:space="preserve"> Open with your position and make the AI attack it: "My hypothesis is Amazon should prioritize media junkies. Push back — don't give me the answer." The thinking stays yours.</w:t>
      </w:r>
    </w:p>
    <w:p>
      <w:pPr>
        <w:ind w:left="432" w:hanging="432"/>
      </w:pPr>
      <w:r>
        <w:t>2.</w:t>
        <w:tab/>
      </w:r>
      <w:r>
        <w:rPr>
          <w:b/>
        </w:rPr>
        <w:t>Name the exact error, make the exact fix.</w:t>
      </w:r>
      <w:r>
        <w:t xml:space="preserve"> The most credible delta-log entries read like: "The first model skipped advertising and apps entirely, and defaulted to 15M Year-1 units — I cut that to 5M based on the case's actual figure."</w:t>
      </w:r>
    </w:p>
    <w:p>
      <w:pPr>
        <w:ind w:left="432" w:hanging="432"/>
      </w:pPr>
      <w:r>
        <w:t>3.</w:t>
        <w:tab/>
      </w:r>
      <w:r>
        <w:rPr>
          <w:b/>
        </w:rPr>
        <w:t>Demand case grounding.</w:t>
      </w:r>
      <w:r>
        <w:t xml:space="preserve"> When AI gives you a number, ask "where in the case is that?" If it can't cite a page, don't use it.</w:t>
      </w:r>
    </w:p>
    <w:p>
      <w:pPr>
        <w:ind w:left="432" w:hanging="432"/>
      </w:pPr>
      <w:r>
        <w:t>4.</w:t>
        <w:tab/>
      </w:r>
      <w:r>
        <w:rPr>
          <w:b/>
        </w:rPr>
        <w:t>Adversarial stress-tests.</w:t>
      </w:r>
      <w:r>
        <w:t xml:space="preserve"> "Wouldn't a walled garden push existing customers away?" — probing weaknesses surfaces risks and catches AI errors (one student caught the AI claiming a 10-inch screen; it's 7).</w:t>
      </w:r>
    </w:p>
    <w:p>
      <w:pPr>
        <w:ind w:left="432" w:hanging="432"/>
      </w:pPr>
      <w:r>
        <w:t>5.</w:t>
        <w:tab/>
      </w:r>
      <w:r>
        <w:rPr>
          <w:b/>
        </w:rPr>
        <w:t>Validate assumptions before importing them.</w:t>
      </w:r>
      <w:r>
        <w:t xml:space="preserve"> "Why do these assumptions need validating before they go in the recommendation?" beats pasting whatever the model offers.</w:t>
      </w:r>
    </w:p>
    <w:p>
      <w:pPr>
        <w:ind w:left="432" w:hanging="432"/>
      </w:pPr>
      <w:r>
        <w:t>6.</w:t>
        <w:tab/>
      </w:r>
      <w:r>
        <w:rPr>
          <w:b/>
        </w:rPr>
        <w:t>Feed your draft in for critique</w:t>
      </w:r>
      <w:r>
        <w:t xml:space="preserve"> — after you've written it (that's the point of Box A).</w:t>
      </w:r>
    </w:p>
    <w:p>
      <w:pPr>
        <w:ind w:left="432" w:hanging="432"/>
      </w:pPr>
      <w:r>
        <w:t>7.</w:t>
        <w:tab/>
      </w:r>
      <w:r>
        <w:rPr>
          <w:b/>
        </w:rPr>
        <w:t>Stop on your own judgment.</w:t>
      </w:r>
      <w:r>
        <w:t xml:space="preserve"> One exchange (round) = you state or defend a position, the tutor challenges it, you answer. Do at least three per question; after the third, the tutor says "minimum met" and does not judge whether your answer is good enough. Whether to stop is then your call: say "that's good enough — next question." The tutor's last objection is not a verdict; it will always have one more. Deciding when an answer is defended is a graded skill (your synthesis asks where you stopped and why), and the first cohort's biggest time sink was waiting for the AI to be satisfied.</w:t>
      </w:r>
    </w:p>
    <w:p>
      <w:pPr>
        <w:ind w:left="432" w:hanging="432"/>
      </w:pPr>
      <w:r>
        <w:t>8.</w:t>
        <w:tab/>
      </w:r>
      <w:r>
        <w:rPr>
          <w:b/>
        </w:rPr>
        <w:t>Cite the case's printed page numbers.</w:t>
      </w:r>
      <w:r>
        <w:t xml:space="preserve"> The starter prompt tells the tutor to say "case p. X". If it drifts into course-pack or PDF-viewer pages (they run ~22 ahead for this case), ask for the printed number — and write only printed numbers in Box B.</w:t>
      </w:r>
    </w:p>
    <w:p>
      <w:r>
        <w:rPr>
          <w:b/>
        </w:rPr>
        <w:t>Patterns that predicted weak work:</w:t>
      </w:r>
    </w:p>
    <w:p>
      <w:pPr>
        <w:pStyle w:val="ListBullet"/>
      </w:pPr>
      <w:r>
        <w:t>Answer-fishing ("just give me the answer") — the tutor's refusals and your fishing are both visible in the transcript, and it's graded.</w:t>
      </w:r>
    </w:p>
    <w:p>
      <w:pPr>
        <w:pStyle w:val="ListBullet"/>
      </w:pPr>
      <w:r>
        <w:t>One-word reactions to the tutor's pushback ("I'm good with my answer"). The pushback IS the assignment — the moment it asks "what's the weakness?", that's where the thinking happens.</w:t>
      </w:r>
    </w:p>
    <w:p>
      <w:pPr>
        <w:pStyle w:val="ListBullet"/>
      </w:pPr>
      <w:r>
        <w:t>Batch-dumping 16 one-line prompts with no follow-up. One well-pushed thread beats sixteen drive-by asks.</w:t>
      </w:r>
    </w:p>
    <w:p>
      <w:pPr>
        <w:pStyle w:val="ListBullet"/>
      </w:pPr>
      <w:r>
        <w:t>Letting AI write the first draft. That inverts the human-first design — and polished, uniform answers with no visible process read as exactly what they are.</w:t>
      </w:r>
    </w:p>
    <w:p>
      <w:pPr>
        <w:pStyle w:val="ListBullet"/>
      </w:pPr>
      <w:r>
        <w:t>Importing round, ungrounded numbers ("digital content brought in 1.8 billion") that connect to nothing on pp. 13–15.</w:t>
      </w:r>
    </w:p>
    <w:p>
      <w:pPr>
        <w:pStyle w:val="ListBullet"/>
      </w:pPr>
      <w:r>
        <w:t>A transcript that is not the whole conversation. Copy it yourself from the very top: scroll up until your starter prompt is visible (ChatGPT loads long threads in pieces, so select-all from the bottom copies a fragment), select all, copy, and paste as plain text (Cmd+Shift+V / Ctrl+Shift+V) into Word, or into a Google Doc and then File &gt; Download &gt; .docx. Name it Lastname_Transcript.docx and upload it as a second .docx in the same Canvas submission (Upload File, then Add Another File). Check it before you upload: the first line is your starter prompt, and the last lines are the end of the session. Do not ask ChatGPT to copy, export, or summarize the chat. A summary, a partial copy, or a link instead of the file counts as no transcript.</w:t>
      </w:r>
    </w:p>
    <w:p>
      <w:pPr>
        <w:pStyle w:val="ListBullet"/>
      </w:pPr>
      <w:r>
        <w:t>An empty Box C with a good transcript. The process credit lives on the page: exchanges, tagged changes, and the rejected suggestion. One student did a genuine 50-turn session and earned almost nothing for it because all four delta logs were blank.</w:t>
      </w:r>
    </w:p>
    <w:p>
      <w:r>
        <w:rPr>
          <w:b/>
        </w:rPr>
        <w:t>What counts as a rejection (Box C, one per case).</w:t>
      </w:r>
      <w:r>
        <w:t xml:space="preserve"> Quote the tutor's suggestion in one line, then give your case-based reason (case p. X). Not a rejection: agreeing with the tutor, dropping your own idea after a challenge, skipping part of the question, or rejecting an assignment rule. Worked example (invented rows):</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What the student wrote in the rejection row</w:t>
            </w:r>
          </w:p>
        </w:tc>
        <w:tc>
          <w:tcPr>
            <w:tcW w:type="dxa" w:w="4968"/>
          </w:tcPr>
          <w:p>
            <w:r>
              <w:rPr>
                <w:b/>
                <w:sz w:val="19"/>
              </w:rPr>
            </w:r>
            <w:r>
              <w:rPr>
                <w:b/>
                <w:sz w:val="19"/>
              </w:rPr>
              <w:t>Verdict</w:t>
            </w:r>
          </w:p>
        </w:tc>
      </w:tr>
      <w:tr>
        <w:tc>
          <w:tcPr>
            <w:tcW w:type="dxa" w:w="4968"/>
          </w:tcPr>
          <w:p>
            <w:r>
              <w:rPr>
                <w:sz w:val="19"/>
              </w:rPr>
            </w:r>
            <w:r>
              <w:rPr>
                <w:sz w:val="19"/>
              </w:rPr>
              <w:t>Tutor: "Lead with higher-education students; textbooks are a big market." Rejected: the Fire's 7-inch screen and the format limits make it weak for textbooks, and the Kindle DX textbook push already failed (case pp. 8, 10–11).</w:t>
            </w:r>
          </w:p>
        </w:tc>
        <w:tc>
          <w:tcPr>
            <w:tcW w:type="dxa" w:w="4968"/>
          </w:tcPr>
          <w:p>
            <w:r>
              <w:rPr>
                <w:sz w:val="19"/>
              </w:rPr>
            </w:r>
            <w:r>
              <w:rPr>
                <w:sz w:val="19"/>
              </w:rPr>
              <w:t>Valid. The tutor's suggestion is quoted, and the reason comes from the case.</w:t>
            </w:r>
          </w:p>
        </w:tc>
      </w:tr>
      <w:tr>
        <w:tc>
          <w:tcPr>
            <w:tcW w:type="dxa" w:w="4968"/>
          </w:tcPr>
          <w:p>
            <w:r>
              <w:rPr>
                <w:sz w:val="19"/>
              </w:rPr>
            </w:r>
            <w:r>
              <w:rPr>
                <w:sz w:val="19"/>
              </w:rPr>
              <w:t>Tutor: "Your Q3 model is missing the advertising stream." I agreed and added it (case p. 15).</w:t>
            </w:r>
          </w:p>
        </w:tc>
        <w:tc>
          <w:tcPr>
            <w:tcW w:type="dxa" w:w="4968"/>
          </w:tcPr>
          <w:p>
            <w:r>
              <w:rPr>
                <w:sz w:val="19"/>
              </w:rPr>
            </w:r>
            <w:r>
              <w:rPr>
                <w:sz w:val="19"/>
              </w:rPr>
              <w:t>Acceptance, not a rejection. The student took the suggestion; this belongs in the "what changed" row.</w:t>
            </w:r>
          </w:p>
        </w:tc>
      </w:tr>
      <w:tr>
        <w:tc>
          <w:tcPr>
            <w:tcW w:type="dxa" w:w="4968"/>
          </w:tcPr>
          <w:p>
            <w:r>
              <w:rPr>
                <w:sz w:val="19"/>
              </w:rPr>
            </w:r>
            <w:r>
              <w:rPr>
                <w:sz w:val="19"/>
              </w:rPr>
              <w:t>Tutor: "Amazon should price the Fire at $499 to match the iPad." Rejected: Amazon sells the hardware at cost (case p. 13).</w:t>
            </w:r>
          </w:p>
        </w:tc>
        <w:tc>
          <w:tcPr>
            <w:tcW w:type="dxa" w:w="4968"/>
          </w:tcPr>
          <w:p>
            <w:r>
              <w:rPr>
                <w:sz w:val="19"/>
              </w:rPr>
            </w:r>
            <w:r>
              <w:rPr>
                <w:sz w:val="19"/>
              </w:rPr>
              <w:t>Strawman, not a rejection. The transcript shows the tutor never made this suggestion; a disagreement made up for the log counts as none.</w:t>
            </w:r>
          </w:p>
        </w:tc>
      </w:tr>
    </w:tbl>
    <w:p/>
    <w:p>
      <w:r>
        <w:rPr>
          <w:b/>
        </w:rPr>
        <w:t>Why this matters beyond the grade:</w:t>
      </w:r>
      <w:r>
        <w:t xml:space="preserve"> when everyone has ChatGPT, the output is commoditized — the differentiator is being able to walk someone through your reasoning. "I started calling it a tablet, but when the tutor made me compare it to the iPad on five dimensions, I realized that label invites a spec war Amazon loses, so I reframed it as a content portal that monetizes post-sale" — that's an interview answer. The delta log is practice for it.</w:t>
      </w:r>
    </w:p>
    <w:p>
      <w:r>
        <w:t>---</w:t>
      </w:r>
    </w:p>
    <w:p>
      <w:pPr>
        <w:pStyle w:val="Heading2"/>
      </w:pPr>
      <w:r>
        <w:t>3. Case data quick index (verify everything against your own PDF)</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Pages</w:t>
            </w:r>
          </w:p>
        </w:tc>
        <w:tc>
          <w:tcPr>
            <w:tcW w:type="dxa" w:w="4968"/>
          </w:tcPr>
          <w:p>
            <w:r>
              <w:rPr>
                <w:b/>
                <w:sz w:val="19"/>
              </w:rPr>
            </w:r>
            <w:r>
              <w:rPr>
                <w:b/>
                <w:sz w:val="19"/>
              </w:rPr>
              <w:t>What's there</w:t>
            </w:r>
          </w:p>
        </w:tc>
      </w:tr>
      <w:tr>
        <w:tc>
          <w:tcPr>
            <w:tcW w:type="dxa" w:w="4968"/>
          </w:tcPr>
          <w:p>
            <w:r>
              <w:rPr>
                <w:sz w:val="19"/>
              </w:rPr>
            </w:r>
            <w:r>
              <w:rPr>
                <w:sz w:val="19"/>
              </w:rPr>
              <w:t>p. 1</w:t>
            </w:r>
          </w:p>
        </w:tc>
        <w:tc>
          <w:tcPr>
            <w:tcW w:type="dxa" w:w="4968"/>
          </w:tcPr>
          <w:p>
            <w:r>
              <w:rPr>
                <w:sz w:val="19"/>
              </w:rPr>
            </w:r>
            <w:r>
              <w:rPr>
                <w:sz w:val="19"/>
              </w:rPr>
              <w:t>Launch results: units sold by Jan 2012, share of non-Apple tablet market; Bezos's open questions</w:t>
            </w:r>
          </w:p>
        </w:tc>
      </w:tr>
      <w:tr>
        <w:tc>
          <w:tcPr>
            <w:tcW w:type="dxa" w:w="4968"/>
          </w:tcPr>
          <w:p>
            <w:r>
              <w:rPr>
                <w:sz w:val="19"/>
              </w:rPr>
            </w:r>
            <w:r>
              <w:rPr>
                <w:sz w:val="19"/>
              </w:rPr>
              <w:t>pp. 3–5</w:t>
            </w:r>
          </w:p>
        </w:tc>
        <w:tc>
          <w:tcPr>
            <w:tcW w:type="dxa" w:w="4968"/>
          </w:tcPr>
          <w:p>
            <w:r>
              <w:rPr>
                <w:sz w:val="19"/>
              </w:rPr>
            </w:r>
            <w:r>
              <w:rPr>
                <w:sz w:val="19"/>
              </w:rPr>
              <w:t>Kindle product-line history, e-book economics, ecosystem/Whispersync origins</w:t>
            </w:r>
          </w:p>
        </w:tc>
      </w:tr>
      <w:tr>
        <w:tc>
          <w:tcPr>
            <w:tcW w:type="dxa" w:w="4968"/>
          </w:tcPr>
          <w:p>
            <w:r>
              <w:rPr>
                <w:sz w:val="19"/>
              </w:rPr>
            </w:r>
            <w:r>
              <w:rPr>
                <w:sz w:val="19"/>
              </w:rPr>
              <w:t>pp. 5–7</w:t>
            </w:r>
          </w:p>
        </w:tc>
        <w:tc>
          <w:tcPr>
            <w:tcW w:type="dxa" w:w="4968"/>
          </w:tcPr>
          <w:p>
            <w:r>
              <w:rPr>
                <w:sz w:val="19"/>
              </w:rPr>
            </w:r>
            <w:r>
              <w:rPr>
                <w:sz w:val="19"/>
              </w:rPr>
              <w:t>Competitors: iPad, Android OEMs ($499–$799 band, commoditization), B&amp;N</w:t>
            </w:r>
          </w:p>
        </w:tc>
      </w:tr>
      <w:tr>
        <w:tc>
          <w:tcPr>
            <w:tcW w:type="dxa" w:w="4968"/>
          </w:tcPr>
          <w:p>
            <w:r>
              <w:rPr>
                <w:sz w:val="19"/>
              </w:rPr>
            </w:r>
            <w:r>
              <w:rPr>
                <w:sz w:val="19"/>
              </w:rPr>
              <w:t>p. 8</w:t>
            </w:r>
          </w:p>
        </w:tc>
        <w:tc>
          <w:tcPr>
            <w:tcW w:type="dxa" w:w="4968"/>
          </w:tcPr>
          <w:p>
            <w:r>
              <w:rPr>
                <w:sz w:val="19"/>
              </w:rPr>
            </w:r>
            <w:r>
              <w:rPr>
                <w:sz w:val="19"/>
              </w:rPr>
              <w:t>Kindle Fire hardware specs, price, cost context, Bezos "culmination of 15 years" quote</w:t>
            </w:r>
          </w:p>
        </w:tc>
      </w:tr>
      <w:tr>
        <w:tc>
          <w:tcPr>
            <w:tcW w:type="dxa" w:w="4968"/>
          </w:tcPr>
          <w:p>
            <w:r>
              <w:rPr>
                <w:sz w:val="19"/>
              </w:rPr>
            </w:r>
            <w:r>
              <w:rPr>
                <w:sz w:val="19"/>
              </w:rPr>
              <w:t>pp. 9–11</w:t>
            </w:r>
          </w:p>
        </w:tc>
        <w:tc>
          <w:tcPr>
            <w:tcW w:type="dxa" w:w="4968"/>
          </w:tcPr>
          <w:p>
            <w:r>
              <w:rPr>
                <w:sz w:val="19"/>
              </w:rPr>
            </w:r>
            <w:r>
              <w:rPr>
                <w:sz w:val="19"/>
              </w:rPr>
              <w:t>The three segments, with the kid-usage stat, gaming-market sizes, textbook-market size, Kindle DX failure, format limitations</w:t>
            </w:r>
          </w:p>
        </w:tc>
      </w:tr>
      <w:tr>
        <w:tc>
          <w:tcPr>
            <w:tcW w:type="dxa" w:w="4968"/>
          </w:tcPr>
          <w:p>
            <w:r>
              <w:rPr>
                <w:sz w:val="19"/>
              </w:rPr>
            </w:r>
            <w:r>
              <w:rPr>
                <w:sz w:val="19"/>
              </w:rPr>
              <w:t>pp. 11–13</w:t>
            </w:r>
          </w:p>
        </w:tc>
        <w:tc>
          <w:tcPr>
            <w:tcW w:type="dxa" w:w="4968"/>
          </w:tcPr>
          <w:p>
            <w:r>
              <w:rPr>
                <w:sz w:val="19"/>
              </w:rPr>
            </w:r>
            <w:r>
              <w:rPr>
                <w:sz w:val="19"/>
              </w:rPr>
              <w:t>Positioning material: iPad share and price points, Nook subsidy bundle, Kindle Touch, "third device," MVP framing, complementarity argument</w:t>
            </w:r>
          </w:p>
        </w:tc>
      </w:tr>
      <w:tr>
        <w:tc>
          <w:tcPr>
            <w:tcW w:type="dxa" w:w="4968"/>
          </w:tcPr>
          <w:p>
            <w:r>
              <w:rPr>
                <w:sz w:val="19"/>
              </w:rPr>
            </w:r>
            <w:r>
              <w:rPr>
                <w:sz w:val="19"/>
              </w:rPr>
              <w:t>pp. 13–15</w:t>
            </w:r>
          </w:p>
        </w:tc>
        <w:tc>
          <w:tcPr>
            <w:tcW w:type="dxa" w:w="4968"/>
          </w:tcPr>
          <w:p>
            <w:r>
              <w:rPr>
                <w:sz w:val="19"/>
              </w:rPr>
            </w:r>
            <w:r>
              <w:rPr>
                <w:sz w:val="19"/>
              </w:rPr>
              <w:t>Every financial-model assumption: hardware cost, content $/month + margin + growth, e-books/quarter + margin + growth, incremental commerce + margin + growth, ad impressions + CPM + dismissal fee, app-store take rate + paid-app stats + growth</w:t>
            </w:r>
          </w:p>
        </w:tc>
      </w:tr>
    </w:tbl>
    <w:p/>
    <w:p>
      <w:r>
        <w:t>The full data appendix with the specific figures is in the Model Answers companion (released after grading) — before then, finding and citing these numbers yourself is part of the graded skill.</w:t>
      </w:r>
    </w:p>
    <w:p>
      <w:r>
        <w:t>---</w:t>
      </w:r>
    </w:p>
    <w:p>
      <w:r>
        <w:rPr>
          <w:i/>
        </w:rPr>
        <w:t>SPOT policy: this is the single point of truth for Amazon Kindle Fire case skills — semester-agnostic, updated in place only when the assignment format or rubric changes or a new durable pitfall emerges. Change log below.</w:t>
      </w:r>
    </w:p>
    <w:p>
      <w:r>
        <w:rPr>
          <w:b/>
        </w:rPr>
        <w:t>Change log:</w:t>
      </w:r>
      <w:r>
        <w:t xml:space="preserve"> 2026-08-10 — created; distilled from the S2026 Discussion Guide, the F25/Summer-2026 Prompting Patterns guides (now archived), and the three-box/voice-mode assignment redesign.</w:t>
      </w:r>
    </w:p>
    <w:p>
      <w:r>
        <w:t>2026-09-07 — after the first three-box cohort (Fall 2026): added stop-on-your-own-judgment and printed-page-number patterns, the partial-model pitfall for Q3, and the unopenable-link / empty-Box-C pitfalls.</w:t>
      </w:r>
    </w:p>
    <w:p>
      <w:r>
        <w:t>2026-09-09 — transcript pitfall rewritten for long threads: scroll to top before select-all, plain-text paste, Drive-PDF backup.</w:t>
      </w:r>
    </w:p>
    <w:p>
      <w:r>
        <w:t>2026-10-05 — new assignment rules: three pre-labelled Box A rows; exchange defined, at least 3 per question, tutor says "minimum met" after three; one rejected AI suggestion per case (quoted, case-based reason, "none" elsewhere) + worked example of what counts; four-row synthesis; Version line; transcript = whole conversation uploaded as Lastname_Transcript.docx (second file in the same submission), no links.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