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Glass — Case Skill Guide</w:t>
      </w:r>
    </w:p>
    <w:p>
      <w:r>
        <w:rPr>
          <w:b/>
        </w:rPr>
        <w:t>IBM4212 / GBA6520 — Marketing Problems.</w:t>
      </w:r>
      <w:r>
        <w:t xml:space="preserve"> Share with the assignment. This guide teaches you how to work the case well — it contains no answers. Companion: </w:t>
      </w:r>
      <w:r>
        <w:rPr>
          <w:rFonts w:ascii="Courier New" w:hAnsi="Courier New"/>
        </w:rPr>
        <w:t>Google_Glasses_Model_Answers.md</w:t>
      </w:r>
      <w:r>
        <w:t xml:space="preserve"> (released after grading).</w:t>
      </w:r>
    </w:p>
    <w:p>
      <w:r>
        <w:t>---</w:t>
      </w:r>
    </w:p>
    <w:p>
      <w:pPr>
        <w:pStyle w:val="Heading2"/>
      </w:pPr>
      <w:r>
        <w:t>1. What each question is really testing</w:t>
      </w:r>
    </w:p>
    <w:p>
      <w:r>
        <w:t>The rubric (in your assignment doc) is the same five criteria for every question. Here is what strong work looks like on THIS case — and what actually cost points in prior cohorts.</w:t>
      </w:r>
    </w:p>
    <w:p>
      <w:pPr>
        <w:pStyle w:val="Heading3"/>
      </w:pPr>
      <w:r>
        <w:t>Question 1 — Why did Google develop Glass?</w:t>
      </w:r>
    </w:p>
    <w:p>
      <w:r>
        <w:rPr>
          <w:b/>
        </w:rPr>
        <w:t>Strong answers:</w:t>
      </w:r>
      <w:r>
        <w:t xml:space="preserve"> open with a strategic thesis — Glass as Google's bet on the computing platform after the smartphone — then prove it: Google X moonshot culture and the named visionaries Parviz, Starner, Brin, Page (pp. 1–2); features paired with the ambient-computing vision (p. 3); the wearables forecasts (pp. 4, 6); the professional use cases (pp. 3–4). The strongest spot the platform tell — Mirror API plus the no-ads, free-only Glassware policy (p. 4) — and tie Glass to Google's data/advertising ecosystem.</w:t>
      </w:r>
    </w:p>
    <w:p>
      <w:r>
        <w:rPr>
          <w:b/>
        </w:rPr>
        <w:t>What costs points:</w:t>
      </w:r>
      <w:r>
        <w:t xml:space="preserve"> features with no strategic framing; "because of innovation" (circular — innovation toward what?); no named people, no market numbers, no Mirror API — an answer that could describe any product by any company; treating Glass as a gadget launch instead of a platform play.</w:t>
      </w:r>
    </w:p>
    <w:p>
      <w:pPr>
        <w:pStyle w:val="Heading3"/>
      </w:pPr>
      <w:r>
        <w:t>Question 2 — Failure or success? What differently?</w:t>
      </w:r>
    </w:p>
    <w:p>
      <w:r>
        <w:rPr>
          <w:b/>
        </w:rPr>
        <w:t>Strong answers:</w:t>
      </w:r>
      <w:r>
        <w:t xml:space="preserve"> refuse the binary in the first sentence — commercial miss, strategic partial success — then defend it: the three survey results and the Explorer price (pp. 4–5) on the failure side; the enterprise traction </w:t>
      </w:r>
      <w:r>
        <w:rPr>
          <w:i/>
        </w:rPr>
        <w:t>during</w:t>
      </w:r>
      <w:r>
        <w:t xml:space="preserve"> the backlash (Augmedix, p. 6) and Google's own halt wording (p. 6) on the success side. Name ONE decisive counterfactual (enterprise-first launch sequencing is the case-supported pick) and justify why it dominates. Top answers also steel-man the opposite view — Google X's charter required public exposure — before rebutting it.</w:t>
      </w:r>
    </w:p>
    <w:p>
      <w:r>
        <w:rPr>
          <w:b/>
        </w:rPr>
        <w:t>What costs points:</w:t>
      </w:r>
      <w:r>
        <w:t xml:space="preserve"> oscillating ("a failure in some ways, a success in others") without committing; listing problems without ranking them; generic fixes that fit any failed product; treating "Glasshole" as a PR problem rather than a norms violation; missing that Google itself framed the halt as wearables-market validation (p. 6); claims with no survey numbers or page references behind them.</w:t>
      </w:r>
    </w:p>
    <w:p>
      <w:pPr>
        <w:pStyle w:val="Heading3"/>
      </w:pPr>
      <w:r>
        <w:t>Question 3 — Rogers' five factors for a relaunch</w:t>
      </w:r>
    </w:p>
    <w:p>
      <w:r>
        <w:rPr>
          <w:b/>
        </w:rPr>
        <w:t>Strong answers:</w:t>
      </w:r>
      <w:r>
        <w:t xml:space="preserve"> five labeled sections — relative advantage, compatibility, complexity, trialability, observability — each with Glass-specific case evidence and a specific relaunch move. The signature insights: complexity was </w:t>
      </w:r>
      <w:r>
        <w:rPr>
          <w:i/>
        </w:rPr>
        <w:t>social</w:t>
      </w:r>
      <w:r>
        <w:t xml:space="preserve">, not technical (the voice command was easy; being seen using it was not); observability was </w:t>
      </w:r>
      <w:r>
        <w:rPr>
          <w:i/>
        </w:rPr>
        <w:t>inverted</w:t>
      </w:r>
      <w:r>
        <w:t xml:space="preserve"> — Glass was highly visible, but what observers saw was negative (pp. 5–6). Then show how the factors interconnect (compatibility failure poisons observability, which kills trialability, which hides the relative advantage) and sequence the relaunch fixes rather than listing them in parallel.</w:t>
      </w:r>
    </w:p>
    <w:p>
      <w:r>
        <w:rPr>
          <w:b/>
        </w:rPr>
        <w:t>What costs points:</w:t>
      </w:r>
      <w:r>
        <w:t xml:space="preserve"> skipping factors — the largest rubric criterion rewards systematic coverage of all five, so one deep dive plus three sentences on the rest has a hard ceiling; five isolated paragraphs with no interconnection; calling it "Rogers' 5 Forces" (it's Diffusion of Innovations, not Porter); generic relaunch advice the framework exists to prevent; no case evidence inside the factor sections.</w:t>
      </w:r>
    </w:p>
    <w:p>
      <w:r>
        <w:t>---</w:t>
      </w:r>
    </w:p>
    <w:p>
      <w:pPr>
        <w:pStyle w:val="Heading2"/>
      </w:pPr>
      <w:r>
        <w:t>2. Working with your AI tutor — patterns that separate strong from weak</w:t>
      </w:r>
    </w:p>
    <w:p>
      <w:r>
        <w:t>From real prior-cohort transcripts (de-identified). Your graded exchanges are the substantive ones — stating the assignment question verbatim at the start to set the agenda is fine and doesn't count as an exchange either way.</w:t>
      </w:r>
    </w:p>
    <w:p>
      <w:r>
        <w:rPr>
          <w:b/>
        </w:rPr>
        <w:t>The three-box format (every case since Fall 2026):</w:t>
      </w:r>
      <w:r>
        <w:t xml:space="preserve"> for each question you fill </w:t>
      </w:r>
      <w:r>
        <w:rPr>
          <w:b/>
        </w:rPr>
        <w:t>Box A</w:t>
      </w:r>
      <w:r>
        <w:t xml:space="preserve"> (your first take, before any AI, in three pre-labelled rows: your position, your best case evidence (case p. X), and what you're least sure about; graded for honesty, not polish), </w:t>
      </w:r>
      <w:r>
        <w:rPr>
          <w:b/>
        </w:rPr>
        <w:t>Box B</w:t>
      </w:r>
      <w:r>
        <w:t xml:space="preserve"> (your final AI-assisted answer — the box graded for content), and </w:t>
      </w:r>
      <w:r>
        <w:rPr>
          <w:b/>
        </w:rPr>
        <w:t>Box C</w:t>
      </w:r>
      <w:r>
        <w:t xml:space="preserve"> (the delta log, three rows: your exchanges, at least 3 per question, where one exchange = you state or defend a position, the tutor challenges it, you answer; each change from A to B tagged [evidence] [structure] [counterargument] [math check] [wording]; and the AI suggestion you rejected). One rejected AI suggestion is required per case, not per question: quote the tutor's suggestion in one line, then your case-based reason (case p. X); on the other questions write "none". The starter prompt asks the tutor to offer one alternative reading per question for you to accept or reject. After the last question, the synthesis is a four-row table (100–250 words total): where AI helped most (name the question and the change); where AI added least or misled you (name one specific exchange); where you decided an answer was good enough and stopped, and why; one thing you will do differently on the next case. Box A and Box C are where the process points live — an empty Box C earns no process credit even with a perfect transcript. Each assignment doc shows a Version line; if Canvas announces a newer version, follow the announcement.</w:t>
      </w:r>
    </w:p>
    <w:p>
      <w:r>
        <w:rPr>
          <w:b/>
        </w:rPr>
        <w:t>Patterns that produced the best work:</w:t>
      </w:r>
    </w:p>
    <w:p>
      <w:pPr>
        <w:ind w:left="432" w:hanging="432"/>
      </w:pPr>
      <w:r>
        <w:t>1.</w:t>
        <w:tab/>
      </w:r>
      <w:r>
        <w:rPr>
          <w:b/>
        </w:rPr>
        <w:t>Position first.</w:t>
      </w:r>
      <w:r>
        <w:t xml:space="preserve"> "I don't think Google sees Glass as a failure — it's a sequencing mistake. Push back." The thinking stays yours.</w:t>
      </w:r>
    </w:p>
    <w:p>
      <w:pPr>
        <w:ind w:left="432" w:hanging="432"/>
      </w:pPr>
      <w:r>
        <w:t>2.</w:t>
        <w:tab/>
      </w:r>
      <w:r>
        <w:rPr>
          <w:b/>
        </w:rPr>
        <w:t>Break the binary before the tutor offers it.</w:t>
      </w:r>
      <w:r>
        <w:t xml:space="preserve"> "Don't give me a binary — help me define 'success' across strategic lenses, then I'll pick one."</w:t>
      </w:r>
    </w:p>
    <w:p>
      <w:pPr>
        <w:ind w:left="432" w:hanging="432"/>
      </w:pPr>
      <w:r>
        <w:t>3.</w:t>
        <w:tab/>
      </w:r>
      <w:r>
        <w:rPr>
          <w:b/>
        </w:rPr>
        <w:t>Tension questions, not description questions.</w:t>
      </w:r>
      <w:r>
        <w:t xml:space="preserve"> "The Explorer program was both too expensive and too socially loud — compatibility failure or trialability failure? Which is root cause, which is symptom?"</w:t>
      </w:r>
    </w:p>
    <w:p>
      <w:pPr>
        <w:ind w:left="432" w:hanging="432"/>
      </w:pPr>
      <w:r>
        <w:t>4.</w:t>
        <w:tab/>
      </w:r>
      <w:r>
        <w:rPr>
          <w:b/>
        </w:rPr>
        <w:t>Feed it false premises and make it verify.</w:t>
      </w:r>
      <w:r>
        <w:t xml:space="preserve"> "I don't see case evidence that the smartphone market was shrinking — support or contradict that from the case." This catches confident inventions.</w:t>
      </w:r>
    </w:p>
    <w:p>
      <w:pPr>
        <w:ind w:left="432" w:hanging="432"/>
      </w:pPr>
      <w:r>
        <w:t>5.</w:t>
        <w:tab/>
      </w:r>
      <w:r>
        <w:rPr>
          <w:b/>
        </w:rPr>
        <w:t>Push back and keep the moment.</w:t>
      </w:r>
      <w:r>
        <w:t xml:space="preserve"> One student's tutor drafted the five factors as five parallel paragraphs; they rewrote them as a dependency cascade because the rubric rewards interconnection. Those overrides are what the reflection is graded on.</w:t>
      </w:r>
    </w:p>
    <w:p>
      <w:pPr>
        <w:ind w:left="432" w:hanging="432"/>
      </w:pPr>
      <w:r>
        <w:t>6.</w:t>
        <w:tab/>
      </w:r>
      <w:r>
        <w:rPr>
          <w:b/>
        </w:rPr>
        <w:t>Grading feedback as a revision tool — but keep the fact-checking job.</w:t>
      </w:r>
      <w:r>
        <w:t xml:space="preserve"> Fix the specific gap the tutor flags; it can't verify case facts without the PDF, so checking that a number is real and on the cited page is yours.</w:t>
      </w:r>
    </w:p>
    <w:p>
      <w:pPr>
        <w:ind w:left="432" w:hanging="432"/>
      </w:pPr>
      <w:r>
        <w:t>7.</w:t>
        <w:tab/>
      </w:r>
      <w:r>
        <w:rPr>
          <w:b/>
        </w:rPr>
        <w:t>Stop on your own judgment.</w:t>
      </w:r>
      <w:r>
        <w:t xml:space="preserve"> One exchange (round) = you state or defend a position, the tutor challenges it, you answer. Do at least three per question; after the third, the tutor says "minimum met" and does not judge whether your answer is good enough. Whether to stop is then your call: say "that's good enough — next question." The tutor's last objection is not a verdict; it will always have one more. Deciding when an answer is defended is a graded skill (your synthesis asks where you stopped and why), and the first three-box cohort's biggest time sink was waiting for the AI to be satisfied.</w:t>
      </w:r>
    </w:p>
    <w:p>
      <w:pPr>
        <w:ind w:left="432" w:hanging="432"/>
      </w:pPr>
      <w:r>
        <w:t>8.</w:t>
        <w:tab/>
      </w:r>
      <w:r>
        <w:rPr>
          <w:b/>
        </w:rPr>
        <w:t>Cite the case's printed page numbers.</w:t>
      </w:r>
      <w:r>
        <w:t xml:space="preserve"> The starter prompt tells the tutor to say "case p. X". If it drifts into course-pack or PDF-viewer pages, ask for the number printed on the case page — and write only printed numbers in Box B.</w:t>
      </w:r>
    </w:p>
    <w:p>
      <w:r>
        <w:rPr>
          <w:b/>
        </w:rPr>
        <w:t>Patterns that predicted weak work:</w:t>
      </w:r>
    </w:p>
    <w:p>
      <w:pPr>
        <w:pStyle w:val="ListBullet"/>
      </w:pPr>
      <w:r>
        <w:t>Answer-fishing ("just answer question 2 for me, 200 words") — the ask and the compliance are both visible in your transcript, and it's graded down.</w:t>
      </w:r>
    </w:p>
    <w:p>
      <w:pPr>
        <w:pStyle w:val="ListBullet"/>
      </w:pPr>
      <w:r>
        <w:t>Approval-seeking on repeat: "Is my response strong enough?" asked identically under all three questions — reassurance, not an exchange about Glass.</w:t>
      </w:r>
    </w:p>
    <w:p>
      <w:pPr>
        <w:pStyle w:val="ListBullet"/>
      </w:pPr>
      <w:r>
        <w:t>One-line drive-bys with no follow-up ("What could Glass do?" "Why did people reject it?") — each yields an encyclopedia answer on autopilot.</w:t>
      </w:r>
    </w:p>
    <w:p>
      <w:pPr>
        <w:pStyle w:val="ListBullet"/>
      </w:pPr>
      <w:r>
        <w:t>Letting AI produce the position and the draft, then decorating it. Polished, evenly-hedged answers with no visible thinking read as exactly what they are.</w:t>
      </w:r>
    </w:p>
    <w:p>
      <w:pPr>
        <w:pStyle w:val="ListBullet"/>
      </w:pPr>
      <w:r>
        <w:t>A reflection true of any AI session ("it helped me think more deeply") with no named moment where the tutor was wrong or you changed course.</w:t>
      </w:r>
    </w:p>
    <w:p>
      <w:pPr>
        <w:pStyle w:val="ListBullet"/>
      </w:pPr>
      <w:r>
        <w:t>A transcript that is not the whole conversation. Copy it yourself from the very top: scroll up until your starter prompt is visible (ChatGPT loads long threads in pieces, so select-all from the bottom copies a fragment), select all, copy, and paste as plain text (Cmd+Shift+V / Ctrl+Shift+V) into Word, or into a Google Doc and then File &gt; Download &gt; .docx. Name it Lastname_Transcript.docx and upload it as a second .docx in the same Canvas submission (Upload File, then Add Another File). Check it before you upload: the first line is your starter prompt, and the last lines are the end of the session. Do not ask ChatGPT to copy, export, or summarize the chat. A summary, a partial copy, or a link instead of the file counts as no transcript.</w:t>
      </w:r>
    </w:p>
    <w:p>
      <w:pPr>
        <w:pStyle w:val="ListBullet"/>
      </w:pPr>
      <w:r>
        <w:t>An empty Box C with a good transcript. The process credit lives on the page: exchanges, tagged changes, and the rejected suggestion. One student did a genuine 50-turn session and earned almost nothing for it because all the delta logs were blank.</w:t>
      </w:r>
    </w:p>
    <w:p>
      <w:r>
        <w:rPr>
          <w:b/>
        </w:rPr>
        <w:t>What counts as a rejection (Box C, one per case).</w:t>
      </w:r>
      <w:r>
        <w:t xml:space="preserve"> Quote the tutor's suggestion in one line, then give your case-based reason (case p. X). Not a rejection: agreeing with the tutor, dropping your own idea after a challenge, skipping part of the question, or rejecting an assignment rule. Worked example (invented rows):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What the student wrote in the rejection row</w:t>
            </w:r>
          </w:p>
        </w:tc>
        <w:tc>
          <w:tcPr>
            <w:tcW w:type="dxa" w:w="4968"/>
          </w:tcPr>
          <w:p>
            <w:r>
              <w:rPr>
                <w:b/>
                <w:sz w:val="19"/>
              </w:rPr>
            </w:r>
            <w:r>
              <w:rPr>
                <w:b/>
                <w:sz w:val="19"/>
              </w:rPr>
              <w:t>Verdict</w:t>
            </w:r>
          </w:p>
        </w:tc>
      </w:tr>
      <w:tr>
        <w:tc>
          <w:tcPr>
            <w:tcW w:type="dxa" w:w="4968"/>
          </w:tcPr>
          <w:p>
            <w:r>
              <w:rPr>
                <w:sz w:val="19"/>
              </w:rPr>
            </w:r>
            <w:r>
              <w:rPr>
                <w:sz w:val="19"/>
              </w:rPr>
              <w:t>Tutor: "Glass was simply a failure; consumers rejected it." Rejected: enterprise and healthcare startups kept raising money during the backlash, and Google framed the halt as a next step for wearables (case p. 6).</w:t>
            </w:r>
          </w:p>
        </w:tc>
        <w:tc>
          <w:tcPr>
            <w:tcW w:type="dxa" w:w="4968"/>
          </w:tcPr>
          <w:p>
            <w:r>
              <w:rPr>
                <w:sz w:val="19"/>
              </w:rPr>
            </w:r>
            <w:r>
              <w:rPr>
                <w:sz w:val="19"/>
              </w:rPr>
              <w:t>Valid. The tutor's suggestion is quoted, and the reason comes from the case.</w:t>
            </w:r>
          </w:p>
        </w:tc>
      </w:tr>
      <w:tr>
        <w:tc>
          <w:tcPr>
            <w:tcW w:type="dxa" w:w="4968"/>
          </w:tcPr>
          <w:p>
            <w:r>
              <w:rPr>
                <w:sz w:val="19"/>
              </w:rPr>
            </w:r>
            <w:r>
              <w:rPr>
                <w:sz w:val="19"/>
              </w:rPr>
              <w:t>Tutor: "Your Q3 treats trialability in one sentence." I agreed and wrote a full section on the Explorer program (case p. 4).</w:t>
            </w:r>
          </w:p>
        </w:tc>
        <w:tc>
          <w:tcPr>
            <w:tcW w:type="dxa" w:w="4968"/>
          </w:tcPr>
          <w:p>
            <w:r>
              <w:rPr>
                <w:sz w:val="19"/>
              </w:rPr>
            </w:r>
            <w:r>
              <w:rPr>
                <w:sz w:val="19"/>
              </w:rPr>
              <w:t>Acceptance, not a rejection. The student took the suggestion; this belongs in the "what changed" row.</w:t>
            </w:r>
          </w:p>
        </w:tc>
      </w:tr>
      <w:tr>
        <w:tc>
          <w:tcPr>
            <w:tcW w:type="dxa" w:w="4968"/>
          </w:tcPr>
          <w:p>
            <w:r>
              <w:rPr>
                <w:sz w:val="19"/>
              </w:rPr>
            </w:r>
            <w:r>
              <w:rPr>
                <w:sz w:val="19"/>
              </w:rPr>
              <w:t>Tutor: "Google should have launched Glass at a higher price to look premium." Rejected: price was already a top complaint (case p. 5).</w:t>
            </w:r>
          </w:p>
        </w:tc>
        <w:tc>
          <w:tcPr>
            <w:tcW w:type="dxa" w:w="4968"/>
          </w:tcPr>
          <w:p>
            <w:r>
              <w:rPr>
                <w:sz w:val="19"/>
              </w:rPr>
            </w:r>
            <w:r>
              <w:rPr>
                <w:sz w:val="19"/>
              </w:rPr>
              <w:t>Strawman, not a rejection. The transcript shows the tutor never made this suggestion; a disagreement made up for the log counts as none.</w:t>
            </w:r>
          </w:p>
        </w:tc>
      </w:tr>
    </w:tbl>
    <w:p/>
    <w:p>
      <w:r>
        <w:rPr>
          <w:b/>
        </w:rPr>
        <w:t>Why this matters beyond the grade:</w:t>
      </w:r>
      <w:r>
        <w:t xml:space="preserve"> when everyone has ChatGPT, the output is commoditized — the differentiator is walking someone through your reasoning. "The AI told me Glass simply failed; I pushed back because the enterprise traction during the backlash proves the tech worked — the launch failed on sequencing, not concept" — that's an interview answer. The transcript is practice for it.</w:t>
      </w:r>
    </w:p>
    <w:p>
      <w:r>
        <w:t>---</w:t>
      </w:r>
    </w:p>
    <w:p>
      <w:pPr>
        <w:pStyle w:val="Heading2"/>
      </w:pPr>
      <w:r>
        <w:t>3. Case data quick index (verify everything against your own PDF)</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Pages</w:t>
            </w:r>
          </w:p>
        </w:tc>
        <w:tc>
          <w:tcPr>
            <w:tcW w:type="dxa" w:w="4968"/>
          </w:tcPr>
          <w:p>
            <w:r>
              <w:rPr>
                <w:b/>
                <w:sz w:val="19"/>
              </w:rPr>
            </w:r>
            <w:r>
              <w:rPr>
                <w:b/>
                <w:sz w:val="19"/>
              </w:rPr>
              <w:t>What's there</w:t>
            </w:r>
          </w:p>
        </w:tc>
      </w:tr>
      <w:tr>
        <w:tc>
          <w:tcPr>
            <w:tcW w:type="dxa" w:w="4968"/>
          </w:tcPr>
          <w:p>
            <w:r>
              <w:rPr>
                <w:sz w:val="19"/>
              </w:rPr>
            </w:r>
            <w:r>
              <w:rPr>
                <w:sz w:val="19"/>
              </w:rPr>
              <w:t>p. 1</w:t>
            </w:r>
          </w:p>
        </w:tc>
        <w:tc>
          <w:tcPr>
            <w:tcW w:type="dxa" w:w="4968"/>
          </w:tcPr>
          <w:p>
            <w:r>
              <w:rPr>
                <w:sz w:val="19"/>
              </w:rPr>
            </w:r>
            <w:r>
              <w:rPr>
                <w:sz w:val="19"/>
              </w:rPr>
              <w:t>Launch and shutdown dates; Starner and Parviz backstories; Google X and the moonshot portfolio</w:t>
            </w:r>
          </w:p>
        </w:tc>
      </w:tr>
      <w:tr>
        <w:tc>
          <w:tcPr>
            <w:tcW w:type="dxa" w:w="4968"/>
          </w:tcPr>
          <w:p>
            <w:r>
              <w:rPr>
                <w:sz w:val="19"/>
              </w:rPr>
            </w:r>
            <w:r>
              <w:rPr>
                <w:sz w:val="19"/>
              </w:rPr>
              <w:t>p. 2</w:t>
            </w:r>
          </w:p>
        </w:tc>
        <w:tc>
          <w:tcPr>
            <w:tcW w:type="dxa" w:w="4968"/>
          </w:tcPr>
          <w:p>
            <w:r>
              <w:rPr>
                <w:sz w:val="19"/>
              </w:rPr>
            </w:r>
            <w:r>
              <w:rPr>
                <w:sz w:val="19"/>
              </w:rPr>
              <w:t>Vision quotes (Parviz, Page, Peter Ha); Page's admission about Glass's best use; Starner's "ongoing experiment"; core team roster</w:t>
            </w:r>
          </w:p>
        </w:tc>
      </w:tr>
      <w:tr>
        <w:tc>
          <w:tcPr>
            <w:tcW w:type="dxa" w:w="4968"/>
          </w:tcPr>
          <w:p>
            <w:r>
              <w:rPr>
                <w:sz w:val="19"/>
              </w:rPr>
            </w:r>
            <w:r>
              <w:rPr>
                <w:sz w:val="19"/>
              </w:rPr>
              <w:t>p. 3</w:t>
            </w:r>
          </w:p>
        </w:tc>
        <w:tc>
          <w:tcPr>
            <w:tcW w:type="dxa" w:w="4968"/>
          </w:tcPr>
          <w:p>
            <w:r>
              <w:rPr>
                <w:sz w:val="19"/>
              </w:rPr>
            </w:r>
            <w:r>
              <w:rPr>
                <w:sz w:val="19"/>
              </w:rPr>
              <w:t>Hardware: display prism, camera/video, storage, battery, touchpad, gyroscope, bone conduction, activation command, GPS</w:t>
            </w:r>
          </w:p>
        </w:tc>
      </w:tr>
      <w:tr>
        <w:tc>
          <w:tcPr>
            <w:tcW w:type="dxa" w:w="4968"/>
          </w:tcPr>
          <w:p>
            <w:r>
              <w:rPr>
                <w:sz w:val="19"/>
              </w:rPr>
            </w:r>
            <w:r>
              <w:rPr>
                <w:sz w:val="19"/>
              </w:rPr>
              <w:t>pp. 3–4</w:t>
            </w:r>
          </w:p>
        </w:tc>
        <w:tc>
          <w:tcPr>
            <w:tcW w:type="dxa" w:w="4968"/>
          </w:tcPr>
          <w:p>
            <w:r>
              <w:rPr>
                <w:sz w:val="19"/>
              </w:rPr>
            </w:r>
            <w:r>
              <w:rPr>
                <w:sz w:val="19"/>
              </w:rPr>
              <w:t>Professional use cases (pilots, medical, law enforcement) via the clearCi quote</w:t>
            </w:r>
          </w:p>
        </w:tc>
      </w:tr>
      <w:tr>
        <w:tc>
          <w:tcPr>
            <w:tcW w:type="dxa" w:w="4968"/>
          </w:tcPr>
          <w:p>
            <w:r>
              <w:rPr>
                <w:sz w:val="19"/>
              </w:rPr>
            </w:r>
            <w:r>
              <w:rPr>
                <w:sz w:val="19"/>
              </w:rPr>
              <w:t>p. 4</w:t>
            </w:r>
          </w:p>
        </w:tc>
        <w:tc>
          <w:tcPr>
            <w:tcW w:type="dxa" w:w="4968"/>
          </w:tcPr>
          <w:p>
            <w:r>
              <w:rPr>
                <w:sz w:val="19"/>
              </w:rPr>
            </w:r>
            <w:r>
              <w:rPr>
                <w:sz w:val="19"/>
              </w:rPr>
              <w:t>Mirror API + Glassware policy; native apps; I/O 2012 launch stunt; unit-sales forecast; Explorer program mechanics (selection contest, size, price); media-buzz breakdown</w:t>
            </w:r>
          </w:p>
        </w:tc>
      </w:tr>
      <w:tr>
        <w:tc>
          <w:tcPr>
            <w:tcW w:type="dxa" w:w="4968"/>
          </w:tcPr>
          <w:p>
            <w:r>
              <w:rPr>
                <w:sz w:val="19"/>
              </w:rPr>
            </w:r>
            <w:r>
              <w:rPr>
                <w:sz w:val="19"/>
              </w:rPr>
              <w:t>p. 5</w:t>
            </w:r>
          </w:p>
        </w:tc>
        <w:tc>
          <w:tcPr>
            <w:tcW w:type="dxa" w:w="4968"/>
          </w:tcPr>
          <w:p>
            <w:r>
              <w:rPr>
                <w:sz w:val="19"/>
              </w:rPr>
            </w:r>
            <w:r>
              <w:rPr>
                <w:sz w:val="19"/>
              </w:rPr>
              <w:t>Eyewear-brand partnership; general-availability date and sellout; price criticism; privacy objections; venue bans; "Glasshole"; the three consumer survey results</w:t>
            </w:r>
          </w:p>
        </w:tc>
      </w:tr>
      <w:tr>
        <w:tc>
          <w:tcPr>
            <w:tcW w:type="dxa" w:w="4968"/>
          </w:tcPr>
          <w:p>
            <w:r>
              <w:rPr>
                <w:sz w:val="19"/>
              </w:rPr>
            </w:r>
            <w:r>
              <w:rPr>
                <w:sz w:val="19"/>
              </w:rPr>
              <w:t>p. 6</w:t>
            </w:r>
          </w:p>
        </w:tc>
        <w:tc>
          <w:tcPr>
            <w:tcW w:type="dxa" w:w="4968"/>
          </w:tcPr>
          <w:p>
            <w:r>
              <w:rPr>
                <w:sz w:val="19"/>
              </w:rPr>
            </w:r>
            <w:r>
              <w:rPr>
                <w:sz w:val="19"/>
              </w:rPr>
              <w:t>Assault and interrogation incidents; Honan's verdict; the enterprise/healthcare startup funding evidence; Google's shutdown statement; two wearables forecasts</w:t>
            </w:r>
          </w:p>
        </w:tc>
      </w:tr>
      <w:tr>
        <w:tc>
          <w:tcPr>
            <w:tcW w:type="dxa" w:w="4968"/>
          </w:tcPr>
          <w:p>
            <w:r>
              <w:rPr>
                <w:sz w:val="19"/>
              </w:rPr>
            </w:r>
            <w:r>
              <w:rPr>
                <w:sz w:val="19"/>
              </w:rPr>
              <w:t>p. 7+</w:t>
            </w:r>
          </w:p>
        </w:tc>
        <w:tc>
          <w:tcPr>
            <w:tcW w:type="dxa" w:w="4968"/>
          </w:tcPr>
          <w:p>
            <w:r>
              <w:rPr>
                <w:sz w:val="19"/>
              </w:rPr>
            </w:r>
            <w:r>
              <w:rPr>
                <w:sz w:val="19"/>
              </w:rPr>
              <w:t>Endnotes — press citations tracing the media narrative arc from positive to negative</w:t>
            </w:r>
          </w:p>
        </w:tc>
      </w:tr>
    </w:tbl>
    <w:p/>
    <w:p>
      <w:r>
        <w:t>The full data appendix with the specific figures is in the Model Answers companion (released after grading) — before then, finding and citing these numbers yourself is part of the graded skill.</w:t>
      </w:r>
    </w:p>
    <w:p>
      <w:r>
        <w:t>---</w:t>
      </w:r>
    </w:p>
    <w:p>
      <w:r>
        <w:rPr>
          <w:i/>
        </w:rPr>
        <w:t>SPOT policy: this is the single point of truth for Google Glass case skills — semester-agnostic, updated in place only when the assignment format or rubric changes or a new durable pitfall emerges. Change log below.</w:t>
      </w:r>
    </w:p>
    <w:p>
      <w:r>
        <w:rPr>
          <w:b/>
        </w:rPr>
        <w:t>Change log:</w:t>
      </w:r>
      <w:r>
        <w:t xml:space="preserve"> 2026-08-10 — created; distilled from the S2026 Discussion Guide and both Prompting Patterns cohorts (S2026 + Summer 2026, now archived), rephrased for the single-box/voice-mode assignment format.</w:t>
      </w:r>
    </w:p>
    <w:p>
      <w:r>
        <w:t>2026-09-07 — three-box format rolled out to Google Glass (all five cases): §2 now explains Box A/B/C, adds stop-on-your-own-judgment and printed-page-number patterns, and the unopenable-link / empty-Box-C pitfalls.</w:t>
      </w:r>
    </w:p>
    <w:p>
      <w:r>
        <w:t>2026-09-09 — transcript pitfall rewritten for long threads: scroll to top before select-all, plain-text paste, Drive-PDF backup.</w:t>
      </w:r>
    </w:p>
    <w:p>
      <w:r>
        <w:t>2026-10-05 — new assignment rules: three pre-labelled Box A rows; exchange defined, at least 3 per question, tutor says "minimum met" after three; one rejected AI suggestion per case (quoted, case-based reason, "none" elsewhere) + worked example of what counts; four-row synthesis; Version line; transcript = whole conversation uploaded as Lastname_Transcript.docx (second file in the same submission), no links.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