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 — Final presentation + package</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15 of the STAMP project's 100 (= 6% of the course)</w:t>
            </w:r>
          </w:p>
        </w:tc>
      </w:tr>
      <w:tr>
        <w:tc>
          <w:tcPr>
            <w:tcW w:type="dxa" w:w="4968"/>
          </w:tcPr>
          <w:p>
            <w:r>
              <w:rPr>
                <w:sz w:val="19"/>
              </w:rPr>
            </w:r>
            <w:r>
              <w:rPr>
                <w:sz w:val="19"/>
              </w:rPr>
              <w:t>Due</w:t>
            </w:r>
          </w:p>
        </w:tc>
        <w:tc>
          <w:tcPr>
            <w:tcW w:type="dxa" w:w="4968"/>
          </w:tcPr>
          <w:p>
            <w:r>
              <w:rPr>
                <w:sz w:val="19"/>
              </w:rPr>
            </w:r>
            <w:r>
              <w:rPr>
                <w:sz w:val="19"/>
              </w:rPr>
              <w:t>Presentation Friday Dec 4 in class (13 min + 5 Q&amp;A) · Package Wednesday Dec 9, 11:59 PM</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slides (PDF) + report (PDF export of this doc's template, filled) + reproducibility package (zip or repo link)</w:t>
            </w:r>
          </w:p>
        </w:tc>
      </w:tr>
    </w:tbl>
    <w:p/>
    <w:p>
      <w:r>
        <w:rPr>
          <w:b/>
        </w:rPr>
        <w:t>Where this fits:</w:t>
      </w:r>
      <w:r>
        <w:t xml:space="preserve"> Lecture — Nov 6 </w:t>
      </w:r>
      <w:r>
        <w:rPr>
          <w:i/>
        </w:rPr>
        <w:t>AI for writing</w:t>
      </w:r>
      <w:r>
        <w:t xml:space="preserve"> → Project beat — presentations → Stack layer — </w:t>
      </w:r>
      <w:r>
        <w:rPr>
          <w:b/>
        </w:rPr>
        <w:t>write → ship</w:t>
      </w:r>
      <w:r>
        <w:t>.</w:t>
      </w:r>
    </w:p>
    <w:p>
      <w:pPr>
        <w:pStyle w:val="Heading2"/>
      </w:pPr>
      <w:r>
        <w:t>The gist</w:t>
      </w:r>
    </w:p>
    <w:p>
      <w:r>
        <w:t>You have five memos. The final package is not five memos stapled together — it is one study: a benchmark you built, a pipeline you replicated against it, an experiment, an extension, and an app, told as one argument with one thread of numbers. The test of the package is a stranger with your repo and your Drive folder regenerating any number you report from a named command; the instructor will try one. The AI-reflection section is judged on specificity, not virtue.</w:t>
      </w:r>
    </w:p>
    <w:p>
      <w:pPr>
        <w:pStyle w:val="Heading2"/>
      </w:pPr>
      <w:r>
        <w:t>Steps</w:t>
      </w:r>
    </w:p>
    <w:p>
      <w:pPr>
        <w:pStyle w:val="ListNumber"/>
      </w:pPr>
      <w:r>
        <w:rPr>
          <w:b/>
        </w:rPr>
        <w:t>Outline the study as one argument before you open any memo.</w:t>
      </w:r>
      <w:r>
        <w:t xml:space="preserve"> Problem → the benchmark we built → ladder results → experiment → extension → app → limitations → stack. Then pull from the memos; don't paste them. Word budgets are in Appendix A.</w:t>
      </w:r>
    </w:p>
    <w:p>
      <w:pPr>
        <w:pStyle w:val="ListNumber"/>
      </w:pPr>
      <w:r>
        <w:rPr>
          <w:b/>
        </w:rPr>
        <w:t>Build the reproducibility package.</w:t>
      </w:r>
      <w:r>
        <w:t xml:space="preserve"> A README that lists, for every number in the report, the command that produces it and the output file and field it lives in. Code in the repo; data in the team Drive folder; nothing else needed. Test it: one teammate who did not run the pipeline regenerates one number cold.</w:t>
      </w:r>
    </w:p>
    <w:p>
      <w:pPr>
        <w:pStyle w:val="ListNumber"/>
      </w:pPr>
      <w:r>
        <w:rPr>
          <w:b/>
        </w:rPr>
        <w:t>Write the AI-reflection section</w:t>
      </w:r>
      <w:r>
        <w:t xml:space="preserve"> (Appendix A table): the consequential uses across M1–M4 and the report itself, each with what we kept and what we overrode, and why. Two or three rows that name actual changes beat ten rows of "helped with clarity."</w:t>
      </w:r>
    </w:p>
    <w:p>
      <w:pPr>
        <w:pStyle w:val="ListNumber"/>
      </w:pPr>
      <w:r>
        <w:rPr>
          <w:b/>
        </w:rPr>
        <w:t>Run the AI-marker audit from the Nov 6 writing lecture on your own draft</w:t>
      </w:r>
      <w:r>
        <w:t xml:space="preserve"> — the emphatic adjectives, cleft sentences, colon chains, "rather than" scaffolds, rule-of-three padding. Record what it flagged and what you changed. Memos from M3 on were already expected to pass; the report must.</w:t>
      </w:r>
    </w:p>
    <w:p>
      <w:pPr>
        <w:pStyle w:val="ListNumber"/>
      </w:pPr>
      <w:r>
        <w:rPr>
          <w:b/>
        </w:rPr>
        <w:t>Write the stack page</w:t>
      </w:r>
      <w:r>
        <w:t>: the one-person research/business stack you actually used this semester — layer by layer (learn / strategize / research / build / replicate / write / ship), the tool, the workflow, and what you'd automate next.</w:t>
      </w:r>
    </w:p>
    <w:p>
      <w:pPr>
        <w:pStyle w:val="ListNumber"/>
      </w:pPr>
      <w:r>
        <w:rPr>
          <w:b/>
        </w:rPr>
        <w:t>Build the 13-minute presentation</w:t>
      </w:r>
      <w:r>
        <w:t xml:space="preserve"> with the ladder table and the experiment verdict on screen, the app's live moment (keyless path rehearsed), and one honest limitation. Rehearse to time. Answer Q&amp;A questions with numbers, and name the command behind a number when asked.</w:t>
      </w:r>
    </w:p>
    <w:p>
      <w:pPr>
        <w:pStyle w:val="ListNumber"/>
      </w:pPr>
      <w:r>
        <w:rPr>
          <w:b/>
        </w:rPr>
        <w:t>Assemble and check</w:t>
      </w:r>
      <w:r>
        <w:t>: slides PDF, report PDF, package link; every number in the report has a provenance line; the README's commands run.</w:t>
      </w:r>
    </w:p>
    <w:p>
      <w:pPr>
        <w:pStyle w:val="Heading2"/>
      </w:pPr>
      <w:r>
        <w:t>What to submit</w:t>
      </w:r>
    </w:p>
    <w:p>
      <w:pPr>
        <w:ind w:left="360"/>
      </w:pPr>
      <w:r>
        <w:rPr>
          <w:b/>
        </w:rPr>
        <w:t xml:space="preserve">☐  </w:t>
      </w:r>
      <w:r>
        <w:t>Slides (PDF) — presented Dec 4; ladder table and experiment verdict visible</w:t>
      </w:r>
    </w:p>
    <w:p>
      <w:pPr>
        <w:ind w:left="360"/>
      </w:pPr>
      <w:r>
        <w:rPr>
          <w:b/>
        </w:rPr>
        <w:t xml:space="preserve">☐  </w:t>
      </w:r>
      <w:r>
        <w:t>Report (PDF of the filled template): the eight sections within their word budgets, every number with a provenance line</w:t>
      </w:r>
    </w:p>
    <w:p>
      <w:pPr>
        <w:ind w:left="360"/>
      </w:pPr>
      <w:r>
        <w:rPr>
          <w:b/>
        </w:rPr>
        <w:t xml:space="preserve">☐  </w:t>
      </w:r>
      <w:r>
        <w:t>Reproducibility package (zip or repo link) with the README checklist in Appendix A complete</w:t>
      </w:r>
    </w:p>
    <w:p>
      <w:pPr>
        <w:ind w:left="360"/>
      </w:pPr>
      <w:r>
        <w:rPr>
          <w:b/>
        </w:rPr>
        <w:t xml:space="preserve">☐  </w:t>
      </w:r>
      <w:r>
        <w:t>AI-reflection table and the AI-marker audit record</w:t>
      </w:r>
    </w:p>
    <w:p>
      <w:pPr>
        <w:ind w:left="360"/>
      </w:pPr>
      <w:r>
        <w:rPr>
          <w:b/>
        </w:rPr>
        <w:t xml:space="preserve">☐  </w:t>
      </w:r>
      <w:r>
        <w:t>Stack table</w:t>
      </w:r>
    </w:p>
    <w:p>
      <w:pPr>
        <w:ind w:left="360"/>
      </w:pPr>
      <w:r>
        <w:rPr>
          <w:b/>
        </w:rPr>
        <w:t xml:space="preserve">☐  </w:t>
      </w:r>
      <w:r>
        <w:t>AI disclosure (below), with tools, actual prompts, and transcript links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One coherent study</w:t>
            </w:r>
          </w:p>
        </w:tc>
        <w:tc>
          <w:tcPr>
            <w:tcW w:type="dxa" w:w="3312"/>
          </w:tcPr>
          <w:p>
            <w:r>
              <w:rPr>
                <w:sz w:val="19"/>
              </w:rPr>
            </w:r>
            <w:r>
              <w:rPr>
                <w:sz w:val="19"/>
              </w:rPr>
              <w:t>30%</w:t>
            </w:r>
          </w:p>
        </w:tc>
        <w:tc>
          <w:tcPr>
            <w:tcW w:type="dxa" w:w="3312"/>
          </w:tcPr>
          <w:p>
            <w:r>
              <w:rPr>
                <w:sz w:val="19"/>
              </w:rPr>
            </w:r>
            <w:r>
              <w:rPr>
                <w:sz w:val="19"/>
              </w:rPr>
              <w:t>The report reads as one argument from problem to stack; sections cite each other's numbers; the tripwire and the ship decision are the spine, not an afterthought; limitations are the real ones</w:t>
            </w:r>
          </w:p>
        </w:tc>
      </w:tr>
      <w:tr>
        <w:tc>
          <w:tcPr>
            <w:tcW w:type="dxa" w:w="3312"/>
          </w:tcPr>
          <w:p>
            <w:r>
              <w:rPr>
                <w:sz w:val="19"/>
              </w:rPr>
            </w:r>
            <w:r>
              <w:rPr>
                <w:sz w:val="19"/>
              </w:rPr>
              <w:t>Reproducibility (a stranger can regenerate a number)</w:t>
            </w:r>
          </w:p>
        </w:tc>
        <w:tc>
          <w:tcPr>
            <w:tcW w:type="dxa" w:w="3312"/>
          </w:tcPr>
          <w:p>
            <w:r>
              <w:rPr>
                <w:sz w:val="19"/>
              </w:rPr>
            </w:r>
            <w:r>
              <w:rPr>
                <w:sz w:val="19"/>
              </w:rPr>
              <w:t>30%</w:t>
            </w:r>
          </w:p>
        </w:tc>
        <w:tc>
          <w:tcPr>
            <w:tcW w:type="dxa" w:w="3312"/>
          </w:tcPr>
          <w:p>
            <w:r>
              <w:rPr>
                <w:sz w:val="19"/>
              </w:rPr>
            </w:r>
            <w:r>
              <w:rPr>
                <w:sz w:val="19"/>
              </w:rPr>
              <w:t>README maps every reported number to command → output file → field; the instructor's spot-check regenerates it; code and data separated; no key or data in any commit</w:t>
            </w:r>
          </w:p>
        </w:tc>
      </w:tr>
      <w:tr>
        <w:tc>
          <w:tcPr>
            <w:tcW w:type="dxa" w:w="3312"/>
          </w:tcPr>
          <w:p>
            <w:r>
              <w:rPr>
                <w:sz w:val="19"/>
              </w:rPr>
            </w:r>
            <w:r>
              <w:rPr>
                <w:sz w:val="19"/>
              </w:rPr>
              <w:t>Presentation</w:t>
            </w:r>
          </w:p>
        </w:tc>
        <w:tc>
          <w:tcPr>
            <w:tcW w:type="dxa" w:w="3312"/>
          </w:tcPr>
          <w:p>
            <w:r>
              <w:rPr>
                <w:sz w:val="19"/>
              </w:rPr>
            </w:r>
            <w:r>
              <w:rPr>
                <w:sz w:val="19"/>
              </w:rPr>
              <w:t>20%</w:t>
            </w:r>
          </w:p>
        </w:tc>
        <w:tc>
          <w:tcPr>
            <w:tcW w:type="dxa" w:w="3312"/>
          </w:tcPr>
          <w:p>
            <w:r>
              <w:rPr>
                <w:sz w:val="19"/>
              </w:rPr>
            </w:r>
            <w:r>
              <w:rPr>
                <w:sz w:val="19"/>
              </w:rPr>
              <w:t>13 + 5 on time; one study on screen; the live moment works on the keyless path; Q&amp;A answered with numbers and the command behind them</w:t>
            </w:r>
          </w:p>
        </w:tc>
      </w:tr>
      <w:tr>
        <w:tc>
          <w:tcPr>
            <w:tcW w:type="dxa" w:w="3312"/>
          </w:tcPr>
          <w:p>
            <w:r>
              <w:rPr>
                <w:sz w:val="19"/>
              </w:rPr>
            </w:r>
            <w:r>
              <w:rPr>
                <w:sz w:val="19"/>
              </w:rPr>
              <w:t>AI reflection + marker audit</w:t>
            </w:r>
          </w:p>
        </w:tc>
        <w:tc>
          <w:tcPr>
            <w:tcW w:type="dxa" w:w="3312"/>
          </w:tcPr>
          <w:p>
            <w:r>
              <w:rPr>
                <w:sz w:val="19"/>
              </w:rPr>
            </w:r>
            <w:r>
              <w:rPr>
                <w:sz w:val="19"/>
              </w:rPr>
              <w:t>10%</w:t>
            </w:r>
          </w:p>
        </w:tc>
        <w:tc>
          <w:tcPr>
            <w:tcW w:type="dxa" w:w="3312"/>
          </w:tcPr>
          <w:p>
            <w:r>
              <w:rPr>
                <w:sz w:val="19"/>
              </w:rPr>
            </w:r>
            <w:r>
              <w:rPr>
                <w:sz w:val="19"/>
              </w:rPr>
              <w:t>Consequential uses logged with kept vs overrode and a reason each; the marker audit names what was flagged and what changed</w:t>
            </w:r>
          </w:p>
        </w:tc>
      </w:tr>
      <w:tr>
        <w:tc>
          <w:tcPr>
            <w:tcW w:type="dxa" w:w="3312"/>
          </w:tcPr>
          <w:p>
            <w:r>
              <w:rPr>
                <w:sz w:val="19"/>
              </w:rPr>
            </w:r>
            <w:r>
              <w:rPr>
                <w:sz w:val="19"/>
              </w:rPr>
              <w:t>Process &amp; AI disclosure</w:t>
            </w:r>
          </w:p>
        </w:tc>
        <w:tc>
          <w:tcPr>
            <w:tcW w:type="dxa" w:w="3312"/>
          </w:tcPr>
          <w:p>
            <w:r>
              <w:rPr>
                <w:sz w:val="19"/>
              </w:rPr>
            </w:r>
            <w:r>
              <w:rPr>
                <w:sz w:val="19"/>
              </w:rPr>
              <w:t>10%</w:t>
            </w:r>
          </w:p>
        </w:tc>
        <w:tc>
          <w:tcPr>
            <w:tcW w:type="dxa" w:w="3312"/>
          </w:tcPr>
          <w:p>
            <w:r>
              <w:rPr>
                <w:sz w:val="19"/>
              </w:rPr>
            </w:r>
            <w:r>
              <w:rPr>
                <w:sz w:val="19"/>
              </w:rPr>
              <w:t>Human-first work documented; the disclosure answers name the actual change</w:t>
            </w:r>
          </w:p>
        </w:tc>
      </w:tr>
    </w:tbl>
    <w:p/>
    <w:p>
      <w:pPr>
        <w:pStyle w:val="Heading2"/>
      </w:pPr>
      <w:r>
        <w:t>AI disclosure (required)</w:t>
      </w:r>
    </w:p>
    <w:p>
      <w:r>
        <w:rPr>
          <w:b/>
        </w:rPr>
        <w:t>Human first.</w:t>
      </w:r>
      <w:r>
        <w:t xml:space="preserve"> Draft or plan this yourselves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we asked</w:t>
      </w:r>
      <w:r>
        <w:t xml:space="preserve"> — the two or three prompts that mattered, in one line each.</w:t>
      </w:r>
    </w:p>
    <w:p>
      <w:r>
        <w:t xml:space="preserve">(b) </w:t>
      </w:r>
      <w:r>
        <w:rPr>
          <w:b/>
        </w:rPr>
        <w:t>What we kept</w:t>
      </w:r>
      <w:r>
        <w:t xml:space="preserve"> — the change we accepted, and why it was an improvement.</w:t>
      </w:r>
    </w:p>
    <w:p>
      <w:r>
        <w:t xml:space="preserve">(c) </w:t>
      </w:r>
      <w:r>
        <w:rPr>
          <w:b/>
        </w:rPr>
        <w:t>What we overrode</w:t>
      </w:r>
      <w:r>
        <w:t xml:space="preserve"> — the AI suggestion we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p>
      <w:r>
        <w:rPr>
          <w:b/>
        </w:rPr>
        <w:t>Report skeleton.</w:t>
      </w:r>
      <w:r>
        <w:t xml:space="preserve"> Write under these headings in this order; the budget is a ceiling, not a target. Every number carries a </w:t>
      </w:r>
      <w:r>
        <w:rPr>
          <w:rFonts w:ascii="Courier New" w:hAnsi="Courier New"/>
        </w:rPr>
        <w:t>command → output file → field</w:t>
      </w:r>
      <w:r>
        <w:t xml:space="preserve"> line.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w:t>
            </w:r>
          </w:p>
        </w:tc>
        <w:tc>
          <w:tcPr>
            <w:tcW w:type="dxa" w:w="2484"/>
          </w:tcPr>
          <w:p>
            <w:r>
              <w:rPr>
                <w:b/>
                <w:sz w:val="19"/>
              </w:rPr>
            </w:r>
            <w:r>
              <w:rPr>
                <w:b/>
                <w:sz w:val="19"/>
              </w:rPr>
              <w:t>Section</w:t>
            </w:r>
          </w:p>
        </w:tc>
        <w:tc>
          <w:tcPr>
            <w:tcW w:type="dxa" w:w="2484"/>
          </w:tcPr>
          <w:p>
            <w:r>
              <w:rPr>
                <w:b/>
                <w:sz w:val="19"/>
              </w:rPr>
            </w:r>
            <w:r>
              <w:rPr>
                <w:b/>
                <w:sz w:val="19"/>
              </w:rPr>
              <w:t>Word budget</w:t>
            </w:r>
          </w:p>
        </w:tc>
        <w:tc>
          <w:tcPr>
            <w:tcW w:type="dxa" w:w="2484"/>
          </w:tcPr>
          <w:p>
            <w:r>
              <w:rPr>
                <w:b/>
                <w:sz w:val="19"/>
              </w:rPr>
            </w:r>
            <w:r>
              <w:rPr>
                <w:b/>
                <w:sz w:val="19"/>
              </w:rPr>
              <w:t>What it must contain</w:t>
            </w:r>
          </w:p>
        </w:tc>
      </w:tr>
      <w:tr>
        <w:tc>
          <w:tcPr>
            <w:tcW w:type="dxa" w:w="2484"/>
          </w:tcPr>
          <w:p>
            <w:r>
              <w:rPr>
                <w:sz w:val="19"/>
              </w:rPr>
            </w:r>
            <w:r>
              <w:rPr>
                <w:sz w:val="19"/>
              </w:rPr>
              <w:t>1</w:t>
            </w:r>
          </w:p>
        </w:tc>
        <w:tc>
          <w:tcPr>
            <w:tcW w:type="dxa" w:w="2484"/>
          </w:tcPr>
          <w:p>
            <w:r>
              <w:rPr>
                <w:sz w:val="19"/>
              </w:rPr>
            </w:r>
            <w:r>
              <w:rPr>
                <w:sz w:val="19"/>
              </w:rPr>
              <w:t>Problem</w:t>
            </w:r>
          </w:p>
        </w:tc>
        <w:tc>
          <w:tcPr>
            <w:tcW w:type="dxa" w:w="2484"/>
          </w:tcPr>
          <w:p>
            <w:r>
              <w:rPr>
                <w:sz w:val="19"/>
              </w:rPr>
            </w:r>
            <w:r>
              <w:rPr>
                <w:sz w:val="19"/>
              </w:rPr>
              <w:t>≤150</w:t>
            </w:r>
          </w:p>
        </w:tc>
        <w:tc>
          <w:tcPr>
            <w:tcW w:type="dxa" w:w="2484"/>
          </w:tcPr>
          <w:p>
            <w:r>
              <w:rPr>
                <w:sz w:val="19"/>
              </w:rPr>
            </w:r>
            <w:r>
              <w:rPr>
                <w:sz w:val="19"/>
              </w:rPr>
              <w:t>The construct, why classifying it matters for marketing research, the question this study answers</w:t>
            </w:r>
          </w:p>
        </w:tc>
      </w:tr>
      <w:tr>
        <w:tc>
          <w:tcPr>
            <w:tcW w:type="dxa" w:w="2484"/>
          </w:tcPr>
          <w:p>
            <w:r>
              <w:rPr>
                <w:sz w:val="19"/>
              </w:rPr>
            </w:r>
            <w:r>
              <w:rPr>
                <w:sz w:val="19"/>
              </w:rPr>
              <w:t>2</w:t>
            </w:r>
          </w:p>
        </w:tc>
        <w:tc>
          <w:tcPr>
            <w:tcW w:type="dxa" w:w="2484"/>
          </w:tcPr>
          <w:p>
            <w:r>
              <w:rPr>
                <w:sz w:val="19"/>
              </w:rPr>
            </w:r>
            <w:r>
              <w:rPr>
                <w:sz w:val="19"/>
              </w:rPr>
              <w:t>Benchmark we built</w:t>
            </w:r>
          </w:p>
        </w:tc>
        <w:tc>
          <w:tcPr>
            <w:tcW w:type="dxa" w:w="2484"/>
          </w:tcPr>
          <w:p>
            <w:r>
              <w:rPr>
                <w:sz w:val="19"/>
              </w:rPr>
            </w:r>
            <w:r>
              <w:rPr>
                <w:sz w:val="19"/>
              </w:rPr>
              <w:t>≤200</w:t>
            </w:r>
          </w:p>
        </w:tc>
        <w:tc>
          <w:tcPr>
            <w:tcW w:type="dxa" w:w="2484"/>
          </w:tcPr>
          <w:p>
            <w:r>
              <w:rPr>
                <w:sz w:val="19"/>
              </w:rPr>
            </w:r>
            <w:r>
              <w:rPr>
                <w:sz w:val="19"/>
              </w:rPr>
              <w:t>How the class GT was coded and locked; n, positive rate, reliability as revealed at lock; "classroom copy, do not cite"</w:t>
            </w:r>
          </w:p>
        </w:tc>
      </w:tr>
      <w:tr>
        <w:tc>
          <w:tcPr>
            <w:tcW w:type="dxa" w:w="2484"/>
          </w:tcPr>
          <w:p>
            <w:r>
              <w:rPr>
                <w:sz w:val="19"/>
              </w:rPr>
            </w:r>
            <w:r>
              <w:rPr>
                <w:sz w:val="19"/>
              </w:rPr>
              <w:t>3</w:t>
            </w:r>
          </w:p>
        </w:tc>
        <w:tc>
          <w:tcPr>
            <w:tcW w:type="dxa" w:w="2484"/>
          </w:tcPr>
          <w:p>
            <w:r>
              <w:rPr>
                <w:sz w:val="19"/>
              </w:rPr>
            </w:r>
            <w:r>
              <w:rPr>
                <w:sz w:val="19"/>
              </w:rPr>
              <w:t>Ladder results</w:t>
            </w:r>
          </w:p>
        </w:tc>
        <w:tc>
          <w:tcPr>
            <w:tcW w:type="dxa" w:w="2484"/>
          </w:tcPr>
          <w:p>
            <w:r>
              <w:rPr>
                <w:sz w:val="19"/>
              </w:rPr>
            </w:r>
            <w:r>
              <w:rPr>
                <w:sz w:val="19"/>
              </w:rPr>
              <w:t>≤300</w:t>
            </w:r>
          </w:p>
        </w:tc>
        <w:tc>
          <w:tcPr>
            <w:tcW w:type="dxa" w:w="2484"/>
          </w:tcPr>
          <w:p>
            <w:r>
              <w:rPr>
                <w:sz w:val="19"/>
              </w:rPr>
            </w:r>
            <w:r>
              <w:rPr>
                <w:sz w:val="19"/>
              </w:rPr>
              <w:t>The one α/F1 table across designs (a)–(d) vs class GT with the published numbers alongside; tripwire verdict per iteration; the ship decision</w:t>
            </w:r>
          </w:p>
        </w:tc>
      </w:tr>
      <w:tr>
        <w:tc>
          <w:tcPr>
            <w:tcW w:type="dxa" w:w="2484"/>
          </w:tcPr>
          <w:p>
            <w:r>
              <w:rPr>
                <w:sz w:val="19"/>
              </w:rPr>
            </w:r>
            <w:r>
              <w:rPr>
                <w:sz w:val="19"/>
              </w:rPr>
              <w:t>4</w:t>
            </w:r>
          </w:p>
        </w:tc>
        <w:tc>
          <w:tcPr>
            <w:tcW w:type="dxa" w:w="2484"/>
          </w:tcPr>
          <w:p>
            <w:r>
              <w:rPr>
                <w:sz w:val="19"/>
              </w:rPr>
            </w:r>
            <w:r>
              <w:rPr>
                <w:sz w:val="19"/>
              </w:rPr>
              <w:t>Experiment</w:t>
            </w:r>
          </w:p>
        </w:tc>
        <w:tc>
          <w:tcPr>
            <w:tcW w:type="dxa" w:w="2484"/>
          </w:tcPr>
          <w:p>
            <w:r>
              <w:rPr>
                <w:sz w:val="19"/>
              </w:rPr>
            </w:r>
            <w:r>
              <w:rPr>
                <w:sz w:val="19"/>
              </w:rPr>
              <w:t>≤300</w:t>
            </w:r>
          </w:p>
        </w:tc>
        <w:tc>
          <w:tcPr>
            <w:tcW w:type="dxa" w:w="2484"/>
          </w:tcPr>
          <w:p>
            <w:r>
              <w:rPr>
                <w:sz w:val="19"/>
              </w:rPr>
            </w:r>
            <w:r>
              <w:rPr>
                <w:sz w:val="19"/>
              </w:rPr>
              <w:t>Pre-registered H, arms, decision rule, CI, verdict by rule, mechanism, placement vs the published direction</w:t>
            </w:r>
          </w:p>
        </w:tc>
      </w:tr>
      <w:tr>
        <w:tc>
          <w:tcPr>
            <w:tcW w:type="dxa" w:w="2484"/>
          </w:tcPr>
          <w:p>
            <w:r>
              <w:rPr>
                <w:sz w:val="19"/>
              </w:rPr>
            </w:r>
            <w:r>
              <w:rPr>
                <w:sz w:val="19"/>
              </w:rPr>
              <w:t>5</w:t>
            </w:r>
          </w:p>
        </w:tc>
        <w:tc>
          <w:tcPr>
            <w:tcW w:type="dxa" w:w="2484"/>
          </w:tcPr>
          <w:p>
            <w:r>
              <w:rPr>
                <w:sz w:val="19"/>
              </w:rPr>
            </w:r>
            <w:r>
              <w:rPr>
                <w:sz w:val="19"/>
              </w:rPr>
              <w:t>Extension</w:t>
            </w:r>
          </w:p>
        </w:tc>
        <w:tc>
          <w:tcPr>
            <w:tcW w:type="dxa" w:w="2484"/>
          </w:tcPr>
          <w:p>
            <w:r>
              <w:rPr>
                <w:sz w:val="19"/>
              </w:rPr>
            </w:r>
            <w:r>
              <w:rPr>
                <w:sz w:val="19"/>
              </w:rPr>
              <w:t>≤250</w:t>
            </w:r>
          </w:p>
        </w:tc>
        <w:tc>
          <w:tcPr>
            <w:tcW w:type="dxa" w:w="2484"/>
          </w:tcPr>
          <w:p>
            <w:r>
              <w:rPr>
                <w:sz w:val="19"/>
              </w:rPr>
            </w:r>
            <w:r>
              <w:rPr>
                <w:sz w:val="19"/>
              </w:rPr>
              <w:t>Track, done-when table, what we found, what a researcher should do next</w:t>
            </w:r>
          </w:p>
        </w:tc>
      </w:tr>
      <w:tr>
        <w:tc>
          <w:tcPr>
            <w:tcW w:type="dxa" w:w="2484"/>
          </w:tcPr>
          <w:p>
            <w:r>
              <w:rPr>
                <w:sz w:val="19"/>
              </w:rPr>
            </w:r>
            <w:r>
              <w:rPr>
                <w:sz w:val="19"/>
              </w:rPr>
              <w:t>6</w:t>
            </w:r>
          </w:p>
        </w:tc>
        <w:tc>
          <w:tcPr>
            <w:tcW w:type="dxa" w:w="2484"/>
          </w:tcPr>
          <w:p>
            <w:r>
              <w:rPr>
                <w:sz w:val="19"/>
              </w:rPr>
            </w:r>
            <w:r>
              <w:rPr>
                <w:sz w:val="19"/>
              </w:rPr>
              <w:t>App</w:t>
            </w:r>
          </w:p>
        </w:tc>
        <w:tc>
          <w:tcPr>
            <w:tcW w:type="dxa" w:w="2484"/>
          </w:tcPr>
          <w:p>
            <w:r>
              <w:rPr>
                <w:sz w:val="19"/>
              </w:rPr>
            </w:r>
            <w:r>
              <w:rPr>
                <w:sz w:val="19"/>
              </w:rPr>
              <w:t>≤150</w:t>
            </w:r>
          </w:p>
        </w:tc>
        <w:tc>
          <w:tcPr>
            <w:tcW w:type="dxa" w:w="2484"/>
          </w:tcPr>
          <w:p>
            <w:r>
              <w:rPr>
                <w:sz w:val="19"/>
              </w:rPr>
            </w:r>
            <w:r>
              <w:rPr>
                <w:sz w:val="19"/>
              </w:rPr>
              <w:t>Three pages, keyless mode, guardrails, public URL, the one honest limitation</w:t>
            </w:r>
          </w:p>
        </w:tc>
      </w:tr>
      <w:tr>
        <w:tc>
          <w:tcPr>
            <w:tcW w:type="dxa" w:w="2484"/>
          </w:tcPr>
          <w:p>
            <w:r>
              <w:rPr>
                <w:sz w:val="19"/>
              </w:rPr>
            </w:r>
            <w:r>
              <w:rPr>
                <w:sz w:val="19"/>
              </w:rPr>
              <w:t>7</w:t>
            </w:r>
          </w:p>
        </w:tc>
        <w:tc>
          <w:tcPr>
            <w:tcW w:type="dxa" w:w="2484"/>
          </w:tcPr>
          <w:p>
            <w:r>
              <w:rPr>
                <w:sz w:val="19"/>
              </w:rPr>
            </w:r>
            <w:r>
              <w:rPr>
                <w:sz w:val="19"/>
              </w:rPr>
              <w:t>Limitations</w:t>
            </w:r>
          </w:p>
        </w:tc>
        <w:tc>
          <w:tcPr>
            <w:tcW w:type="dxa" w:w="2484"/>
          </w:tcPr>
          <w:p>
            <w:r>
              <w:rPr>
                <w:sz w:val="19"/>
              </w:rPr>
            </w:r>
            <w:r>
              <w:rPr>
                <w:sz w:val="19"/>
              </w:rPr>
              <w:t>≤150</w:t>
            </w:r>
          </w:p>
        </w:tc>
        <w:tc>
          <w:tcPr>
            <w:tcW w:type="dxa" w:w="2484"/>
          </w:tcPr>
          <w:p>
            <w:r>
              <w:rPr>
                <w:sz w:val="19"/>
              </w:rPr>
            </w:r>
            <w:r>
              <w:rPr>
                <w:sz w:val="19"/>
              </w:rPr>
              <w:t>Classroom GT, n ≈ 135, definition-only seeds, single reviser draws — the actual ones</w:t>
            </w:r>
          </w:p>
        </w:tc>
      </w:tr>
      <w:tr>
        <w:tc>
          <w:tcPr>
            <w:tcW w:type="dxa" w:w="2484"/>
          </w:tcPr>
          <w:p>
            <w:r>
              <w:rPr>
                <w:sz w:val="19"/>
              </w:rPr>
            </w:r>
            <w:r>
              <w:rPr>
                <w:sz w:val="19"/>
              </w:rPr>
              <w:t>8</w:t>
            </w:r>
          </w:p>
        </w:tc>
        <w:tc>
          <w:tcPr>
            <w:tcW w:type="dxa" w:w="2484"/>
          </w:tcPr>
          <w:p>
            <w:r>
              <w:rPr>
                <w:sz w:val="19"/>
              </w:rPr>
            </w:r>
            <w:r>
              <w:rPr>
                <w:sz w:val="19"/>
              </w:rPr>
              <w:t>Stack</w:t>
            </w:r>
          </w:p>
        </w:tc>
        <w:tc>
          <w:tcPr>
            <w:tcW w:type="dxa" w:w="2484"/>
          </w:tcPr>
          <w:p>
            <w:r>
              <w:rPr>
                <w:sz w:val="19"/>
              </w:rPr>
            </w:r>
            <w:r>
              <w:rPr>
                <w:sz w:val="19"/>
              </w:rPr>
              <w:t>≤200</w:t>
            </w:r>
          </w:p>
        </w:tc>
        <w:tc>
          <w:tcPr>
            <w:tcW w:type="dxa" w:w="2484"/>
          </w:tcPr>
          <w:p>
            <w:r>
              <w:rPr>
                <w:sz w:val="19"/>
              </w:rPr>
            </w:r>
            <w:r>
              <w:rPr>
                <w:sz w:val="19"/>
              </w:rPr>
              <w:t>The one-person research/business stack, from the stack table below</w:t>
            </w:r>
          </w:p>
        </w:tc>
      </w:tr>
    </w:tbl>
    <w:p/>
    <w:p>
      <w:r>
        <w:rPr>
          <w:b/>
        </w:rPr>
        <w:t>Reproducibility README checklist</w:t>
      </w:r>
    </w:p>
    <w:p>
      <w:pPr>
        <w:ind w:left="360"/>
      </w:pPr>
      <w:r>
        <w:rPr>
          <w:b/>
        </w:rPr>
        <w:t xml:space="preserve">☐  </w:t>
      </w:r>
      <w:r>
        <w:t>One-paragraph statement of what the package regenerates and what it needs (repo + team Drive folder + a key only for live runs)</w:t>
      </w:r>
    </w:p>
    <w:p>
      <w:pPr>
        <w:ind w:left="360"/>
      </w:pPr>
      <w:r>
        <w:rPr>
          <w:b/>
        </w:rPr>
        <w:t xml:space="preserve">☐  </w:t>
      </w:r>
      <w:r>
        <w:t>Environment: Python version, install command, smoke-test command and its expected output</w:t>
      </w:r>
    </w:p>
    <w:p>
      <w:pPr>
        <w:ind w:left="360"/>
      </w:pPr>
      <w:r>
        <w:rPr>
          <w:b/>
        </w:rPr>
        <w:t xml:space="preserve">☐  </w:t>
      </w:r>
      <w:r>
        <w:t>Number map: every reported number → command → output file → field (one row each)</w:t>
      </w:r>
    </w:p>
    <w:p>
      <w:pPr>
        <w:ind w:left="360"/>
      </w:pPr>
      <w:r>
        <w:rPr>
          <w:b/>
        </w:rPr>
        <w:t xml:space="preserve">☐  </w:t>
      </w:r>
      <w:r>
        <w:t>Data location stated (team Drive folder), with the row count and lock date of the benchmark</w:t>
      </w:r>
    </w:p>
    <w:p>
      <w:pPr>
        <w:ind w:left="360"/>
      </w:pPr>
      <w:r>
        <w:rPr>
          <w:b/>
        </w:rPr>
        <w:t xml:space="preserve">☐  </w:t>
      </w:r>
      <w:r>
        <w:t>Prompt versions listed with their tags and parents; diffs for every experiment and extension arm</w:t>
      </w:r>
    </w:p>
    <w:p>
      <w:pPr>
        <w:ind w:left="360"/>
      </w:pPr>
      <w:r>
        <w:rPr>
          <w:b/>
        </w:rPr>
        <w:t xml:space="preserve">☐  </w:t>
      </w:r>
      <w:r>
        <w:t>Run log: dry-run estimate vs actual spend per milestone</w:t>
      </w:r>
    </w:p>
    <w:p>
      <w:pPr>
        <w:ind w:left="360"/>
      </w:pPr>
      <w:r>
        <w:rPr>
          <w:b/>
        </w:rPr>
        <w:t xml:space="preserve">☐  </w:t>
      </w:r>
      <w:r>
        <w:t>Cold test: teammate who did not run it regenerated ______ (which number) on ______ (date)</w:t>
      </w:r>
    </w:p>
    <w:p>
      <w:pPr>
        <w:ind w:left="360"/>
      </w:pPr>
      <w:r>
        <w:rPr>
          <w:b/>
        </w:rPr>
        <w:t xml:space="preserve">☐  </w:t>
      </w:r>
      <w:r>
        <w:t>No key, no data, no benchmark in any commit (checked with a repo scan)</w:t>
      </w:r>
    </w:p>
    <w:p>
      <w:r>
        <w:rPr>
          <w:b/>
        </w:rPr>
        <w:t>AI-reflection table</w:t>
      </w:r>
      <w:r>
        <w:t xml:space="preserve"> — consequential uses only, across the whole project.</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2016"/>
        <w:gridCol w:w="2016"/>
        <w:gridCol w:w="2016"/>
        <w:gridCol w:w="2016"/>
        <w:gridCol w:w="2016"/>
        <w:gridCol w:w="2016"/>
        <w:gridCol w:w="2016"/>
      </w:tblGrid>
      <w:tr>
        <w:tc>
          <w:tcPr>
            <w:tcW w:type="dxa" w:w="2016"/>
          </w:tcPr>
          <w:p>
            <w:r>
              <w:rPr>
                <w:b/>
                <w:sz w:val="18"/>
              </w:rPr>
            </w:r>
            <w:r>
              <w:rPr>
                <w:b/>
                <w:sz w:val="18"/>
              </w:rPr>
              <w:t>#</w:t>
            </w:r>
          </w:p>
        </w:tc>
        <w:tc>
          <w:tcPr>
            <w:tcW w:type="dxa" w:w="2016"/>
          </w:tcPr>
          <w:p>
            <w:r>
              <w:rPr>
                <w:b/>
                <w:sz w:val="18"/>
              </w:rPr>
            </w:r>
            <w:r>
              <w:rPr>
                <w:b/>
                <w:sz w:val="18"/>
              </w:rPr>
              <w:t>Milestone</w:t>
            </w:r>
          </w:p>
        </w:tc>
        <w:tc>
          <w:tcPr>
            <w:tcW w:type="dxa" w:w="2016"/>
          </w:tcPr>
          <w:p>
            <w:r>
              <w:rPr>
                <w:b/>
                <w:sz w:val="18"/>
              </w:rPr>
            </w:r>
            <w:r>
              <w:rPr>
                <w:b/>
                <w:sz w:val="18"/>
              </w:rPr>
              <w:t>Use (what we asked, one line)</w:t>
            </w:r>
          </w:p>
        </w:tc>
        <w:tc>
          <w:tcPr>
            <w:tcW w:type="dxa" w:w="2016"/>
          </w:tcPr>
          <w:p>
            <w:r>
              <w:rPr>
                <w:b/>
                <w:sz w:val="18"/>
              </w:rPr>
            </w:r>
            <w:r>
              <w:rPr>
                <w:b/>
                <w:sz w:val="18"/>
              </w:rPr>
              <w:t>Tag (evidence / structure / counterargument / math check / wording)</w:t>
            </w:r>
          </w:p>
        </w:tc>
        <w:tc>
          <w:tcPr>
            <w:tcW w:type="dxa" w:w="2016"/>
          </w:tcPr>
          <w:p>
            <w:r>
              <w:rPr>
                <w:b/>
                <w:sz w:val="18"/>
              </w:rPr>
            </w:r>
            <w:r>
              <w:rPr>
                <w:b/>
                <w:sz w:val="18"/>
              </w:rPr>
              <w:t>What we kept, and why</w:t>
            </w:r>
          </w:p>
        </w:tc>
        <w:tc>
          <w:tcPr>
            <w:tcW w:type="dxa" w:w="2016"/>
          </w:tcPr>
          <w:p>
            <w:r>
              <w:rPr>
                <w:b/>
                <w:sz w:val="18"/>
              </w:rPr>
            </w:r>
            <w:r>
              <w:rPr>
                <w:b/>
                <w:sz w:val="18"/>
              </w:rPr>
              <w:t>What we overrode, and why</w:t>
            </w:r>
          </w:p>
        </w:tc>
        <w:tc>
          <w:tcPr>
            <w:tcW w:type="dxa" w:w="2016"/>
          </w:tcPr>
          <w:p>
            <w:r>
              <w:rPr>
                <w:b/>
                <w:sz w:val="18"/>
              </w:rPr>
            </w:r>
            <w:r>
              <w:rPr>
                <w:b/>
                <w:sz w:val="18"/>
              </w:rPr>
              <w:t>Tool + transcript link</w:t>
            </w:r>
          </w:p>
        </w:tc>
      </w:tr>
    </w:tbl>
    <w:p/>
    <w:p>
      <w:pPr>
        <w:sectPr>
          <w:pgSz w:w="15840" w:h="12240" w:orient="landscape"/>
          <w:pgMar w:top="1008" w:right="864" w:bottom="1008" w:left="864" w:header="720" w:footer="720" w:gutter="0"/>
          <w:cols w:space="720"/>
          <w:docGrid w:linePitch="360"/>
        </w:sectPr>
      </w:pPr>
    </w:p>
    <w:p>
      <w:r>
        <w:rPr>
          <w:b/>
        </w:rPr>
        <w:t>AI-marker audit record</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Draft audited (date, version)</w:t>
            </w:r>
          </w:p>
        </w:tc>
        <w:tc>
          <w:tcPr>
            <w:tcW w:type="dxa" w:w="4968"/>
          </w:tcPr>
          <w:p>
            <w:r>
              <w:rPr>
                <w:b/>
                <w:sz w:val="19"/>
              </w:rPr>
            </w:r>
          </w:p>
        </w:tc>
      </w:tr>
      <w:tr>
        <w:tc>
          <w:tcPr>
            <w:tcW w:type="dxa" w:w="4968"/>
          </w:tcPr>
          <w:p>
            <w:r>
              <w:rPr>
                <w:sz w:val="19"/>
              </w:rPr>
            </w:r>
            <w:r>
              <w:rPr>
                <w:sz w:val="19"/>
              </w:rPr>
              <w:t>Markers flagged (list them, with one example each)</w:t>
            </w:r>
          </w:p>
        </w:tc>
        <w:tc>
          <w:tcPr>
            <w:tcW w:type="dxa" w:w="4968"/>
          </w:tcPr>
          <w:p>
            <w:r>
              <w:rPr>
                <w:sz w:val="19"/>
              </w:rPr>
            </w:r>
          </w:p>
        </w:tc>
      </w:tr>
      <w:tr>
        <w:tc>
          <w:tcPr>
            <w:tcW w:type="dxa" w:w="4968"/>
          </w:tcPr>
          <w:p>
            <w:r>
              <w:rPr>
                <w:sz w:val="19"/>
              </w:rPr>
            </w:r>
            <w:r>
              <w:rPr>
                <w:sz w:val="19"/>
              </w:rPr>
              <w:t>What we changed</w:t>
            </w:r>
          </w:p>
        </w:tc>
        <w:tc>
          <w:tcPr>
            <w:tcW w:type="dxa" w:w="4968"/>
          </w:tcPr>
          <w:p>
            <w:r>
              <w:rPr>
                <w:sz w:val="19"/>
              </w:rPr>
            </w:r>
          </w:p>
        </w:tc>
      </w:tr>
      <w:tr>
        <w:tc>
          <w:tcPr>
            <w:tcW w:type="dxa" w:w="4968"/>
          </w:tcPr>
          <w:p>
            <w:r>
              <w:rPr>
                <w:sz w:val="19"/>
              </w:rPr>
            </w:r>
            <w:r>
              <w:rPr>
                <w:sz w:val="19"/>
              </w:rPr>
              <w:t>What we kept anyway, and why</w:t>
            </w:r>
          </w:p>
        </w:tc>
        <w:tc>
          <w:tcPr>
            <w:tcW w:type="dxa" w:w="4968"/>
          </w:tcPr>
          <w:p>
            <w:r>
              <w:rPr>
                <w:sz w:val="19"/>
              </w:rPr>
            </w:r>
          </w:p>
        </w:tc>
      </w:tr>
    </w:tbl>
    <w:p/>
    <w:p>
      <w:r>
        <w:rPr>
          <w:b/>
        </w:rPr>
        <w:t>Stack table</w:t>
      </w:r>
      <w:r>
        <w:t xml:space="preserve"> — the one-person research/business stack you actually used.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Layer</w:t>
            </w:r>
          </w:p>
        </w:tc>
        <w:tc>
          <w:tcPr>
            <w:tcW w:type="dxa" w:w="2484"/>
          </w:tcPr>
          <w:p>
            <w:r>
              <w:rPr>
                <w:b/>
                <w:sz w:val="19"/>
              </w:rPr>
            </w:r>
            <w:r>
              <w:rPr>
                <w:b/>
                <w:sz w:val="19"/>
              </w:rPr>
              <w:t>Tool(s)</w:t>
            </w:r>
          </w:p>
        </w:tc>
        <w:tc>
          <w:tcPr>
            <w:tcW w:type="dxa" w:w="2484"/>
          </w:tcPr>
          <w:p>
            <w:r>
              <w:rPr>
                <w:b/>
                <w:sz w:val="19"/>
              </w:rPr>
            </w:r>
            <w:r>
              <w:rPr>
                <w:b/>
                <w:sz w:val="19"/>
              </w:rPr>
              <w:t>Workflow (one line: input → what the tool does → output)</w:t>
            </w:r>
          </w:p>
        </w:tc>
        <w:tc>
          <w:tcPr>
            <w:tcW w:type="dxa" w:w="2484"/>
          </w:tcPr>
          <w:p>
            <w:r>
              <w:rPr>
                <w:b/>
                <w:sz w:val="19"/>
              </w:rPr>
            </w:r>
            <w:r>
              <w:rPr>
                <w:b/>
                <w:sz w:val="19"/>
              </w:rPr>
              <w:t>What we'd automate next</w:t>
            </w:r>
          </w:p>
        </w:tc>
      </w:tr>
      <w:tr>
        <w:tc>
          <w:tcPr>
            <w:tcW w:type="dxa" w:w="2484"/>
          </w:tcPr>
          <w:p>
            <w:r>
              <w:rPr>
                <w:sz w:val="19"/>
              </w:rPr>
            </w:r>
            <w:r>
              <w:rPr>
                <w:sz w:val="19"/>
              </w:rPr>
              <w:t>Learn</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Strategize</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Research</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Build</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Replicate</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Write</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Ship</w:t>
            </w:r>
          </w:p>
        </w:tc>
        <w:tc>
          <w:tcPr>
            <w:tcW w:type="dxa" w:w="2484"/>
          </w:tcPr>
          <w:p>
            <w:r>
              <w:rPr>
                <w:sz w:val="19"/>
              </w:rPr>
            </w:r>
          </w:p>
        </w:tc>
        <w:tc>
          <w:tcPr>
            <w:tcW w:type="dxa" w:w="2484"/>
          </w:tcPr>
          <w:p>
            <w:r>
              <w:rPr>
                <w:sz w:val="19"/>
              </w:rPr>
            </w:r>
          </w:p>
        </w:tc>
        <w:tc>
          <w:tcPr>
            <w:tcW w:type="dxa" w:w="2484"/>
          </w:tcPr>
          <w:p>
            <w:r>
              <w:rPr>
                <w:sz w:val="19"/>
              </w:rPr>
            </w:r>
          </w:p>
        </w:tc>
      </w:tr>
    </w:tbl>
    <w:p/>
    <w:p>
      <w:pPr>
        <w:pStyle w:val="Heading2"/>
      </w:pPr>
      <w:r>
        <w:t>Appendix B — Worked fragment (illustrative only — placeholder text)</w:t>
      </w:r>
    </w:p>
    <w:p>
      <w:r>
        <w:t>One number-map row and one reflection row, to show the standard: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Reported number</w:t>
            </w:r>
          </w:p>
        </w:tc>
        <w:tc>
          <w:tcPr>
            <w:tcW w:type="dxa" w:w="2484"/>
          </w:tcPr>
          <w:p>
            <w:r>
              <w:rPr>
                <w:b/>
                <w:sz w:val="19"/>
              </w:rPr>
            </w:r>
            <w:r>
              <w:rPr>
                <w:b/>
                <w:sz w:val="19"/>
              </w:rPr>
              <w:t>Command</w:t>
            </w:r>
          </w:p>
        </w:tc>
        <w:tc>
          <w:tcPr>
            <w:tcW w:type="dxa" w:w="2484"/>
          </w:tcPr>
          <w:p>
            <w:r>
              <w:rPr>
                <w:b/>
                <w:sz w:val="19"/>
              </w:rPr>
            </w:r>
            <w:r>
              <w:rPr>
                <w:b/>
                <w:sz w:val="19"/>
              </w:rPr>
              <w:t>Output file</w:t>
            </w:r>
          </w:p>
        </w:tc>
        <w:tc>
          <w:tcPr>
            <w:tcW w:type="dxa" w:w="2484"/>
          </w:tcPr>
          <w:p>
            <w:r>
              <w:rPr>
                <w:b/>
                <w:sz w:val="19"/>
              </w:rPr>
            </w:r>
            <w:r>
              <w:rPr>
                <w:b/>
                <w:sz w:val="19"/>
              </w:rPr>
              <w:t>Field</w:t>
            </w:r>
          </w:p>
        </w:tc>
      </w:tr>
      <w:tr>
        <w:tc>
          <w:tcPr>
            <w:tcW w:type="dxa" w:w="2484"/>
          </w:tcPr>
          <w:p>
            <w:r>
              <w:rPr>
                <w:sz w:val="19"/>
              </w:rPr>
            </w:r>
            <w:r>
              <w:rPr>
                <w:sz w:val="19"/>
              </w:rPr>
              <w:t>Design (c) F1 = .81, coder 1</w:t>
            </w:r>
          </w:p>
        </w:tc>
        <w:tc>
          <w:tcPr>
            <w:tcW w:type="dxa" w:w="2484"/>
          </w:tcPr>
          <w:p>
            <w:r>
              <w:rPr>
                <w:sz w:val="19"/>
              </w:rPr>
            </w:r>
            <w:r>
              <w:rPr>
                <w:rFonts w:ascii="Courier New" w:hAnsi="Courier New"/>
                <w:sz w:val="19"/>
              </w:rPr>
              <w:t>python run_predictions.py --cell SolvingWork:def --models … --stats</w:t>
            </w:r>
            <w:r>
              <w:rPr>
                <w:sz w:val="19"/>
              </w:rPr>
              <w:t xml:space="preserve"> then </w:t>
            </w:r>
            <w:r>
              <w:rPr>
                <w:rFonts w:ascii="Courier New" w:hAnsi="Courier New"/>
                <w:sz w:val="19"/>
              </w:rPr>
              <w:t>python analyze.py --construct SolvingWork --version def --judge</w:t>
            </w:r>
          </w:p>
        </w:tc>
        <w:tc>
          <w:tcPr>
            <w:tcW w:type="dxa" w:w="2484"/>
          </w:tcPr>
          <w:p>
            <w:r>
              <w:rPr>
                <w:sz w:val="19"/>
              </w:rPr>
            </w:r>
            <w:r>
              <w:rPr>
                <w:rFonts w:ascii="Courier New" w:hAnsi="Courier New"/>
                <w:sz w:val="19"/>
              </w:rPr>
              <w:t>reports/SolvingWork_def_judge_stats.json</w:t>
            </w:r>
          </w:p>
        </w:tc>
        <w:tc>
          <w:tcPr>
            <w:tcW w:type="dxa" w:w="2484"/>
          </w:tcPr>
          <w:p>
            <w:r>
              <w:rPr>
                <w:sz w:val="19"/>
              </w:rPr>
            </w:r>
            <w:r>
              <w:rPr>
                <w:rFonts w:ascii="Courier New" w:hAnsi="Courier New"/>
                <w:sz w:val="19"/>
              </w:rPr>
              <w:t>f1["coder 1"]</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9"/>
              </w:rPr>
            </w:r>
            <w:r>
              <w:rPr>
                <w:b/>
                <w:sz w:val="19"/>
              </w:rPr>
              <w:t>Milestone</w:t>
            </w:r>
          </w:p>
        </w:tc>
        <w:tc>
          <w:tcPr>
            <w:tcW w:type="dxa" w:w="1987"/>
          </w:tcPr>
          <w:p>
            <w:r>
              <w:rPr>
                <w:b/>
                <w:sz w:val="19"/>
              </w:rPr>
            </w:r>
            <w:r>
              <w:rPr>
                <w:b/>
                <w:sz w:val="19"/>
              </w:rPr>
              <w:t>Use</w:t>
            </w:r>
          </w:p>
        </w:tc>
        <w:tc>
          <w:tcPr>
            <w:tcW w:type="dxa" w:w="1987"/>
          </w:tcPr>
          <w:p>
            <w:r>
              <w:rPr>
                <w:b/>
                <w:sz w:val="19"/>
              </w:rPr>
            </w:r>
            <w:r>
              <w:rPr>
                <w:b/>
                <w:sz w:val="19"/>
              </w:rPr>
              <w:t>Tag</w:t>
            </w:r>
          </w:p>
        </w:tc>
        <w:tc>
          <w:tcPr>
            <w:tcW w:type="dxa" w:w="1987"/>
          </w:tcPr>
          <w:p>
            <w:r>
              <w:rPr>
                <w:b/>
                <w:sz w:val="19"/>
              </w:rPr>
            </w:r>
            <w:r>
              <w:rPr>
                <w:b/>
                <w:sz w:val="19"/>
              </w:rPr>
              <w:t>Kept</w:t>
            </w:r>
          </w:p>
        </w:tc>
        <w:tc>
          <w:tcPr>
            <w:tcW w:type="dxa" w:w="1987"/>
          </w:tcPr>
          <w:p>
            <w:r>
              <w:rPr>
                <w:b/>
                <w:sz w:val="19"/>
              </w:rPr>
            </w:r>
            <w:r>
              <w:rPr>
                <w:b/>
                <w:sz w:val="19"/>
              </w:rPr>
              <w:t>Overrode</w:t>
            </w:r>
          </w:p>
        </w:tc>
      </w:tr>
      <w:tr>
        <w:tc>
          <w:tcPr>
            <w:tcW w:type="dxa" w:w="1987"/>
          </w:tcPr>
          <w:p>
            <w:r>
              <w:rPr>
                <w:sz w:val="19"/>
              </w:rPr>
            </w:r>
            <w:r>
              <w:rPr>
                <w:sz w:val="19"/>
              </w:rPr>
              <w:t>M2</w:t>
            </w:r>
          </w:p>
        </w:tc>
        <w:tc>
          <w:tcPr>
            <w:tcW w:type="dxa" w:w="1987"/>
          </w:tcPr>
          <w:p>
            <w:r>
              <w:rPr>
                <w:sz w:val="19"/>
              </w:rPr>
            </w:r>
            <w:r>
              <w:rPr>
                <w:sz w:val="19"/>
              </w:rPr>
              <w:t>"Read our three wrong rows and say what the definition misses"</w:t>
            </w:r>
          </w:p>
        </w:tc>
        <w:tc>
          <w:tcPr>
            <w:tcW w:type="dxa" w:w="1987"/>
          </w:tcPr>
          <w:p>
            <w:r>
              <w:rPr>
                <w:sz w:val="19"/>
              </w:rPr>
            </w:r>
            <w:r>
              <w:rPr>
                <w:sz w:val="19"/>
              </w:rPr>
              <w:t>counterargument</w:t>
            </w:r>
          </w:p>
        </w:tc>
        <w:tc>
          <w:tcPr>
            <w:tcW w:type="dxa" w:w="1987"/>
          </w:tcPr>
          <w:p>
            <w:r>
              <w:rPr>
                <w:sz w:val="19"/>
              </w:rPr>
            </w:r>
            <w:r>
              <w:rPr>
                <w:sz w:val="19"/>
              </w:rPr>
              <w:t>Its point that two rows were routine politeness the prompt lacked an exclusion for — we added that reading to the memo</w:t>
            </w:r>
          </w:p>
        </w:tc>
        <w:tc>
          <w:tcPr>
            <w:tcW w:type="dxa" w:w="1987"/>
          </w:tcPr>
          <w:p>
            <w:r>
              <w:rPr>
                <w:sz w:val="19"/>
              </w:rPr>
            </w:r>
            <w:r>
              <w:rPr>
                <w:sz w:val="19"/>
              </w:rPr>
              <w:t>Its proposal to relabel one GT row — the benchmark is frozen; we logged it as GT-audit evidence instead</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