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Lab 7 Coding one study for a meta-analysis</w:t>
      </w:r>
    </w:p>
    <w:p>
      <w:pPr/>
      <w:r>
        <w:rPr/>
        <w:t>In a survey, each row is a person. In a meta-analysis, each row is one effect from one study. You code Study 2 of Aguirre et al. (2015) into Eisend et al.'s (2026) coding scheme by hand: a study profile, three decisions and six specified effects, each checked on the page. Then you instruct Codex to code the same study and check its work cell by cell.</w:t>
      </w:r>
    </w:p>
    <w:p>
      <w:pPr/>
      <w:r>
        <w:rPr/>
        <w:t>Individual assignment  |  5 points  |  Due Sun Nov 1, 11:59 PM  |  Team comparison (0 points, ungraded) Wed Nov 4</w:t>
      </w:r>
    </w:p>
    <w:p>
      <w:pPr>
        <w:pStyle w:val="Heading1"/>
      </w:pPr>
      <w:r>
        <w:rPr/>
        <w:t>What you will learn</w:t>
      </w:r>
    </w:p>
    <w:p>
      <w:pPr/>
      <w:r>
        <w:rPr/>
        <w:t>Turn a study's reported results into meta-analysis rows another researcher can check; take each coding decision from the page (category from item wording, direction from means, condition on every row); and check an AI coder against your own hand coding before you trust it.</w:t>
      </w:r>
    </w:p>
    <w:p>
      <w:pPr>
        <w:pStyle w:val="Heading1"/>
      </w:pPr>
      <w:r>
        <w:rPr/>
        <w:t>Your required task</w:t>
      </w:r>
    </w:p>
    <w:p>
      <w:pPr>
        <w:pStyle w:val="ListNumber"/>
      </w:pPr>
      <w:r>
        <w:rPr/>
        <w:t>Watch the walkthrough video on Canvas (12 min: Study 1 coded from the full paper and from an extraction sheet). It was made for another project, so skip its references to "your shared folder," "AO1/AO2" and "the November 13 calibration."</w:t>
      </w:r>
    </w:p>
    <w:p>
      <w:pPr>
        <w:pStyle w:val="ListNumber"/>
      </w:pPr>
      <w:r>
        <w:rPr/>
        <w:t>Fill the study profile (Table 1) and make the three coding decisions (Table 2): eligibility of each study, the pooled main effect, and the df and N you use.</w:t>
      </w:r>
    </w:p>
    <w:p>
      <w:pPr>
        <w:pStyle w:val="ListNumber"/>
      </w:pPr>
      <w:r>
        <w:rPr/>
        <w:t>Code the six effects in the coding sheet (Excel, tab "My coding": one row per effect). Copy values exactly as printed; write "not reported" and flag anything the paper does not print.</w:t>
      </w:r>
    </w:p>
    <w:p>
      <w:pPr>
        <w:pStyle w:val="ListNumber"/>
      </w:pPr>
      <w:r>
        <w:rPr/>
        <w:t>Run Codex on the same study (Table 4): it fills the sheet's "Codex" tab, and the "Compare" tab marks every field where you differ. Settle every disagreement on the page. Then write a 100–150 word reflection.</w:t>
      </w:r>
    </w:p>
    <w:p>
      <w:pPr>
        <w:pStyle w:val="ListNumber"/>
      </w:pPr>
      <w:r>
        <w:rPr/>
        <w:t>Submit your DOCX and coding sheet before comparing entries with classmates. Afterward, each team reconciles, compares its entries with Eisend et al.'s published rows (posted Mon Nov 2) and uploads one reconciled copy (ungraded).</w:t>
      </w:r>
    </w:p>
    <w:p>
      <w:pPr>
        <w:pStyle w:val="Heading1"/>
      </w:pPr>
      <w:r>
        <w:rPr/>
        <w:t>Exactly which effects to code</w:t>
      </w:r>
    </w:p>
    <w:tbl>
      <w:tblPr>
        <w:tblW w:type="auto" w:w="0"/>
        <w:tblLook w:firstColumn="1" w:firstRow="1" w:lastColumn="0" w:lastRow="0" w:noHBand="0" w:noVBand="1" w:val="04A0"/>
        <w:tblLayout w:type="fixed"/>
      </w:tblPr>
      <w:tblGrid>
        <w:gridCol w:w="700"/>
        <w:gridCol w:w="4800"/>
        <w:gridCol w:w="4868"/>
      </w:tblGrid>
      <w:tr>
        <w:trPr>
          <w:cantSplit/>
          <w:tblHeader/>
        </w:trPr>
        <w:tc>
          <w:tcPr>
            <w:tcW w:type="dxa" w:w="700"/>
            <w:shd w:fill="DDE8EE"/>
            <w:tcBorders>
              <w:top w:val="single" w:sz="4" w:color="D9D9D9"/>
              <w:left w:val="single" w:sz="4" w:color="D9D9D9"/>
              <w:bottom w:val="single" w:sz="4" w:color="D9D9D9"/>
              <w:right w:val="single" w:sz="4" w:color="D9D9D9"/>
            </w:tcBorders>
          </w:tcPr>
          <w:p>
            <w:pPr>
              <w:spacing w:before="60" w:after="60"/>
            </w:pPr>
            <w:r>
              <w:rPr>
                <w:b/>
                <w:sz w:val="18"/>
              </w:rPr>
              <w:t>ID</w:t>
            </w:r>
          </w:p>
        </w:tc>
        <w:tc>
          <w:tcPr>
            <w:tcW w:type="dxa" w:w="4800"/>
            <w:shd w:fill="DDE8EE"/>
            <w:tcBorders>
              <w:top w:val="single" w:sz="4" w:color="D9D9D9"/>
              <w:left w:val="single" w:sz="4" w:color="D9D9D9"/>
              <w:bottom w:val="single" w:sz="4" w:color="D9D9D9"/>
              <w:right w:val="single" w:sz="4" w:color="D9D9D9"/>
            </w:tcBorders>
          </w:tcPr>
          <w:p>
            <w:pPr>
              <w:spacing w:before="60" w:after="60"/>
            </w:pPr>
            <w:r>
              <w:rPr>
                <w:b/>
                <w:sz w:val="18"/>
              </w:rPr>
              <w:t>Outcome · condition</w:t>
            </w:r>
          </w:p>
        </w:tc>
        <w:tc>
          <w:tcPr>
            <w:tcW w:type="dxa" w:w="4868"/>
            <w:shd w:fill="DDE8EE"/>
            <w:tcBorders>
              <w:top w:val="single" w:sz="4" w:color="D9D9D9"/>
              <w:left w:val="single" w:sz="4" w:color="D9D9D9"/>
              <w:bottom w:val="single" w:sz="4" w:color="D9D9D9"/>
              <w:right w:val="single" w:sz="4" w:color="D9D9D9"/>
            </w:tcBorders>
          </w:tcPr>
          <w:p>
            <w:pPr>
              <w:spacing w:before="60" w:after="60"/>
            </w:pPr>
            <w:r>
              <w:rPr>
                <w:b/>
                <w:sz w:val="18"/>
              </w:rPr>
              <w:t>Where to look in Aguirre et al. (2015)</w:t>
            </w:r>
          </w:p>
        </w:tc>
      </w:tr>
      <w:tr>
        <w:trPr>
          <w:cantSplit/>
        </w:trPr>
        <w:tc>
          <w:tcPr>
            <w:tcW w:type="dxa" w:w="700"/>
            <w:shd w:fill="F5F7F8"/>
            <w:tcBorders>
              <w:top w:val="single" w:sz="4" w:color="D9D9D9"/>
              <w:left w:val="single" w:sz="4" w:color="D9D9D9"/>
              <w:bottom w:val="single" w:sz="4" w:color="D9D9D9"/>
              <w:right w:val="single" w:sz="4" w:color="D9D9D9"/>
            </w:tcBorders>
          </w:tcPr>
          <w:p>
            <w:pPr>
              <w:spacing w:before="60" w:after="60"/>
            </w:pPr>
            <w:r>
              <w:rPr>
                <w:b w:val="0"/>
                <w:sz w:val="18"/>
              </w:rPr>
              <w:t>E1</w:t>
            </w:r>
          </w:p>
        </w:tc>
        <w:tc>
          <w:tcPr>
            <w:tcW w:type="dxa" w:w="4800"/>
            <w:tcBorders>
              <w:top w:val="single" w:sz="4" w:color="D9D9D9"/>
              <w:left w:val="single" w:sz="4" w:color="D9D9D9"/>
              <w:bottom w:val="single" w:sz="4" w:color="D9D9D9"/>
              <w:right w:val="single" w:sz="4" w:color="D9D9D9"/>
            </w:tcBorders>
          </w:tcPr>
          <w:p>
            <w:pPr>
              <w:spacing w:before="60" w:after="60"/>
            </w:pPr>
            <w:r>
              <w:rPr>
                <w:b w:val="0"/>
                <w:sz w:val="18"/>
              </w:rPr>
              <w:t>Manipulation check (perceived personalization) · all conditions</w:t>
            </w:r>
          </w:p>
        </w:tc>
        <w:tc>
          <w:tcPr>
            <w:tcW w:type="dxa" w:w="4868"/>
            <w:tcBorders>
              <w:top w:val="single" w:sz="4" w:color="D9D9D9"/>
              <w:left w:val="single" w:sz="4" w:color="D9D9D9"/>
              <w:bottom w:val="single" w:sz="4" w:color="D9D9D9"/>
              <w:right w:val="single" w:sz="4" w:color="D9D9D9"/>
            </w:tcBorders>
          </w:tcPr>
          <w:p>
            <w:pPr>
              <w:spacing w:before="60" w:after="60"/>
            </w:pPr>
            <w:r>
              <w:rPr>
                <w:b w:val="0"/>
                <w:sz w:val="18"/>
              </w:rPr>
              <w:t>Study 2 Results, printed p. 41</w:t>
            </w:r>
          </w:p>
        </w:tc>
      </w:tr>
      <w:tr>
        <w:trPr>
          <w:cantSplit/>
        </w:trPr>
        <w:tc>
          <w:tcPr>
            <w:tcW w:type="dxa" w:w="700"/>
            <w:shd w:fill="F5F7F8"/>
            <w:tcBorders>
              <w:top w:val="single" w:sz="4" w:color="D9D9D9"/>
              <w:left w:val="single" w:sz="4" w:color="D9D9D9"/>
              <w:bottom w:val="single" w:sz="4" w:color="D9D9D9"/>
              <w:right w:val="single" w:sz="4" w:color="D9D9D9"/>
            </w:tcBorders>
          </w:tcPr>
          <w:p>
            <w:pPr>
              <w:spacing w:before="60" w:after="60"/>
            </w:pPr>
            <w:r>
              <w:rPr>
                <w:b w:val="0"/>
                <w:sz w:val="18"/>
              </w:rPr>
              <w:t>E2</w:t>
            </w:r>
          </w:p>
        </w:tc>
        <w:tc>
          <w:tcPr>
            <w:tcW w:type="dxa" w:w="4800"/>
            <w:tcBorders>
              <w:top w:val="single" w:sz="4" w:color="D9D9D9"/>
              <w:left w:val="single" w:sz="4" w:color="D9D9D9"/>
              <w:bottom w:val="single" w:sz="4" w:color="D9D9D9"/>
              <w:right w:val="single" w:sz="4" w:color="D9D9D9"/>
            </w:tcBorders>
          </w:tcPr>
          <w:p>
            <w:pPr>
              <w:spacing w:before="60" w:after="60"/>
            </w:pPr>
            <w:r>
              <w:rPr>
                <w:b w:val="0"/>
                <w:sz w:val="18"/>
              </w:rPr>
              <w:t>Click-through intentions · Facebook, overt</w:t>
            </w:r>
          </w:p>
        </w:tc>
        <w:tc>
          <w:tcPr>
            <w:tcW w:type="dxa" w:w="4868"/>
            <w:tcBorders>
              <w:top w:val="single" w:sz="4" w:color="D9D9D9"/>
              <w:left w:val="single" w:sz="4" w:color="D9D9D9"/>
              <w:bottom w:val="single" w:sz="4" w:color="D9D9D9"/>
              <w:right w:val="single" w:sz="4" w:color="D9D9D9"/>
            </w:tcBorders>
          </w:tcPr>
          <w:p>
            <w:pPr>
              <w:spacing w:before="60" w:after="60"/>
            </w:pPr>
            <w:r>
              <w:rPr>
                <w:b w:val="0"/>
                <w:sz w:val="18"/>
              </w:rPr>
              <w:t>Footnote 4 and Figure 6b, printed p. 42</w:t>
            </w:r>
          </w:p>
        </w:tc>
      </w:tr>
      <w:tr>
        <w:trPr>
          <w:cantSplit/>
        </w:trPr>
        <w:tc>
          <w:tcPr>
            <w:tcW w:type="dxa" w:w="700"/>
            <w:shd w:fill="F5F7F8"/>
            <w:tcBorders>
              <w:top w:val="single" w:sz="4" w:color="D9D9D9"/>
              <w:left w:val="single" w:sz="4" w:color="D9D9D9"/>
              <w:bottom w:val="single" w:sz="4" w:color="D9D9D9"/>
              <w:right w:val="single" w:sz="4" w:color="D9D9D9"/>
            </w:tcBorders>
          </w:tcPr>
          <w:p>
            <w:pPr>
              <w:spacing w:before="60" w:after="60"/>
            </w:pPr>
            <w:r>
              <w:rPr>
                <w:b w:val="0"/>
                <w:sz w:val="18"/>
              </w:rPr>
              <w:t>E3</w:t>
            </w:r>
          </w:p>
        </w:tc>
        <w:tc>
          <w:tcPr>
            <w:tcW w:type="dxa" w:w="4800"/>
            <w:tcBorders>
              <w:top w:val="single" w:sz="4" w:color="D9D9D9"/>
              <w:left w:val="single" w:sz="4" w:color="D9D9D9"/>
              <w:bottom w:val="single" w:sz="4" w:color="D9D9D9"/>
              <w:right w:val="single" w:sz="4" w:color="D9D9D9"/>
            </w:tcBorders>
          </w:tcPr>
          <w:p>
            <w:pPr>
              <w:spacing w:before="60" w:after="60"/>
            </w:pPr>
            <w:r>
              <w:rPr>
                <w:b w:val="0"/>
                <w:sz w:val="18"/>
              </w:rPr>
              <w:t>Click-through intentions · Facebook, covert</w:t>
            </w:r>
          </w:p>
        </w:tc>
        <w:tc>
          <w:tcPr>
            <w:tcW w:type="dxa" w:w="4868"/>
            <w:tcBorders>
              <w:top w:val="single" w:sz="4" w:color="D9D9D9"/>
              <w:left w:val="single" w:sz="4" w:color="D9D9D9"/>
              <w:bottom w:val="single" w:sz="4" w:color="D9D9D9"/>
              <w:right w:val="single" w:sz="4" w:color="D9D9D9"/>
            </w:tcBorders>
          </w:tcPr>
          <w:p>
            <w:pPr>
              <w:spacing w:before="60" w:after="60"/>
            </w:pPr>
            <w:r>
              <w:rPr>
                <w:b w:val="0"/>
                <w:sz w:val="18"/>
              </w:rPr>
              <w:t>Footnote 4 and Figure 6b, printed p. 42</w:t>
            </w:r>
          </w:p>
        </w:tc>
      </w:tr>
      <w:tr>
        <w:trPr>
          <w:cantSplit/>
        </w:trPr>
        <w:tc>
          <w:tcPr>
            <w:tcW w:type="dxa" w:w="700"/>
            <w:shd w:fill="F5F7F8"/>
            <w:tcBorders>
              <w:top w:val="single" w:sz="4" w:color="D9D9D9"/>
              <w:left w:val="single" w:sz="4" w:color="D9D9D9"/>
              <w:bottom w:val="single" w:sz="4" w:color="D9D9D9"/>
              <w:right w:val="single" w:sz="4" w:color="D9D9D9"/>
            </w:tcBorders>
          </w:tcPr>
          <w:p>
            <w:pPr>
              <w:spacing w:before="60" w:after="60"/>
            </w:pPr>
            <w:r>
              <w:rPr>
                <w:b w:val="0"/>
                <w:sz w:val="18"/>
              </w:rPr>
              <w:t>E4</w:t>
            </w:r>
          </w:p>
        </w:tc>
        <w:tc>
          <w:tcPr>
            <w:tcW w:type="dxa" w:w="4800"/>
            <w:tcBorders>
              <w:top w:val="single" w:sz="4" w:color="D9D9D9"/>
              <w:left w:val="single" w:sz="4" w:color="D9D9D9"/>
              <w:bottom w:val="single" w:sz="4" w:color="D9D9D9"/>
              <w:right w:val="single" w:sz="4" w:color="D9D9D9"/>
            </w:tcBorders>
          </w:tcPr>
          <w:p>
            <w:pPr>
              <w:spacing w:before="60" w:after="60"/>
            </w:pPr>
            <w:r>
              <w:rPr>
                <w:b w:val="0"/>
                <w:sz w:val="18"/>
              </w:rPr>
              <w:t>Click-through intentions · CNN, overt</w:t>
            </w:r>
          </w:p>
        </w:tc>
        <w:tc>
          <w:tcPr>
            <w:tcW w:type="dxa" w:w="4868"/>
            <w:tcBorders>
              <w:top w:val="single" w:sz="4" w:color="D9D9D9"/>
              <w:left w:val="single" w:sz="4" w:color="D9D9D9"/>
              <w:bottom w:val="single" w:sz="4" w:color="D9D9D9"/>
              <w:right w:val="single" w:sz="4" w:color="D9D9D9"/>
            </w:tcBorders>
          </w:tcPr>
          <w:p>
            <w:pPr>
              <w:spacing w:before="60" w:after="60"/>
            </w:pPr>
            <w:r>
              <w:rPr>
                <w:b w:val="0"/>
                <w:sz w:val="18"/>
              </w:rPr>
              <w:t>Footnote 4 and Figure 6b, printed p. 42</w:t>
            </w:r>
          </w:p>
        </w:tc>
      </w:tr>
      <w:tr>
        <w:trPr>
          <w:cantSplit/>
        </w:trPr>
        <w:tc>
          <w:tcPr>
            <w:tcW w:type="dxa" w:w="700"/>
            <w:shd w:fill="F5F7F8"/>
            <w:tcBorders>
              <w:top w:val="single" w:sz="4" w:color="D9D9D9"/>
              <w:left w:val="single" w:sz="4" w:color="D9D9D9"/>
              <w:bottom w:val="single" w:sz="4" w:color="D9D9D9"/>
              <w:right w:val="single" w:sz="4" w:color="D9D9D9"/>
            </w:tcBorders>
          </w:tcPr>
          <w:p>
            <w:pPr>
              <w:spacing w:before="60" w:after="60"/>
            </w:pPr>
            <w:r>
              <w:rPr>
                <w:b w:val="0"/>
                <w:sz w:val="18"/>
              </w:rPr>
              <w:t>E5</w:t>
            </w:r>
          </w:p>
        </w:tc>
        <w:tc>
          <w:tcPr>
            <w:tcW w:type="dxa" w:w="4800"/>
            <w:tcBorders>
              <w:top w:val="single" w:sz="4" w:color="D9D9D9"/>
              <w:left w:val="single" w:sz="4" w:color="D9D9D9"/>
              <w:bottom w:val="single" w:sz="4" w:color="D9D9D9"/>
              <w:right w:val="single" w:sz="4" w:color="D9D9D9"/>
            </w:tcBorders>
          </w:tcPr>
          <w:p>
            <w:pPr>
              <w:spacing w:before="60" w:after="60"/>
            </w:pPr>
            <w:r>
              <w:rPr>
                <w:b w:val="0"/>
                <w:sz w:val="18"/>
              </w:rPr>
              <w:t>Click-through intentions · CNN, covert</w:t>
            </w:r>
          </w:p>
        </w:tc>
        <w:tc>
          <w:tcPr>
            <w:tcW w:type="dxa" w:w="4868"/>
            <w:tcBorders>
              <w:top w:val="single" w:sz="4" w:color="D9D9D9"/>
              <w:left w:val="single" w:sz="4" w:color="D9D9D9"/>
              <w:bottom w:val="single" w:sz="4" w:color="D9D9D9"/>
              <w:right w:val="single" w:sz="4" w:color="D9D9D9"/>
            </w:tcBorders>
          </w:tcPr>
          <w:p>
            <w:pPr>
              <w:spacing w:before="60" w:after="60"/>
            </w:pPr>
            <w:r>
              <w:rPr>
                <w:b w:val="0"/>
                <w:sz w:val="18"/>
              </w:rPr>
              <w:t>Footnote 4 and Figure 6b, printed p. 42</w:t>
            </w:r>
          </w:p>
        </w:tc>
      </w:tr>
      <w:tr>
        <w:trPr>
          <w:cantSplit/>
        </w:trPr>
        <w:tc>
          <w:tcPr>
            <w:tcW w:type="dxa" w:w="700"/>
            <w:shd w:fill="F5F7F8"/>
            <w:tcBorders>
              <w:top w:val="single" w:sz="4" w:color="D9D9D9"/>
              <w:left w:val="single" w:sz="4" w:color="D9D9D9"/>
              <w:bottom w:val="single" w:sz="4" w:color="D9D9D9"/>
              <w:right w:val="single" w:sz="4" w:color="D9D9D9"/>
            </w:tcBorders>
          </w:tcPr>
          <w:p>
            <w:pPr>
              <w:spacing w:before="60" w:after="60"/>
            </w:pPr>
            <w:r>
              <w:rPr>
                <w:b w:val="0"/>
                <w:sz w:val="18"/>
              </w:rPr>
              <w:t>E6</w:t>
            </w:r>
          </w:p>
        </w:tc>
        <w:tc>
          <w:tcPr>
            <w:tcW w:type="dxa" w:w="4800"/>
            <w:tcBorders>
              <w:top w:val="single" w:sz="4" w:color="D9D9D9"/>
              <w:left w:val="single" w:sz="4" w:color="D9D9D9"/>
              <w:bottom w:val="single" w:sz="4" w:color="D9D9D9"/>
              <w:right w:val="single" w:sz="4" w:color="D9D9D9"/>
            </w:tcBorders>
          </w:tcPr>
          <w:p>
            <w:pPr>
              <w:spacing w:before="60" w:after="60"/>
            </w:pPr>
            <w:r>
              <w:rPr>
                <w:b w:val="0"/>
                <w:sz w:val="18"/>
              </w:rPr>
              <w:t>Perceived vulnerability · Facebook, covert</w:t>
            </w:r>
          </w:p>
        </w:tc>
        <w:tc>
          <w:tcPr>
            <w:tcW w:type="dxa" w:w="4868"/>
            <w:tcBorders>
              <w:top w:val="single" w:sz="4" w:color="D9D9D9"/>
              <w:left w:val="single" w:sz="4" w:color="D9D9D9"/>
              <w:bottom w:val="single" w:sz="4" w:color="D9D9D9"/>
              <w:right w:val="single" w:sz="4" w:color="D9D9D9"/>
            </w:tcBorders>
          </w:tcPr>
          <w:p>
            <w:pPr>
              <w:spacing w:before="60" w:after="60"/>
            </w:pPr>
            <w:r>
              <w:rPr>
                <w:b w:val="0"/>
                <w:sz w:val="18"/>
              </w:rPr>
              <w:t>Figure 6a, printed p. 42</w:t>
            </w:r>
          </w:p>
        </w:tc>
      </w:tr>
    </w:tbl>
    <w:p>
      <w:pPr/>
      <w:r>
        <w:rPr/>
        <w:t>Study 2: 2 (less vs. more personalized) × 2 (overt vs. covert collection) × 2 (Facebook vs. CNN); "less personalized" is the control. Item wording is printed in Study 1 (p. 40), which Study 2 reuses.</w:t>
      </w:r>
    </w:p>
    <w:p>
      <w:pPr/>
      <w:r>
        <w:rPr/>
        <w:t>About 2.5–3.5 hours alone and 30–40 minutes as a team. Submit two files, not PDF: Lab7_YourName_individual.docx and Lab7_YourName_coding.xlsx (team: Lab7_TeamN_reconciled.docx + .xlsx).</w:t>
      </w:r>
    </w:p>
    <w:p>
      <w:pPr>
        <w:pStyle w:val="Heading1"/>
        <w:pageBreakBefore/>
      </w:pPr>
      <w:r>
        <w:rPr/>
        <w:t>Worked example: Study 1 (from the walkthrough)</w:t>
      </w:r>
    </w:p>
    <w:p>
      <w:pPr/>
      <w:r>
        <w:rPr/>
        <w:t>Three of Study 1's rows as Eisend et al. coded them. Study 1 is a 2 × 2 (personalization × information collection), N = 120, Facebook only; source printed p. 40.</w:t>
      </w:r>
    </w:p>
    <w:tbl>
      <w:tblPr>
        <w:tblW w:type="auto" w:w="0"/>
        <w:tblLook w:firstColumn="1" w:firstRow="1" w:lastColumn="0" w:lastRow="0" w:noHBand="0" w:noVBand="1" w:val="04A0"/>
        <w:tblLayout w:type="fixed"/>
      </w:tblPr>
      <w:tblGrid>
        <w:gridCol w:w="2400"/>
        <w:gridCol w:w="2656"/>
        <w:gridCol w:w="2656"/>
        <w:gridCol w:w="2656"/>
      </w:tblGrid>
      <w:tr>
        <w:trPr>
          <w:cantSplit/>
          <w:tblHeader/>
        </w:trPr>
        <w:tc>
          <w:tcPr>
            <w:tcW w:type="dxa" w:w="2400"/>
            <w:shd w:fill="DDE8EE"/>
            <w:tcBorders>
              <w:top w:val="single" w:sz="4" w:color="D9D9D9"/>
              <w:left w:val="single" w:sz="4" w:color="D9D9D9"/>
              <w:bottom w:val="single" w:sz="4" w:color="D9D9D9"/>
              <w:right w:val="single" w:sz="4" w:color="D9D9D9"/>
            </w:tcBorders>
          </w:tcPr>
          <w:p>
            <w:pPr>
              <w:spacing w:before="60" w:after="60"/>
            </w:pPr>
            <w:r>
              <w:rPr>
                <w:b/>
                <w:sz w:val="18"/>
              </w:rPr>
              <w:t>Field</w:t>
            </w:r>
          </w:p>
        </w:tc>
        <w:tc>
          <w:tcPr>
            <w:tcW w:type="dxa" w:w="2656"/>
            <w:shd w:fill="DDE8EE"/>
            <w:tcBorders>
              <w:top w:val="single" w:sz="4" w:color="D9D9D9"/>
              <w:left w:val="single" w:sz="4" w:color="D9D9D9"/>
              <w:bottom w:val="single" w:sz="4" w:color="D9D9D9"/>
              <w:right w:val="single" w:sz="4" w:color="D9D9D9"/>
            </w:tcBorders>
          </w:tcPr>
          <w:p>
            <w:pPr>
              <w:spacing w:before="60" w:after="60"/>
            </w:pPr>
            <w:r>
              <w:rPr>
                <w:b/>
                <w:sz w:val="18"/>
              </w:rPr>
              <w:t>Row 30</w:t>
            </w:r>
          </w:p>
        </w:tc>
        <w:tc>
          <w:tcPr>
            <w:tcW w:type="dxa" w:w="2656"/>
            <w:shd w:fill="DDE8EE"/>
            <w:tcBorders>
              <w:top w:val="single" w:sz="4" w:color="D9D9D9"/>
              <w:left w:val="single" w:sz="4" w:color="D9D9D9"/>
              <w:bottom w:val="single" w:sz="4" w:color="D9D9D9"/>
              <w:right w:val="single" w:sz="4" w:color="D9D9D9"/>
            </w:tcBorders>
          </w:tcPr>
          <w:p>
            <w:pPr>
              <w:spacing w:before="60" w:after="60"/>
            </w:pPr>
            <w:r>
              <w:rPr>
                <w:b/>
                <w:sz w:val="18"/>
              </w:rPr>
              <w:t>Row 31</w:t>
            </w:r>
          </w:p>
        </w:tc>
        <w:tc>
          <w:tcPr>
            <w:tcW w:type="dxa" w:w="2656"/>
            <w:shd w:fill="DDE8EE"/>
            <w:tcBorders>
              <w:top w:val="single" w:sz="4" w:color="D9D9D9"/>
              <w:left w:val="single" w:sz="4" w:color="D9D9D9"/>
              <w:bottom w:val="single" w:sz="4" w:color="D9D9D9"/>
              <w:right w:val="single" w:sz="4" w:color="D9D9D9"/>
            </w:tcBorders>
          </w:tcPr>
          <w:p>
            <w:pPr>
              <w:spacing w:before="60" w:after="60"/>
            </w:pPr>
            <w:r>
              <w:rPr>
                <w:b/>
                <w:sz w:val="18"/>
              </w:rPr>
              <w:t>Row 34</w:t>
            </w:r>
          </w:p>
        </w:tc>
      </w:tr>
      <w:tr>
        <w:trPr>
          <w:cantSplit/>
        </w:trPr>
        <w:tc>
          <w:tcPr>
            <w:tcW w:type="dxa" w:w="2400"/>
            <w:shd w:fill="F5F7F8"/>
            <w:tcBorders>
              <w:top w:val="single" w:sz="4" w:color="D9D9D9"/>
              <w:left w:val="single" w:sz="4" w:color="D9D9D9"/>
              <w:bottom w:val="single" w:sz="4" w:color="D9D9D9"/>
              <w:right w:val="single" w:sz="4" w:color="D9D9D9"/>
            </w:tcBorders>
          </w:tcPr>
          <w:p>
            <w:pPr>
              <w:spacing w:before="60" w:after="60"/>
            </w:pPr>
            <w:r>
              <w:rPr>
                <w:b w:val="0"/>
                <w:sz w:val="18"/>
              </w:rPr>
              <w:t>Outcome · condition</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Click-through intentions · overt</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Click-through intentions · covert</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Perceived vulnerability · overt</w:t>
            </w:r>
          </w:p>
        </w:tc>
      </w:tr>
      <w:tr>
        <w:trPr>
          <w:cantSplit/>
        </w:trPr>
        <w:tc>
          <w:tcPr>
            <w:tcW w:type="dxa" w:w="2400"/>
            <w:shd w:fill="F5F7F8"/>
            <w:tcBorders>
              <w:top w:val="single" w:sz="4" w:color="D9D9D9"/>
              <w:left w:val="single" w:sz="4" w:color="D9D9D9"/>
              <w:bottom w:val="single" w:sz="4" w:color="D9D9D9"/>
              <w:right w:val="single" w:sz="4" w:color="D9D9D9"/>
            </w:tcBorders>
          </w:tcPr>
          <w:p>
            <w:pPr>
              <w:spacing w:before="60" w:after="60"/>
            </w:pPr>
            <w:r>
              <w:rPr>
                <w:b w:val="0"/>
                <w:sz w:val="18"/>
              </w:rPr>
              <w:t>Item wording</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"I would like to click on the advertisement to get further information."</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same</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Five items: exposed, unprotected, susceptible, unsafe, vulnerable (α = .88)</w:t>
            </w:r>
          </w:p>
        </w:tc>
      </w:tr>
      <w:tr>
        <w:trPr>
          <w:cantSplit/>
        </w:trPr>
        <w:tc>
          <w:tcPr>
            <w:tcW w:type="dxa" w:w="2400"/>
            <w:shd w:fill="F5F7F8"/>
            <w:tcBorders>
              <w:top w:val="single" w:sz="4" w:color="D9D9D9"/>
              <w:left w:val="single" w:sz="4" w:color="D9D9D9"/>
              <w:bottom w:val="single" w:sz="4" w:color="D9D9D9"/>
              <w:right w:val="single" w:sz="4" w:color="D9D9D9"/>
            </w:tcBorders>
          </w:tcPr>
          <w:p>
            <w:pPr>
              <w:spacing w:before="60" w:after="60"/>
            </w:pPr>
            <w:r>
              <w:rPr>
                <w:b w:val="0"/>
                <w:sz w:val="18"/>
              </w:rPr>
              <w:t>Category (Eisend Table 3)</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30 purchase/behavioral intentions</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30 purchase/behavioral intentions</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38 suspicion</w:t>
            </w:r>
          </w:p>
        </w:tc>
      </w:tr>
      <w:tr>
        <w:trPr>
          <w:cantSplit/>
        </w:trPr>
        <w:tc>
          <w:tcPr>
            <w:tcW w:type="dxa" w:w="2400"/>
            <w:shd w:fill="F5F7F8"/>
            <w:tcBorders>
              <w:top w:val="single" w:sz="4" w:color="D9D9D9"/>
              <w:left w:val="single" w:sz="4" w:color="D9D9D9"/>
              <w:bottom w:val="single" w:sz="4" w:color="D9D9D9"/>
              <w:right w:val="single" w:sz="4" w:color="D9D9D9"/>
            </w:tcBorders>
          </w:tcPr>
          <w:p>
            <w:pPr>
              <w:spacing w:before="60" w:after="60"/>
            </w:pPr>
            <w:r>
              <w:rPr>
                <w:b w:val="0"/>
                <w:sz w:val="18"/>
              </w:rPr>
              <w:t>Means control → treatment</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2.67 → 4.38</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2.94 → 3.16</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4.25 → 3.99</w:t>
            </w:r>
          </w:p>
        </w:tc>
      </w:tr>
      <w:tr>
        <w:trPr>
          <w:cantSplit/>
        </w:trPr>
        <w:tc>
          <w:tcPr>
            <w:tcW w:type="dxa" w:w="2400"/>
            <w:shd w:fill="F5F7F8"/>
            <w:tcBorders>
              <w:top w:val="single" w:sz="4" w:color="D9D9D9"/>
              <w:left w:val="single" w:sz="4" w:color="D9D9D9"/>
              <w:bottom w:val="single" w:sz="4" w:color="D9D9D9"/>
              <w:right w:val="single" w:sz="4" w:color="D9D9D9"/>
            </w:tcBorders>
          </w:tcPr>
          <w:p>
            <w:pPr>
              <w:spacing w:before="60" w:after="60"/>
            </w:pPr>
            <w:r>
              <w:rPr>
                <w:b w:val="0"/>
                <w:sz w:val="18"/>
              </w:rPr>
              <w:t>Statistic as printed</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F(1, 116) = 11.44</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F(1, 116) = .22</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F(1, 116) = .50</w:t>
            </w:r>
          </w:p>
        </w:tc>
      </w:tr>
      <w:tr>
        <w:trPr>
          <w:cantSplit/>
        </w:trPr>
        <w:tc>
          <w:tcPr>
            <w:tcW w:type="dxa" w:w="2400"/>
            <w:shd w:fill="F5F7F8"/>
            <w:tcBorders>
              <w:top w:val="single" w:sz="4" w:color="D9D9D9"/>
              <w:left w:val="single" w:sz="4" w:color="D9D9D9"/>
              <w:bottom w:val="single" w:sz="4" w:color="D9D9D9"/>
              <w:right w:val="single" w:sz="4" w:color="D9D9D9"/>
            </w:tcBorders>
          </w:tcPr>
          <w:p>
            <w:pPr>
              <w:spacing w:before="60" w:after="60"/>
            </w:pPr>
            <w:r>
              <w:rPr>
                <w:b w:val="0"/>
                <w:sz w:val="18"/>
              </w:rPr>
              <w:t>df and N used</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Printed df 116; the walkthrough form enters 118 (N − 2 on the full 120), which reproduces Eisend's r · N 60 = two overt cells of 30 (assumed: 120 / 4)</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same · N 60</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same · N 60</w:t>
            </w:r>
          </w:p>
        </w:tc>
      </w:tr>
      <w:tr>
        <w:trPr>
          <w:cantSplit/>
        </w:trPr>
        <w:tc>
          <w:tcPr>
            <w:tcW w:type="dxa" w:w="2400"/>
            <w:shd w:fill="F5F7F8"/>
            <w:tcBorders>
              <w:top w:val="single" w:sz="4" w:color="D9D9D9"/>
              <w:left w:val="single" w:sz="4" w:color="D9D9D9"/>
              <w:bottom w:val="single" w:sz="4" w:color="D9D9D9"/>
              <w:right w:val="single" w:sz="4" w:color="D9D9D9"/>
            </w:tcBorders>
          </w:tcPr>
          <w:p>
            <w:pPr>
              <w:spacing w:before="60" w:after="60"/>
            </w:pPr>
            <w:r>
              <w:rPr>
                <w:b w:val="0"/>
                <w:sz w:val="18"/>
              </w:rPr>
              <w:t>Direction</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Positive</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Positive (not significant)</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Negative: the treatment mean is lower</w:t>
            </w:r>
          </w:p>
        </w:tc>
      </w:tr>
      <w:tr>
        <w:trPr>
          <w:cantSplit/>
        </w:trPr>
        <w:tc>
          <w:tcPr>
            <w:tcW w:type="dxa" w:w="2400"/>
            <w:shd w:fill="F5F7F8"/>
            <w:tcBorders>
              <w:top w:val="single" w:sz="4" w:color="D9D9D9"/>
              <w:left w:val="single" w:sz="4" w:color="D9D9D9"/>
              <w:bottom w:val="single" w:sz="4" w:color="D9D9D9"/>
              <w:right w:val="single" w:sz="4" w:color="D9D9D9"/>
            </w:tcBorders>
          </w:tcPr>
          <w:p>
            <w:pPr>
              <w:spacing w:before="60" w:after="60"/>
            </w:pPr>
            <w:r>
              <w:rPr>
                <w:b w:val="0"/>
                <w:sz w:val="18"/>
              </w:rPr>
              <w:t>p as printed</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.001</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.641</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.479</w:t>
            </w:r>
          </w:p>
        </w:tc>
      </w:tr>
      <w:tr>
        <w:trPr>
          <w:cantSplit/>
        </w:trPr>
        <w:tc>
          <w:tcPr>
            <w:tcW w:type="dxa" w:w="2400"/>
            <w:shd w:fill="F5F7F8"/>
            <w:tcBorders>
              <w:top w:val="single" w:sz="4" w:color="D9D9D9"/>
              <w:left w:val="single" w:sz="4" w:color="D9D9D9"/>
              <w:bottom w:val="single" w:sz="4" w:color="D9D9D9"/>
              <w:right w:val="single" w:sz="4" w:color="D9D9D9"/>
            </w:tcBorders>
          </w:tcPr>
          <w:p>
            <w:pPr>
              <w:spacing w:before="60" w:after="60"/>
            </w:pPr>
            <w:r>
              <w:rPr>
                <w:b w:val="0"/>
                <w:sz w:val="18"/>
              </w:rPr>
              <w:t>Row decision</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Enter</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Enter</w:t>
            </w:r>
          </w:p>
        </w:tc>
        <w:tc>
          <w:tcPr>
            <w:tcW w:type="dxa" w:w="2656"/>
            <w:tcBorders>
              <w:top w:val="single" w:sz="4" w:color="D9D9D9"/>
              <w:left w:val="single" w:sz="4" w:color="D9D9D9"/>
              <w:bottom w:val="single" w:sz="4" w:color="D9D9D9"/>
              <w:right w:val="single" w:sz="4" w:color="D9D9D9"/>
            </w:tcBorders>
          </w:tcPr>
          <w:p>
            <w:pPr>
              <w:spacing w:before="60" w:after="60"/>
            </w:pPr>
            <w:r>
              <w:rPr>
                <w:b w:val="0"/>
                <w:sz w:val="18"/>
              </w:rPr>
              <w:t>Enter</w:t>
            </w:r>
          </w:p>
        </w:tc>
      </w:tr>
    </w:tbl>
    <w:p>
      <w:pPr/>
      <w:r>
        <w:rPr/>
        <w:t>The pooled main effect (row 29) was flagged because the two condition rows are kept. The cell size of 30 is an assumption, so it goes in the comment. Whichever df you use, say which. Row 34 is negative because vulnerability went down, whatever F's sign.</w:t>
      </w:r>
    </w:p>
    <w:p>
      <w:pPr>
        <w:pStyle w:val="Heading1"/>
      </w:pPr>
      <w:r>
        <w:rPr/>
        <w:t>Short codebook</w:t>
      </w:r>
    </w:p>
    <w:p>
      <w:pPr/>
      <w:r>
        <w:rPr>
          <w:b/>
        </w:rPr>
        <w:t>Units:</w:t>
      </w:r>
      <w:r>
        <w:rPr/>
        <w:t xml:space="preserve"> a paper holds studies; a study holds effects. Give every reported comparison its own row. A pooled effect that combines conditions you also code separately is flagged, not entered twice.</w:t>
      </w:r>
    </w:p>
    <w:p>
      <w:pPr/>
      <w:r>
        <w:rPr>
          <w:b/>
        </w:rPr>
        <w:t>Category:</w:t>
      </w:r>
      <w:r>
        <w:rPr/>
        <w:t xml:space="preserve"> use Eisend et al.'s Table 3. Decide from the item wording, not the label. "What people say they will do" and "what they did" are different categories. A manipulation check is not an outcome: write "manipulation check."</w:t>
      </w:r>
    </w:p>
    <w:p>
      <w:pPr/>
      <w:r>
        <w:rPr>
          <w:b/>
        </w:rPr>
        <w:t>Statistics:</w:t>
      </w:r>
      <w:r>
        <w:rPr/>
        <w:t xml:space="preserve"> the test statistic exactly as printed (F, t, z), its df, the N for this comparison, and the p-value as printed (exact, or "&lt; .001"). Means as control → treatment.</w:t>
      </w:r>
    </w:p>
    <w:p>
      <w:pPr/>
      <w:r>
        <w:rPr>
          <w:b/>
        </w:rPr>
        <w:t>N and df:</w:t>
      </w:r>
      <w:r>
        <w:rPr/>
        <w:t xml:space="preserve"> if cell sizes are not printed, write the assumption and where the number came from (e.g., df + 4 in a 2 × 2 analysis).</w:t>
      </w:r>
    </w:p>
    <w:p>
      <w:pPr/>
      <w:r>
        <w:rPr>
          <w:b/>
        </w:rPr>
        <w:t>Direction:</w:t>
      </w:r>
      <w:r>
        <w:rPr/>
        <w:t xml:space="preserve"> positive when the more personalized group scores higher on the measure as worded. Read it from the means, not from the sign of a printed t, and not from whether the outcome is "good."</w:t>
      </w:r>
    </w:p>
    <w:p>
      <w:pPr/>
      <w:r>
        <w:rPr>
          <w:b/>
        </w:rPr>
        <w:t>Where printed:</w:t>
      </w:r>
      <w:r>
        <w:rPr/>
        <w:t xml:space="preserve"> text, footnote, table or figure; values read from a figure are marked "figure." Record the printed journal page.</w:t>
      </w:r>
    </w:p>
    <w:p>
      <w:pPr/>
      <w:r>
        <w:rPr>
          <w:b/>
        </w:rPr>
        <w:t>Missing:</w:t>
      </w:r>
      <w:r>
        <w:rPr/>
        <w:t xml:space="preserve"> "not reported" plus a flag. Never zero, never a value you computed.</w:t>
      </w:r>
    </w:p>
    <w:p>
      <w:pPr>
        <w:pStyle w:val="Heading1"/>
        <w:pageBreakBefore/>
      </w:pPr>
      <w:r>
        <w:rPr/>
        <w:t>Reading set</w:t>
      </w:r>
    </w:p>
    <w:tbl>
      <w:tblPr>
        <w:tblW w:type="auto" w:w="0"/>
        <w:tblLook w:firstColumn="1" w:firstRow="1" w:lastColumn="0" w:lastRow="0" w:noHBand="0" w:noVBand="1" w:val="04A0"/>
        <w:tblLayout w:type="fixed"/>
      </w:tblPr>
      <w:tblGrid>
        <w:gridCol w:w="6200"/>
        <w:gridCol w:w="4168"/>
      </w:tblGrid>
      <w:tr>
        <w:trPr>
          <w:cantSplit/>
          <w:tblHeader/>
        </w:trPr>
        <w:tc>
          <w:tcPr>
            <w:tcW w:type="dxa" w:w="6200"/>
            <w:shd w:fill="DDE8EE"/>
            <w:tcBorders>
              <w:top w:val="single" w:sz="4" w:color="D9D9D9"/>
              <w:left w:val="single" w:sz="4" w:color="D9D9D9"/>
              <w:bottom w:val="single" w:sz="4" w:color="D9D9D9"/>
              <w:right w:val="single" w:sz="4" w:color="D9D9D9"/>
            </w:tcBorders>
          </w:tcPr>
          <w:p>
            <w:pPr>
              <w:spacing w:before="60" w:after="60"/>
            </w:pPr>
            <w:r>
              <w:rPr>
                <w:b/>
                <w:sz w:val="18"/>
              </w:rPr>
              <w:t>Paper (open from the DOI)</w:t>
            </w:r>
          </w:p>
        </w:tc>
        <w:tc>
          <w:tcPr>
            <w:tcW w:type="dxa" w:w="4168"/>
            <w:shd w:fill="DDE8EE"/>
            <w:tcBorders>
              <w:top w:val="single" w:sz="4" w:color="D9D9D9"/>
              <w:left w:val="single" w:sz="4" w:color="D9D9D9"/>
              <w:bottom w:val="single" w:sz="4" w:color="D9D9D9"/>
              <w:right w:val="single" w:sz="4" w:color="D9D9D9"/>
            </w:tcBorders>
          </w:tcPr>
          <w:p>
            <w:pPr>
              <w:spacing w:before="60" w:after="60"/>
            </w:pPr>
            <w:r>
              <w:rPr>
                <w:b/>
                <w:sz w:val="18"/>
              </w:rPr>
              <w:t>Role in this assignment</w:t>
            </w:r>
          </w:p>
        </w:tc>
      </w:tr>
      <w:tr>
        <w:trPr>
          <w:cantSplit/>
        </w:trPr>
        <w:tc>
          <w:tcPr>
            <w:tcW w:type="dxa" w:w="6200"/>
            <w:shd w:fill="F5F7F8"/>
            <w:tcBorders>
              <w:top w:val="single" w:sz="4" w:color="D9D9D9"/>
              <w:left w:val="single" w:sz="4" w:color="D9D9D9"/>
              <w:bottom w:val="single" w:sz="4" w:color="D9D9D9"/>
              <w:right w:val="single" w:sz="4" w:color="D9D9D9"/>
            </w:tcBorders>
          </w:tcPr>
          <w:p>
            <w:pPr>
              <w:spacing w:before="60" w:after="60"/>
            </w:pPr>
            <w:r>
              <w:rPr>
                <w:b w:val="0"/>
                <w:sz w:val="18"/>
              </w:rPr>
              <w:t>Aguirre, Mahr, Grewal, de Ruyter &amp; Wetzels 2015 / Unraveling the Personalization Paradox / Journal of Retailing / https://doi.org/10.1016/j.jretai.2014.09.005</w:t>
            </w:r>
          </w:p>
        </w:tc>
        <w:tc>
          <w:tcPr>
            <w:tcW w:type="dxa" w:w="4168"/>
            <w:tcBorders>
              <w:top w:val="single" w:sz="4" w:color="D9D9D9"/>
              <w:left w:val="single" w:sz="4" w:color="D9D9D9"/>
              <w:bottom w:val="single" w:sz="4" w:color="D9D9D9"/>
              <w:right w:val="single" w:sz="4" w:color="D9D9D9"/>
            </w:tcBorders>
          </w:tcPr>
          <w:p>
            <w:pPr>
              <w:spacing w:before="60" w:after="60"/>
            </w:pPr>
            <w:r>
              <w:rPr>
                <w:b w:val="0"/>
                <w:sz w:val="18"/>
              </w:rPr>
              <w:t>The paper you code: Study 2, printed pp. 41–42; Study 1 is the worked example</w:t>
            </w:r>
          </w:p>
        </w:tc>
      </w:tr>
      <w:tr>
        <w:trPr>
          <w:cantSplit/>
        </w:trPr>
        <w:tc>
          <w:tcPr>
            <w:tcW w:type="dxa" w:w="6200"/>
            <w:shd w:fill="F5F7F8"/>
            <w:tcBorders>
              <w:top w:val="single" w:sz="4" w:color="D9D9D9"/>
              <w:left w:val="single" w:sz="4" w:color="D9D9D9"/>
              <w:bottom w:val="single" w:sz="4" w:color="D9D9D9"/>
              <w:right w:val="single" w:sz="4" w:color="D9D9D9"/>
            </w:tcBorders>
          </w:tcPr>
          <w:p>
            <w:pPr>
              <w:spacing w:before="60" w:after="60"/>
            </w:pPr>
            <w:r>
              <w:rPr>
                <w:b w:val="0"/>
                <w:sz w:val="18"/>
              </w:rPr>
              <w:t>Eisend, Niewiadomska &amp; van Noort 2026 / Personalization in Marketing Communication: A Meta-Analysis / Journal of Marketing / https://doi.org/10.1177/00222429261460888</w:t>
            </w:r>
          </w:p>
        </w:tc>
        <w:tc>
          <w:tcPr>
            <w:tcW w:type="dxa" w:w="4168"/>
            <w:tcBorders>
              <w:top w:val="single" w:sz="4" w:color="D9D9D9"/>
              <w:left w:val="single" w:sz="4" w:color="D9D9D9"/>
              <w:bottom w:val="single" w:sz="4" w:color="D9D9D9"/>
              <w:right w:val="single" w:sz="4" w:color="D9D9D9"/>
            </w:tcBorders>
          </w:tcPr>
          <w:p>
            <w:pPr>
              <w:spacing w:before="60" w:after="60"/>
            </w:pPr>
            <w:r>
              <w:rPr>
                <w:b w:val="0"/>
                <w:sz w:val="18"/>
              </w:rPr>
              <w:t>The coding scheme: Table 3 outcome categories</w:t>
            </w:r>
          </w:p>
        </w:tc>
      </w:tr>
    </w:tbl>
    <w:p>
      <w:pPr/>
      <w:r>
        <w:rPr/>
        <w:t>Paywalled? Sign in through the CPP University Library. Share links, not PDFs. The video is on Canvas only (it shows pages of the article).</w:t>
      </w:r>
    </w:p>
    <w:p>
      <w:pPr>
        <w:pStyle w:val="Heading1"/>
      </w:pPr>
      <w:r>
        <w:rPr/>
        <w:t>Running Codex (Table 4)</w:t>
      </w:r>
    </w:p>
    <w:p>
      <w:pPr>
        <w:pStyle w:val="ListBullet"/>
      </w:pPr>
      <w:r>
        <w:rPr/>
        <w:t>Open Codex in the ChatGPT desktop app and give it one folder: your library PDF of Aguirre et al., Eisend et al.'s Table 3 and a blank coding sheet (a fresh download, not your filled copy).</w:t>
      </w:r>
    </w:p>
    <w:p>
      <w:pPr>
        <w:pStyle w:val="ListBullet"/>
      </w:pPr>
      <w:r>
        <w:rPr/>
        <w:t>Brief it as you would a new research assistant (target study, six effects, fields, missing values) in 200 words or fewer; paste the brief into Table 4.</w:t>
      </w:r>
    </w:p>
    <w:p>
      <w:pPr>
        <w:pStyle w:val="ListBullet"/>
      </w:pPr>
      <w:r>
        <w:rPr/>
        <w:t>Ask it to fill the sheet's "Codex" tab (rows 3–8) and to screen every study in the paper for eligibility, with a page for each entry. Then copy its six rows into the "Codex" tab of your own sheet.</w:t>
      </w:r>
    </w:p>
    <w:p>
      <w:pPr>
        <w:pStyle w:val="ListBullet"/>
      </w:pPr>
      <w:r>
        <w:rPr/>
        <w:t>The "Compare" tab marks every field where you differ (DIFF). For each one, go to the page and record the page and who was right. Agreement between you and Codex is not proof; the page is.</w:t>
      </w:r>
    </w:p>
    <w:p>
      <w:pPr>
        <w:pStyle w:val="Heading1"/>
      </w:pPr>
      <w:r>
        <w:rPr/>
        <w:t>Optional extension (at most one, 30–45 min; the core alone can earn full marks)</w:t>
      </w:r>
    </w:p>
    <w:p>
      <w:pPr>
        <w:pStyle w:val="ListBullet"/>
      </w:pPr>
      <w:r>
        <w:rPr/>
        <w:t>Code Prestudy 1's comparisons (Facebook click-through rates, p. 38): why are they behavior, not intention?</w:t>
      </w:r>
    </w:p>
    <w:p>
      <w:pPr>
        <w:pStyle w:val="ListBullet"/>
      </w:pPr>
      <w:r>
        <w:rPr/>
        <w:t>Argue whether the footnote 3 study should get its own study ID, from the paper and Eisend et al.'s inclusion rules.</w:t>
      </w:r>
    </w:p>
    <w:p>
      <w:pPr>
        <w:pStyle w:val="ListBullet"/>
      </w:pPr>
      <w:r>
        <w:rPr/>
        <w:t>Have Codex code Study 1 and compare with the worked example. Would your rule have prevented its errors?</w:t>
      </w:r>
    </w:p>
    <w:p>
      <w:pPr>
        <w:pStyle w:val="Heading1"/>
      </w:pPr>
      <w:r>
        <w:rPr/>
        <w:t>AI use and verification</w:t>
      </w:r>
    </w:p>
    <w:p>
      <w:pPr/>
      <w:r>
        <w:rPr/>
        <w:t>Fill Tables 1–2 and the "My coding" tab before any AI sees the paper; Codex is required for Table 4 only. Do not open Eisend et al.'s data file before you submit: the team step compares against it. Follow the course AI policy.</w:t>
      </w:r>
    </w:p>
    <w:p>
      <w:pPr>
        <w:pStyle w:val="Heading1"/>
      </w:pPr>
      <w:r>
        <w:rPr/>
        <w:t>How the five points are earned (individual copy only; team step ungraded)</w:t>
      </w:r>
    </w:p>
    <w:tbl>
      <w:tblPr>
        <w:tblW w:type="auto" w:w="0"/>
        <w:tblLook w:firstColumn="1" w:firstRow="1" w:lastColumn="0" w:lastRow="0" w:noHBand="0" w:noVBand="1" w:val="04A0"/>
        <w:tblLayout w:type="fixed"/>
      </w:tblPr>
      <w:tblGrid>
        <w:gridCol w:w="8568"/>
        <w:gridCol w:w="1800"/>
      </w:tblGrid>
      <w:tr>
        <w:trPr>
          <w:cantSplit/>
          <w:tblHeader/>
        </w:trPr>
        <w:tc>
          <w:tcPr>
            <w:tcW w:type="dxa" w:w="8568"/>
            <w:shd w:fill="DDE8EE"/>
            <w:tcBorders>
              <w:top w:val="single" w:sz="4" w:color="D9D9D9"/>
              <w:left w:val="single" w:sz="4" w:color="D9D9D9"/>
              <w:bottom w:val="single" w:sz="4" w:color="D9D9D9"/>
              <w:right w:val="single" w:sz="4" w:color="D9D9D9"/>
            </w:tcBorders>
          </w:tcPr>
          <w:p>
            <w:pPr>
              <w:spacing w:before="60" w:after="60"/>
            </w:pPr>
            <w:r>
              <w:rPr>
                <w:b/>
                <w:sz w:val="18"/>
              </w:rPr>
              <w:t>Criterion</w:t>
            </w:r>
          </w:p>
        </w:tc>
        <w:tc>
          <w:tcPr>
            <w:tcW w:type="dxa" w:w="1800"/>
            <w:shd w:fill="DDE8EE"/>
            <w:tcBorders>
              <w:top w:val="single" w:sz="4" w:color="D9D9D9"/>
              <w:left w:val="single" w:sz="4" w:color="D9D9D9"/>
              <w:bottom w:val="single" w:sz="4" w:color="D9D9D9"/>
              <w:right w:val="single" w:sz="4" w:color="D9D9D9"/>
            </w:tcBorders>
          </w:tcPr>
          <w:p>
            <w:pPr>
              <w:spacing w:before="60" w:after="60"/>
            </w:pPr>
            <w:r>
              <w:rPr>
                <w:b/>
                <w:sz w:val="18"/>
              </w:rPr>
              <w:t>Points</w:t>
            </w:r>
          </w:p>
        </w:tc>
      </w:tr>
      <w:tr>
        <w:trPr>
          <w:cantSplit/>
        </w:trPr>
        <w:tc>
          <w:tcPr>
            <w:tcW w:type="dxa" w:w="8568"/>
            <w:shd w:fill="F5F7F8"/>
            <w:tcBorders>
              <w:top w:val="single" w:sz="4" w:color="D9D9D9"/>
              <w:left w:val="single" w:sz="4" w:color="D9D9D9"/>
              <w:bottom w:val="single" w:sz="4" w:color="D9D9D9"/>
              <w:right w:val="single" w:sz="4" w:color="D9D9D9"/>
            </w:tcBorders>
          </w:tcPr>
          <w:p>
            <w:pPr>
              <w:spacing w:before="60" w:after="60"/>
            </w:pPr>
            <w:r>
              <w:rPr>
                <w:b w:val="0"/>
                <w:sz w:val="18"/>
              </w:rPr>
              <w:t>Six effects recorded accurately (means, statistic, df, p, page; figure values marked)</w:t>
            </w:r>
          </w:p>
        </w:tc>
        <w:tc>
          <w:tcPr>
            <w:tcW w:type="dxa" w:w="1800"/>
            <w:tcBorders>
              <w:top w:val="single" w:sz="4" w:color="D9D9D9"/>
              <w:left w:val="single" w:sz="4" w:color="D9D9D9"/>
              <w:bottom w:val="single" w:sz="4" w:color="D9D9D9"/>
              <w:right w:val="single" w:sz="4" w:color="D9D9D9"/>
            </w:tcBorders>
          </w:tcPr>
          <w:p>
            <w:pPr>
              <w:spacing w:before="60" w:after="60"/>
            </w:pPr>
            <w:r>
              <w:rPr>
                <w:b w:val="0"/>
                <w:sz w:val="18"/>
              </w:rPr>
              <w:t>2.0</w:t>
            </w:r>
          </w:p>
        </w:tc>
      </w:tr>
      <w:tr>
        <w:trPr>
          <w:cantSplit/>
        </w:trPr>
        <w:tc>
          <w:tcPr>
            <w:tcW w:type="dxa" w:w="8568"/>
            <w:shd w:fill="F5F7F8"/>
            <w:tcBorders>
              <w:top w:val="single" w:sz="4" w:color="D9D9D9"/>
              <w:left w:val="single" w:sz="4" w:color="D9D9D9"/>
              <w:bottom w:val="single" w:sz="4" w:color="D9D9D9"/>
              <w:right w:val="single" w:sz="4" w:color="D9D9D9"/>
            </w:tcBorders>
          </w:tcPr>
          <w:p>
            <w:pPr>
              <w:spacing w:before="60" w:after="60"/>
            </w:pPr>
            <w:r>
              <w:rPr>
                <w:b w:val="0"/>
                <w:sz w:val="18"/>
              </w:rPr>
              <w:t>Coding decisions (category from wording, direction from means, condition per row, flags, assumptions, eligibility)</w:t>
            </w:r>
          </w:p>
        </w:tc>
        <w:tc>
          <w:tcPr>
            <w:tcW w:type="dxa" w:w="1800"/>
            <w:tcBorders>
              <w:top w:val="single" w:sz="4" w:color="D9D9D9"/>
              <w:left w:val="single" w:sz="4" w:color="D9D9D9"/>
              <w:bottom w:val="single" w:sz="4" w:color="D9D9D9"/>
              <w:right w:val="single" w:sz="4" w:color="D9D9D9"/>
            </w:tcBorders>
          </w:tcPr>
          <w:p>
            <w:pPr>
              <w:spacing w:before="60" w:after="60"/>
            </w:pPr>
            <w:r>
              <w:rPr>
                <w:b w:val="0"/>
                <w:sz w:val="18"/>
              </w:rPr>
              <w:t>1.5</w:t>
            </w:r>
          </w:p>
        </w:tc>
      </w:tr>
      <w:tr>
        <w:trPr>
          <w:cantSplit/>
        </w:trPr>
        <w:tc>
          <w:tcPr>
            <w:tcW w:type="dxa" w:w="8568"/>
            <w:shd w:fill="F5F7F8"/>
            <w:tcBorders>
              <w:top w:val="single" w:sz="4" w:color="D9D9D9"/>
              <w:left w:val="single" w:sz="4" w:color="D9D9D9"/>
              <w:bottom w:val="single" w:sz="4" w:color="D9D9D9"/>
              <w:right w:val="single" w:sz="4" w:color="D9D9D9"/>
            </w:tcBorders>
          </w:tcPr>
          <w:p>
            <w:pPr>
              <w:spacing w:before="60" w:after="60"/>
            </w:pPr>
            <w:r>
              <w:rPr>
                <w:b w:val="0"/>
                <w:sz w:val="18"/>
              </w:rPr>
              <w:t>Codex check record and reflection</w:t>
            </w:r>
          </w:p>
        </w:tc>
        <w:tc>
          <w:tcPr>
            <w:tcW w:type="dxa" w:w="1800"/>
            <w:tcBorders>
              <w:top w:val="single" w:sz="4" w:color="D9D9D9"/>
              <w:left w:val="single" w:sz="4" w:color="D9D9D9"/>
              <w:bottom w:val="single" w:sz="4" w:color="D9D9D9"/>
              <w:right w:val="single" w:sz="4" w:color="D9D9D9"/>
            </w:tcBorders>
          </w:tcPr>
          <w:p>
            <w:pPr>
              <w:spacing w:before="60" w:after="60"/>
            </w:pPr>
            <w:r>
              <w:rPr>
                <w:b w:val="0"/>
                <w:sz w:val="18"/>
              </w:rPr>
              <w:t>1.0</w:t>
            </w:r>
          </w:p>
        </w:tc>
      </w:tr>
      <w:tr>
        <w:trPr>
          <w:cantSplit/>
        </w:trPr>
        <w:tc>
          <w:tcPr>
            <w:tcW w:type="dxa" w:w="8568"/>
            <w:shd w:fill="F5F7F8"/>
            <w:tcBorders>
              <w:top w:val="single" w:sz="4" w:color="D9D9D9"/>
              <w:left w:val="single" w:sz="4" w:color="D9D9D9"/>
              <w:bottom w:val="single" w:sz="4" w:color="D9D9D9"/>
              <w:right w:val="single" w:sz="4" w:color="D9D9D9"/>
            </w:tcBorders>
          </w:tcPr>
          <w:p>
            <w:pPr>
              <w:spacing w:before="60" w:after="60"/>
            </w:pPr>
            <w:r>
              <w:rPr>
                <w:b w:val="0"/>
                <w:sz w:val="18"/>
              </w:rPr>
              <w:t>Complete individual record and AI use record (hand coding first)</w:t>
            </w:r>
          </w:p>
        </w:tc>
        <w:tc>
          <w:tcPr>
            <w:tcW w:type="dxa" w:w="1800"/>
            <w:tcBorders>
              <w:top w:val="single" w:sz="4" w:color="D9D9D9"/>
              <w:left w:val="single" w:sz="4" w:color="D9D9D9"/>
              <w:bottom w:val="single" w:sz="4" w:color="D9D9D9"/>
              <w:right w:val="single" w:sz="4" w:color="D9D9D9"/>
            </w:tcBorders>
          </w:tcPr>
          <w:p>
            <w:pPr>
              <w:spacing w:before="60" w:after="60"/>
            </w:pPr>
            <w:r>
              <w:rPr>
                <w:b w:val="0"/>
                <w:sz w:val="18"/>
              </w:rPr>
              <w:t>0.5</w:t>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Lab 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77/00222429241276529" TargetMode="External"/><Relationship Id="rId11" Type="http://schemas.openxmlformats.org/officeDocument/2006/relationships/hyperlink" Target="https://doi.org/10.1287/mksc.2023.0454" TargetMode="External"/><Relationship Id="rId12" Type="http://schemas.openxmlformats.org/officeDocument/2006/relationships/hyperlink" Target="https://doi.org/10.1287/mksc.2025.0262" TargetMode="External"/><Relationship Id="rId13" Type="http://schemas.openxmlformats.org/officeDocument/2006/relationships/hyperlink" Target="https://doi.org/10.1073/pnas.2518075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Extracting evidence on synthetic respondents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