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Case Assignment — Chunlei's U.S. Market Entry Strategy: Navigating Risks Through Scenario Planning</w:t>
      </w:r>
    </w:p>
    <w:p>
      <w:r>
        <w:rPr>
          <w:i/>
        </w:rPr>
        <w:t>IBM4212 / GBA6520 — Marketing Problems</w:t>
      </w:r>
    </w:p>
    <w:p>
      <w:r>
        <w:t>Instructor: Prof. Lin</w:t>
      </w:r>
    </w:p>
    <w:tbl>
      <w:tblPr>
        <w:tblStyle w:val="TableGrid"/>
        <w:tblW w:type="auto" w:w="0"/>
        <w:tblLook w:firstColumn="1" w:firstRow="1" w:lastColumn="0" w:lastRow="0" w:noHBand="0" w:noVBand="1" w:val="04A0"/>
      </w:tblPr>
      <w:tblGrid>
        <w:gridCol w:w="4320"/>
        <w:gridCol w:w="4320"/>
      </w:tblGrid>
      <w:tr>
        <w:tc>
          <w:tcPr>
            <w:tcW w:type="dxa" w:w="2016"/>
          </w:tcPr>
          <w:p>
            <w:r/>
            <w:r>
              <w:rPr>
                <w:b/>
              </w:rPr>
              <w:t>Points</w:t>
            </w:r>
          </w:p>
        </w:tc>
        <w:tc>
          <w:tcPr>
            <w:tcW w:type="dxa" w:w="4320"/>
          </w:tcPr>
          <w:p>
            <w:r>
              <w:t>10 Canvas points (graded out of 50 raw: 4 questions × 10 + AI reflection × 10)</w:t>
            </w:r>
          </w:p>
        </w:tc>
      </w:tr>
      <w:tr>
        <w:tc>
          <w:tcPr>
            <w:tcW w:type="dxa" w:w="2016"/>
          </w:tcPr>
          <w:p>
            <w:r/>
            <w:r>
              <w:rPr>
                <w:b/>
              </w:rPr>
              <w:t>Due</w:t>
            </w:r>
          </w:p>
        </w:tc>
        <w:tc>
          <w:tcPr>
            <w:tcW w:type="dxa" w:w="4320"/>
          </w:tcPr>
          <w:p>
            <w:r>
              <w:t>See Canvas</w:t>
            </w:r>
          </w:p>
        </w:tc>
      </w:tr>
      <w:tr>
        <w:tc>
          <w:tcPr>
            <w:tcW w:type="dxa" w:w="2016"/>
          </w:tcPr>
          <w:p>
            <w:r/>
            <w:r>
              <w:rPr>
                <w:b/>
              </w:rPr>
              <w:t>Work</w:t>
            </w:r>
          </w:p>
        </w:tc>
        <w:tc>
          <w:tcPr>
            <w:tcW w:type="dxa" w:w="4320"/>
          </w:tcPr>
          <w:p>
            <w:r>
              <w:t>Individual</w:t>
            </w:r>
          </w:p>
        </w:tc>
      </w:tr>
      <w:tr>
        <w:tc>
          <w:tcPr>
            <w:tcW w:type="dxa" w:w="2016"/>
          </w:tcPr>
          <w:p>
            <w:r/>
            <w:r>
              <w:rPr>
                <w:b/>
              </w:rPr>
              <w:t>Submit</w:t>
            </w:r>
          </w:p>
        </w:tc>
        <w:tc>
          <w:tcPr>
            <w:tcW w:type="dxa" w:w="4320"/>
          </w:tcPr>
          <w:p>
            <w:r>
              <w:t>Fill this document, export as PDF (File → Save As → PDF), upload the PDF to Canvas.</w:t>
            </w:r>
          </w:p>
        </w:tc>
      </w:tr>
    </w:tbl>
    <w:p/>
    <w:p>
      <w:pPr>
        <w:pStyle w:val="Heading1"/>
      </w:pPr>
      <w:r>
        <w:t>The gist</w:t>
      </w:r>
    </w:p>
    <w:p>
      <w:r>
        <w:t>Chunlei must decide how to enter the U.S. market — go it alone with foreign direct investment, or partner with Calmei, Harry &amp; David, or Oishii — under real economic uncertainty. You are advising CEO Cao: work the ERP (Efficiency–Resilience–Prominence) framework qualitatively, then run the numbers across growth scenarios, and commit to an entry recommendation.</w:t>
      </w:r>
    </w:p>
    <w:p>
      <w:r>
        <w:rPr>
          <w:b/>
        </w:rPr>
        <w:t xml:space="preserve">Where to find the case: </w:t>
      </w:r>
      <w:r>
        <w:t>The case is in the second Harvard business case course pack: Canvas → Instant Access Complete → course pack.</w:t>
      </w:r>
    </w:p>
    <w:p>
      <w:pPr>
        <w:pStyle w:val="Heading1"/>
      </w:pPr>
      <w:r>
        <w:t>How you'll be graded</w:t>
      </w:r>
    </w:p>
    <w:p>
      <w:r>
        <w:t>Every question is scored on the same five criteria. The same rubric applies to every case this term — internalize it once.</w:t>
      </w:r>
    </w:p>
    <w:tbl>
      <w:tblPr>
        <w:tblStyle w:val="TableGrid"/>
        <w:tblW w:type="auto" w:w="0"/>
        <w:tblLook w:firstColumn="1" w:firstRow="1" w:lastColumn="0" w:lastRow="0" w:noHBand="0" w:noVBand="1" w:val="04A0"/>
      </w:tblPr>
      <w:tblGrid>
        <w:gridCol w:w="2880"/>
        <w:gridCol w:w="2880"/>
        <w:gridCol w:w="2880"/>
      </w:tblGrid>
      <w:tr>
        <w:tc>
          <w:tcPr>
            <w:tcW w:type="dxa" w:w="2448"/>
          </w:tcPr>
          <w:p>
            <w:r/>
            <w:r>
              <w:rPr>
                <w:b/>
              </w:rPr>
              <w:t>Criterion</w:t>
            </w:r>
          </w:p>
        </w:tc>
        <w:tc>
          <w:tcPr>
            <w:tcW w:type="dxa" w:w="1008"/>
          </w:tcPr>
          <w:p>
            <w:r/>
            <w:r>
              <w:rPr>
                <w:b/>
              </w:rPr>
              <w:t>Weight</w:t>
            </w:r>
          </w:p>
        </w:tc>
        <w:tc>
          <w:tcPr>
            <w:tcW w:type="dxa" w:w="2880"/>
          </w:tcPr>
          <w:p>
            <w:r/>
            <w:r>
              <w:rPr>
                <w:b/>
              </w:rPr>
              <w:t>Strong work looks like</w:t>
            </w:r>
          </w:p>
        </w:tc>
      </w:tr>
      <w:tr>
        <w:tc>
          <w:tcPr>
            <w:tcW w:type="dxa" w:w="2448"/>
          </w:tcPr>
          <w:p>
            <w:r>
              <w:t>Dilemma / strategic issue framing</w:t>
            </w:r>
          </w:p>
        </w:tc>
        <w:tc>
          <w:tcPr>
            <w:tcW w:type="dxa" w:w="1008"/>
          </w:tcPr>
          <w:p>
            <w:r>
              <w:t>10%</w:t>
            </w:r>
          </w:p>
        </w:tc>
        <w:tc>
          <w:tcPr>
            <w:tcW w:type="dxa" w:w="2880"/>
          </w:tcPr>
          <w:p>
            <w:r>
              <w:t>Names the central decision or tension the question turns on — not a case summary.</w:t>
            </w:r>
          </w:p>
        </w:tc>
      </w:tr>
      <w:tr>
        <w:tc>
          <w:tcPr>
            <w:tcW w:type="dxa" w:w="2448"/>
          </w:tcPr>
          <w:p>
            <w:r>
              <w:t>Position &amp; depth of analysis</w:t>
            </w:r>
          </w:p>
        </w:tc>
        <w:tc>
          <w:tcPr>
            <w:tcW w:type="dxa" w:w="1008"/>
          </w:tcPr>
          <w:p>
            <w:r>
              <w:t>30%</w:t>
            </w:r>
          </w:p>
        </w:tc>
        <w:tc>
          <w:tcPr>
            <w:tcW w:type="dxa" w:w="2880"/>
          </w:tcPr>
          <w:p>
            <w:r>
              <w:t>A clear position or recommendation stated early, then defended: reasoning, trade-offs weighed honestly, implications drawn. Goes beyond description.</w:t>
            </w:r>
          </w:p>
        </w:tc>
      </w:tr>
      <w:tr>
        <w:tc>
          <w:tcPr>
            <w:tcW w:type="dxa" w:w="2448"/>
          </w:tcPr>
          <w:p>
            <w:r>
              <w:t>Course concepts applied accurately</w:t>
            </w:r>
          </w:p>
        </w:tc>
        <w:tc>
          <w:tcPr>
            <w:tcW w:type="dxa" w:w="1008"/>
          </w:tcPr>
          <w:p>
            <w:r>
              <w:t>20%</w:t>
            </w:r>
          </w:p>
        </w:tc>
        <w:tc>
          <w:tcPr>
            <w:tcW w:type="dxa" w:w="2880"/>
          </w:tcPr>
          <w:p>
            <w:r>
              <w:t>Relevant frameworks and class concepts (e.g., positioning template, STP, razor-and-blade, ERP, Rogers' five factors) used correctly and meaningfully — named AND applied, not name-dropped.</w:t>
            </w:r>
          </w:p>
        </w:tc>
      </w:tr>
      <w:tr>
        <w:tc>
          <w:tcPr>
            <w:tcW w:type="dxa" w:w="2448"/>
          </w:tcPr>
          <w:p>
            <w:r>
              <w:t>Case evidence discipline</w:t>
            </w:r>
          </w:p>
        </w:tc>
        <w:tc>
          <w:tcPr>
            <w:tcW w:type="dxa" w:w="1008"/>
          </w:tcPr>
          <w:p>
            <w:r>
              <w:t>20%</w:t>
            </w:r>
          </w:p>
        </w:tc>
        <w:tc>
          <w:tcPr>
            <w:tcW w:type="dxa" w:w="2880"/>
          </w:tcPr>
          <w:p>
            <w:r>
              <w:t>Specific case facts, numbers, and examples with page cites support every claim. Quantitative questions require actual numbers — reasoning without computation caps this criterion at half.</w:t>
            </w:r>
          </w:p>
        </w:tc>
      </w:tr>
      <w:tr>
        <w:tc>
          <w:tcPr>
            <w:tcW w:type="dxa" w:w="2448"/>
          </w:tcPr>
          <w:p>
            <w:r>
              <w:t>AI reflection &amp; transparency</w:t>
            </w:r>
          </w:p>
        </w:tc>
        <w:tc>
          <w:tcPr>
            <w:tcW w:type="dxa" w:w="1008"/>
          </w:tcPr>
          <w:p>
            <w:r>
              <w:t>20%</w:t>
            </w:r>
          </w:p>
        </w:tc>
        <w:tc>
          <w:tcPr>
            <w:tcW w:type="dxa" w:w="2880"/>
          </w:tcPr>
          <w:p>
            <w:r>
              <w:t>Substantive exchanges logged — your positions, follow-ups, and pushbacks, not just the assignment question read aloud; honest reflection with a specific pushback/override moment; and a working transcript link.</w:t>
            </w:r>
          </w:p>
        </w:tc>
      </w:tr>
    </w:tbl>
    <w:p/>
    <w:p>
      <w:pPr>
        <w:pStyle w:val="Heading1"/>
      </w:pPr>
      <w:r>
        <w:t>Your AI tutoring session — voice mode (recommended)</w:t>
      </w:r>
    </w:p>
    <w:p>
      <w:r>
        <w:t>Work with AI by TALKING, not pasting. Voice tutoring is more natural, forces you to reason out loud, and your spoken transcript is your integrity record.</w:t>
      </w:r>
    </w:p>
    <w:p>
      <w:pPr>
        <w:pStyle w:val="ListNumber"/>
      </w:pPr>
      <w:r>
        <w:t>Open ChatGPT and start a voice session: click the voice button — the black waveform icon at the right end of the message bar (see picture below).</w:t>
      </w:r>
    </w:p>
    <w:p>
      <w:pPr>
        <w:pStyle w:val="ListNumber"/>
      </w:pPr>
      <w:r>
        <w:t>Upload the case PDF using the + button at the left end of the message bar.</w:t>
      </w:r>
    </w:p>
    <w:p>
      <w:pPr>
        <w:pStyle w:val="ListNumber"/>
      </w:pPr>
      <w:r>
        <w:t>Paste the starter prompt below and hit enter.</w:t>
      </w:r>
    </w:p>
    <w:p>
      <w:pPr>
        <w:pStyle w:val="ListNumber"/>
      </w:pPr>
      <w:r>
        <w:t>Talk it through. The tutor will quiz you on the case first. Then bring your homework questions ONE AT A TIME, word for word, and state your first take (your Box A) before asking for help.</w:t>
      </w:r>
    </w:p>
    <w:p>
      <w:pPr>
        <w:pStyle w:val="ListNumber"/>
      </w:pPr>
      <w:r>
        <w:t>For the quantitative question, do the actual calculations by typing in the same conversation — voice is for reasoning and assumptions, not for building tables.</w:t>
      </w:r>
    </w:p>
    <w:p>
      <w:pPr>
        <w:pStyle w:val="ListNumber"/>
      </w:pPr>
      <w:r>
        <w:t>When you finish, copy the conversation's share link and paste it in the Transcript link field at the end of this document. Don't fish for answers — it shows in the transcript and scores against the process criterion.</w:t>
      </w:r>
    </w:p>
    <w:p>
      <w:r>
        <w:drawing>
          <wp:inline xmlns:a="http://schemas.openxmlformats.org/drawingml/2006/main" xmlns:pic="http://schemas.openxmlformats.org/drawingml/2006/picture">
            <wp:extent cx="5303520" cy="2787564"/>
            <wp:docPr id="1" name="Picture 1"/>
            <wp:cNvGraphicFramePr>
              <a:graphicFrameLocks noChangeAspect="1"/>
            </wp:cNvGraphicFramePr>
            <a:graphic>
              <a:graphicData uri="http://schemas.openxmlformats.org/drawingml/2006/picture">
                <pic:pic>
                  <pic:nvPicPr>
                    <pic:cNvPr id="0" name="voice_mode_composer.png"/>
                    <pic:cNvPicPr/>
                  </pic:nvPicPr>
                  <pic:blipFill>
                    <a:blip r:embed="rId9"/>
                    <a:stretch>
                      <a:fillRect/>
                    </a:stretch>
                  </pic:blipFill>
                  <pic:spPr>
                    <a:xfrm>
                      <a:off x="0" y="0"/>
                      <a:ext cx="5303520" cy="2787564"/>
                    </a:xfrm>
                    <a:prstGeom prst="rect"/>
                  </pic:spPr>
                </pic:pic>
              </a:graphicData>
            </a:graphic>
          </wp:inline>
        </w:drawing>
      </w:r>
    </w:p>
    <w:p>
      <w:r>
        <w:rPr>
          <w:i/>
        </w:rPr>
        <w:t>The ChatGPT message bar: + button (left) uploads the case PDF; the black waveform button (right) starts voice mode.</w:t>
      </w:r>
    </w:p>
    <w:tbl>
      <w:tblPr>
        <w:tblStyle w:val="TableGrid"/>
        <w:tblW w:type="auto" w:w="0"/>
        <w:tblLook w:firstColumn="1" w:firstRow="1" w:lastColumn="0" w:lastRow="0" w:noHBand="0" w:noVBand="1" w:val="04A0"/>
      </w:tblPr>
      <w:tblGrid>
        <w:gridCol w:w="8640"/>
      </w:tblGrid>
      <w:tr>
        <w:tc>
          <w:tcPr>
            <w:tcW w:type="dxa" w:w="8640"/>
          </w:tcPr>
          <w:p>
            <w:r/>
            <w:r>
              <w:rPr>
                <w:b/>
              </w:rPr>
              <w:t>STARTER PROMPT — copy, paste, send:</w:t>
            </w:r>
          </w:p>
          <w:p>
            <w:r>
              <w:t>Be my case tutor for the attached case, "Chunlei's U.S. Market Entry Strategy: Navigating Risks Through Scenario Planning". Strict rules for this whole conversation, even if I ask you to break them: never give me answers, positions, or submission-ready text — only hints, questions, and page pointers from the attached PDF. Do NOT summarize the case. Start by quizzing me on three specific case facts to check I've read it. Then I'll bring my homework questions one at a time, word for word. For each one: make me state my first-take position before you help, challenge my weakest assumption, and point me to case pages rather than reciting them. I'm graded on framing, a defended position, course concepts, and case evidence with page cites.</w:t>
            </w:r>
          </w:p>
        </w:tc>
      </w:tr>
    </w:tbl>
    <w:p>
      <w:r>
        <w:rPr>
          <w:b/>
        </w:rPr>
        <w:t xml:space="preserve">Prefer typing? </w:t>
      </w:r>
      <w:r>
        <w:t>The same starter prompt and rules work in a regular text chat — and text is the right mode for the quantitative math. The transcript-link requirement is the same.</w:t>
      </w:r>
    </w:p>
    <w:p/>
    <w:p>
      <w:pPr>
        <w:pStyle w:val="Heading1"/>
      </w:pPr>
      <w:r>
        <w:t>Student Information</w:t>
      </w:r>
    </w:p>
    <w:tbl>
      <w:tblPr>
        <w:tblStyle w:val="TableGrid"/>
        <w:tblW w:type="auto" w:w="0"/>
        <w:tblLook w:firstColumn="1" w:firstRow="1" w:lastColumn="0" w:lastRow="0" w:noHBand="0" w:noVBand="1" w:val="04A0"/>
      </w:tblPr>
      <w:tblGrid>
        <w:gridCol w:w="4320"/>
        <w:gridCol w:w="4320"/>
      </w:tblGrid>
      <w:tr>
        <w:tc>
          <w:tcPr>
            <w:tcW w:type="dxa" w:w="2016"/>
          </w:tcPr>
          <w:p>
            <w:r/>
            <w:r>
              <w:rPr>
                <w:b/>
              </w:rPr>
              <w:t>Name *</w:t>
            </w:r>
          </w:p>
        </w:tc>
        <w:tc>
          <w:tcPr>
            <w:tcW w:type="dxa" w:w="4320"/>
          </w:tcPr>
          <w:p>
            <w:r>
              <w:t>First name, Last name</w:t>
            </w:r>
          </w:p>
        </w:tc>
      </w:tr>
      <w:tr>
        <w:tc>
          <w:tcPr>
            <w:tcW w:type="dxa" w:w="2016"/>
          </w:tcPr>
          <w:p>
            <w:r/>
            <w:r>
              <w:rPr>
                <w:b/>
              </w:rPr>
              <w:t>CPP Email *</w:t>
            </w:r>
          </w:p>
        </w:tc>
        <w:tc>
          <w:tcPr>
            <w:tcW w:type="dxa" w:w="4320"/>
          </w:tcPr>
          <w:p>
            <w:r/>
          </w:p>
        </w:tc>
      </w:tr>
      <w:tr>
        <w:tc>
          <w:tcPr>
            <w:tcW w:type="dxa" w:w="2016"/>
          </w:tcPr>
          <w:p>
            <w:r/>
            <w:r>
              <w:rPr>
                <w:b/>
              </w:rPr>
              <w:t>Class section *</w:t>
            </w:r>
          </w:p>
        </w:tc>
        <w:tc>
          <w:tcPr>
            <w:tcW w:type="dxa" w:w="4320"/>
          </w:tcPr>
          <w:p>
            <w:r>
              <w:t>GBA6520.XX or IBM4212.XX</w:t>
            </w:r>
          </w:p>
        </w:tc>
      </w:tr>
    </w:tbl>
    <w:p/>
    <w:p>
      <w:pPr>
        <w:pStyle w:val="Heading1"/>
      </w:pPr>
      <w:r>
        <w:t>Case Questions</w:t>
      </w:r>
    </w:p>
    <w:p>
      <w:r>
        <w:t>Answer every question below in the box provided.</w:t>
      </w:r>
    </w:p>
    <w:p>
      <w:pPr>
        <w:pStyle w:val="Heading2"/>
      </w:pPr>
      <w:r>
        <w:t>Question 1</w:t>
      </w:r>
    </w:p>
    <w:p>
      <w:r>
        <w:rPr>
          <w:b/>
        </w:rPr>
        <w:t>What are the key Resources, Forces, and Observers (RFO) in the ERP framework that Chunlei should consider for its market entry strategy into the United States?</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2</w:t>
      </w:r>
    </w:p>
    <w:p>
      <w:r>
        <w:rPr>
          <w:b/>
        </w:rPr>
        <w:t>How do the different market entry options (joint venture with different partners, and foreign direct investment) compare in terms of Efficiency, Resilience, and Prominence (ERP) for Chunlei's U.S. expansion?</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3</w:t>
      </w:r>
    </w:p>
    <w:p>
      <w:r>
        <w:rPr>
          <w:b/>
        </w:rPr>
        <w:t>Categorize the quantitative assumptions into the ERP framework. Conduct a quantitative financial analysis of the four entry options under three economic scenarios: high, medium, and low growth. Create 8-year projections that include 4 years of investment and incubation followed by 4 years of sales and operations.</w:t>
      </w:r>
    </w:p>
    <w:p>
      <w:r>
        <w:rPr>
          <w:b/>
        </w:rPr>
        <w:t xml:space="preserve">Heads-up: </w:t>
      </w:r>
      <w:r>
        <w:t>This question requires actual projections — tables with numbers for the four options under the three scenarios. Qualitative discussion without the financial analysis caps the case-evidence criterion at half.</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2"/>
      </w:pPr>
      <w:r>
        <w:t>Question 4</w:t>
      </w:r>
    </w:p>
    <w:p>
      <w:r>
        <w:rPr>
          <w:b/>
        </w:rPr>
        <w:t>Using Efficiency–Resilience–Prominence (ERP) framework insights from your earlier analyses (both qualitative and scenario-based quantitative), make an argument for the strategic market entry decision Cao should make for Chunlei's U.S. expansion — pursue foreign direct investment, form a joint venture with Calmei, Harry &amp; David, or Oishii, or follow an alternative approach? What do you recommend, and why?</w:t>
      </w:r>
    </w:p>
    <w:p>
      <w:r>
        <w:rPr>
          <w:i/>
        </w:rPr>
        <w:t>Word limit: 250–500 words (hard cap 600). Tables and calculations do not count toward the limit.</w:t>
      </w:r>
    </w:p>
    <w:tbl>
      <w:tblPr>
        <w:tblStyle w:val="TableGrid"/>
        <w:tblW w:type="auto" w:w="0"/>
        <w:tblLook w:firstColumn="1" w:firstRow="1" w:lastColumn="0" w:lastRow="0" w:noHBand="0" w:noVBand="1" w:val="04A0"/>
      </w:tblPr>
      <w:tblGrid>
        <w:gridCol w:w="8640"/>
      </w:tblGrid>
      <w:tr>
        <w:tc>
          <w:tcPr>
            <w:tcW w:type="dxa" w:w="8640"/>
          </w:tcPr>
          <w:p>
            <w:r/>
            <w:r>
              <w:rPr>
                <w:b/>
              </w:rPr>
              <w:t>Your answer:</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tc>
      </w:tr>
    </w:tbl>
    <w:p/>
    <w:p>
      <w:pPr>
        <w:pStyle w:val="Heading1"/>
      </w:pPr>
      <w:r>
        <w:t>AI Usage Reflection</w:t>
      </w:r>
    </w:p>
    <w:p>
      <w:r>
        <w:t>Document how you used AI in your analysis. Iterative, original prompting scores high; pasting the assignment questions as prompts scores low. Requirements:</w:t>
      </w:r>
    </w:p>
    <w:p>
      <w:pPr>
        <w:pStyle w:val="ListBullet"/>
      </w:pPr>
      <w:r>
        <w:t>At least 3 substantive exchanges logged per case question — your positions, follow-ups, or pushbacks. Reading the assignment question to set the session agenda is fine, but it doesn't count as an exchange.</w:t>
      </w:r>
    </w:p>
    <w:p>
      <w:pPr>
        <w:pStyle w:val="ListBullet"/>
      </w:pPr>
      <w:r>
        <w:t>A reflection paragraph (150–300 words): what AI did well, where it misled you or pushed back, and how you adjusted.</w:t>
      </w:r>
    </w:p>
    <w:p>
      <w:pPr>
        <w:pStyle w:val="ListBullet"/>
      </w:pPr>
      <w:r>
        <w:t>A shareable transcript LINK (not pasted transcript text).</w:t>
      </w:r>
    </w:p>
    <w:p>
      <w:pPr>
        <w:pStyle w:val="Heading2"/>
      </w:pPr>
      <w:r>
        <w:t>Question 1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2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3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Question 4 — Prompts used</w:t>
      </w:r>
    </w:p>
    <w:tbl>
      <w:tblPr>
        <w:tblStyle w:val="TableGrid"/>
        <w:tblW w:type="auto" w:w="0"/>
        <w:tblLook w:firstColumn="1" w:firstRow="1" w:lastColumn="0" w:lastRow="0" w:noHBand="0" w:noVBand="1" w:val="04A0"/>
      </w:tblPr>
      <w:tblGrid>
        <w:gridCol w:w="8640"/>
      </w:tblGrid>
      <w:tr>
        <w:tc>
          <w:tcPr>
            <w:tcW w:type="dxa" w:w="8640"/>
          </w:tcPr>
          <w:p>
            <w:r/>
            <w:r>
              <w:rPr>
                <w:b/>
              </w:rPr>
              <w:t>Prompts (at least 3):</w:t>
            </w:r>
          </w:p>
          <w:p>
            <w:r>
              <w:t xml:space="preserve"> </w:t>
            </w:r>
          </w:p>
          <w:p>
            <w:r>
              <w:t xml:space="preserve"> </w:t>
            </w:r>
          </w:p>
          <w:p>
            <w:r>
              <w:t xml:space="preserve"> </w:t>
            </w:r>
          </w:p>
          <w:p>
            <w:r>
              <w:t xml:space="preserve"> </w:t>
            </w:r>
          </w:p>
        </w:tc>
      </w:tr>
    </w:tbl>
    <w:p>
      <w:pPr>
        <w:pStyle w:val="Heading2"/>
      </w:pPr>
      <w:r>
        <w:t>Reflection paragraph</w:t>
      </w:r>
    </w:p>
    <w:p>
      <w:r>
        <w:rPr>
          <w:i/>
        </w:rPr>
        <w:t>150–300 words: what AI did well, where it misled you or pushed back, and how you adjusted.</w:t>
      </w:r>
    </w:p>
    <w:tbl>
      <w:tblPr>
        <w:tblStyle w:val="TableGrid"/>
        <w:tblW w:type="auto" w:w="0"/>
        <w:tblLook w:firstColumn="1" w:firstRow="1" w:lastColumn="0" w:lastRow="0" w:noHBand="0" w:noVBand="1" w:val="04A0"/>
      </w:tblPr>
      <w:tblGrid>
        <w:gridCol w:w="8640"/>
      </w:tblGrid>
      <w:tr>
        <w:tc>
          <w:tcPr>
            <w:tcW w:type="dxa" w:w="8640"/>
          </w:tcPr>
          <w:p>
            <w:r/>
            <w:r>
              <w:rPr>
                <w:b/>
              </w:rPr>
              <w:t>Your reflection:</w:t>
            </w:r>
          </w:p>
          <w:p>
            <w:r>
              <w:t xml:space="preserve"> </w:t>
            </w:r>
          </w:p>
          <w:p>
            <w:r>
              <w:t xml:space="preserve"> </w:t>
            </w:r>
          </w:p>
          <w:p>
            <w:r>
              <w:t xml:space="preserve"> </w:t>
            </w:r>
          </w:p>
          <w:p>
            <w:r>
              <w:t xml:space="preserve"> </w:t>
            </w:r>
          </w:p>
          <w:p>
            <w:r>
              <w:t xml:space="preserve"> </w:t>
            </w:r>
          </w:p>
          <w:p>
            <w:r>
              <w:t xml:space="preserve"> </w:t>
            </w:r>
          </w:p>
        </w:tc>
      </w:tr>
    </w:tbl>
    <w:p>
      <w:pPr>
        <w:pStyle w:val="Heading2"/>
      </w:pPr>
      <w:r>
        <w:t>Transcript link</w:t>
      </w:r>
    </w:p>
    <w:p>
      <w:r>
        <w:rPr>
          <w:i/>
        </w:rPr>
        <w:t>Paste a shareable LINK (ChatGPT share link, Google Doc, or OneDrive with "anyone with the link") — not the transcript text itself.</w:t>
      </w:r>
    </w:p>
    <w:tbl>
      <w:tblPr>
        <w:tblStyle w:val="TableGrid"/>
        <w:tblW w:type="auto" w:w="0"/>
        <w:tblLook w:firstColumn="1" w:firstRow="1" w:lastColumn="0" w:lastRow="0" w:noHBand="0" w:noVBand="1" w:val="04A0"/>
      </w:tblPr>
      <w:tblGrid>
        <w:gridCol w:w="4320"/>
        <w:gridCol w:w="4320"/>
      </w:tblGrid>
      <w:tr>
        <w:tc>
          <w:tcPr>
            <w:tcW w:type="dxa" w:w="2016"/>
          </w:tcPr>
          <w:p>
            <w:r/>
            <w:r>
              <w:rPr>
                <w:b/>
              </w:rPr>
              <w:t>Transcript URL</w:t>
            </w:r>
          </w:p>
        </w:tc>
        <w:tc>
          <w:tcPr>
            <w:tcW w:type="dxa" w:w="4320"/>
          </w:tcPr>
          <w:p>
            <w:r>
              <w:t>https://...</w:t>
            </w:r>
          </w:p>
        </w:tc>
      </w:tr>
    </w:tbl>
    <w:p>
      <w:r>
        <w:br w:type="page"/>
      </w:r>
    </w:p>
    <w:p>
      <w:pPr>
        <w:pStyle w:val="Heading1"/>
      </w:pPr>
      <w:r>
        <w:t>Style Guide — formatting reference (not a separate deliverable)</w:t>
      </w:r>
    </w:p>
    <w:p>
      <w:r>
        <w:t>This page is a reference, not something extra to write or submit: this one Word document, exported to PDF, is your entire submission. The submission is evaluated on content (per the rubric above) and on report-style professionalism — aim for the standard you would deliver to a client or executive reader.</w:t>
      </w:r>
    </w:p>
    <w:p>
      <w:pPr>
        <w:pStyle w:val="ListBullet"/>
      </w:pPr>
      <w:r>
        <w:t>Font: Calibri 11pt or Times New Roman 12pt; 1-inch margins; single or 1.15 spacing.</w:t>
      </w:r>
    </w:p>
    <w:p>
      <w:pPr>
        <w:pStyle w:val="ListBullet"/>
      </w:pPr>
      <w:r>
        <w:t>Tables and figures: number and caption every one (e.g., "Table 1. Kindle Fire 3-year revenue model"); reference each in the body text.</w:t>
      </w:r>
    </w:p>
    <w:p>
      <w:pPr>
        <w:pStyle w:val="ListBullet"/>
      </w:pPr>
      <w:r>
        <w:t>Citations: when referring to case data, include page numbers in parentheses (e.g., "sold at cost (p. 13)").</w:t>
      </w:r>
    </w:p>
    <w:p>
      <w:pPr>
        <w:pStyle w:val="ListBullet"/>
      </w:pPr>
      <w:r>
        <w:t>Tone: professional, concise, evidence-led. Avoid first-person colloquialisms ("I think", "in my opinion").</w:t>
      </w:r>
    </w:p>
    <w:p>
      <w:pPr>
        <w:pStyle w:val="ListBullet"/>
      </w:pPr>
      <w:r>
        <w:t>Numbers: include units, percentages, and time ranges; round consistently.</w:t>
      </w:r>
    </w:p>
    <w:p>
      <w:pPr>
        <w:pStyle w:val="ListBullet"/>
      </w:pPr>
      <w:r>
        <w:t>AI content: paraphrase and verify against the case PDF. Do not paste raw AI output.</w:t>
      </w:r>
    </w:p>
    <w:p>
      <w:pPr>
        <w:pStyle w:val="ListBullet"/>
      </w:pPr>
      <w:r>
        <w:t>Final check: spell-check, export to PDF, verify the PDF renders correctly before upload.</w:t>
      </w:r>
    </w:p>
    <w:p/>
    <w:p>
      <w:r>
        <w:rPr>
          <w:i/>
        </w:rPr>
        <w:t>--- End of assignment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