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Study-Partner Prompt — Worked Example (Aldi case + the "All Competitors React" chapter)</w:t>
      </w:r>
    </w:p>
    <w:p>
      <w:r>
        <w:rPr>
          <w:i/>
        </w:rPr>
        <w:t>Optional. Use it before you sit down to the graded boxes, to learn the concept first. It is a different prompt from the assignment's starter prompt, and it does a different job.</w:t>
      </w:r>
    </w:p>
    <w:p>
      <w:pPr>
        <w:pStyle w:val="Heading2"/>
      </w:pPr>
      <w:r>
        <w:t>Two prompts, two jobs</w:t>
      </w:r>
    </w:p>
    <w:tbl>
      <w:tblPr>
        <w:tblStyle w:val="TableGrid"/>
        <w:tblW w:type="auto" w:w="0"/>
        <w:tblLook w:firstColumn="1" w:firstRow="1" w:lastColumn="0" w:lastRow="0" w:noHBand="0" w:noVBand="1" w:val="04A0"/>
      </w:tblPr>
      <w:tblGrid>
        <w:gridCol w:w="3312"/>
        <w:gridCol w:w="3312"/>
        <w:gridCol w:w="3312"/>
      </w:tblGrid>
      <w:tr>
        <w:tc>
          <w:tcPr>
            <w:tcW w:type="dxa" w:w="3312"/>
          </w:tcPr>
          <w:p>
            <w:r>
              <w:rPr>
                <w:b/>
                <w:sz w:val="19"/>
              </w:rPr>
            </w:r>
          </w:p>
        </w:tc>
        <w:tc>
          <w:tcPr>
            <w:tcW w:type="dxa" w:w="3312"/>
          </w:tcPr>
          <w:p>
            <w:r>
              <w:rPr>
                <w:b/>
                <w:sz w:val="19"/>
              </w:rPr>
            </w:r>
            <w:r>
              <w:rPr>
                <w:b/>
                <w:sz w:val="19"/>
              </w:rPr>
              <w:t>Assignment starter prompt (graded session)</w:t>
            </w:r>
          </w:p>
        </w:tc>
        <w:tc>
          <w:tcPr>
            <w:tcW w:type="dxa" w:w="3312"/>
          </w:tcPr>
          <w:p>
            <w:r>
              <w:rPr>
                <w:b/>
                <w:sz w:val="19"/>
              </w:rPr>
            </w:r>
            <w:r>
              <w:rPr>
                <w:b/>
                <w:sz w:val="19"/>
              </w:rPr>
              <w:t>Study-partner prompt (optional, before)</w:t>
            </w:r>
          </w:p>
        </w:tc>
      </w:tr>
      <w:tr>
        <w:tc>
          <w:tcPr>
            <w:tcW w:type="dxa" w:w="3312"/>
          </w:tcPr>
          <w:p>
            <w:r>
              <w:rPr>
                <w:sz w:val="19"/>
              </w:rPr>
            </w:r>
            <w:r>
              <w:rPr>
                <w:sz w:val="19"/>
              </w:rPr>
              <w:t>Purpose</w:t>
            </w:r>
          </w:p>
        </w:tc>
        <w:tc>
          <w:tcPr>
            <w:tcW w:type="dxa" w:w="3312"/>
          </w:tcPr>
          <w:p>
            <w:r>
              <w:rPr>
                <w:sz w:val="19"/>
              </w:rPr>
            </w:r>
            <w:r>
              <w:rPr>
                <w:sz w:val="19"/>
              </w:rPr>
              <w:t>Defend your own answers to the four homework questions</w:t>
            </w:r>
          </w:p>
        </w:tc>
        <w:tc>
          <w:tcPr>
            <w:tcW w:type="dxa" w:w="3312"/>
          </w:tcPr>
          <w:p>
            <w:r>
              <w:rPr>
                <w:sz w:val="19"/>
              </w:rPr>
            </w:r>
            <w:r>
              <w:rPr>
                <w:sz w:val="19"/>
              </w:rPr>
              <w:t>Learn the textbook concept and see it in the case</w:t>
            </w:r>
          </w:p>
        </w:tc>
      </w:tr>
      <w:tr>
        <w:tc>
          <w:tcPr>
            <w:tcW w:type="dxa" w:w="3312"/>
          </w:tcPr>
          <w:p>
            <w:r>
              <w:rPr>
                <w:sz w:val="19"/>
              </w:rPr>
            </w:r>
            <w:r>
              <w:rPr>
                <w:sz w:val="19"/>
              </w:rPr>
              <w:t>May the AI explain concepts?</w:t>
            </w:r>
          </w:p>
        </w:tc>
        <w:tc>
          <w:tcPr>
            <w:tcW w:type="dxa" w:w="3312"/>
          </w:tcPr>
          <w:p>
            <w:r>
              <w:rPr>
                <w:sz w:val="19"/>
              </w:rPr>
            </w:r>
            <w:r>
              <w:rPr>
                <w:sz w:val="19"/>
              </w:rPr>
              <w:t>No — hints, questions, page pointers only</w:t>
            </w:r>
          </w:p>
        </w:tc>
        <w:tc>
          <w:tcPr>
            <w:tcW w:type="dxa" w:w="3312"/>
          </w:tcPr>
          <w:p>
            <w:r>
              <w:rPr>
                <w:sz w:val="19"/>
              </w:rPr>
            </w:r>
            <w:r>
              <w:rPr>
                <w:sz w:val="19"/>
              </w:rPr>
              <w:t>Yes</w:t>
            </w:r>
          </w:p>
        </w:tc>
      </w:tr>
      <w:tr>
        <w:tc>
          <w:tcPr>
            <w:tcW w:type="dxa" w:w="3312"/>
          </w:tcPr>
          <w:p>
            <w:r>
              <w:rPr>
                <w:sz w:val="19"/>
              </w:rPr>
            </w:r>
            <w:r>
              <w:rPr>
                <w:sz w:val="19"/>
              </w:rPr>
              <w:t>May you discuss the homework questions?</w:t>
            </w:r>
          </w:p>
        </w:tc>
        <w:tc>
          <w:tcPr>
            <w:tcW w:type="dxa" w:w="3312"/>
          </w:tcPr>
          <w:p>
            <w:r>
              <w:rPr>
                <w:sz w:val="19"/>
              </w:rPr>
            </w:r>
            <w:r>
              <w:rPr>
                <w:sz w:val="19"/>
              </w:rPr>
              <w:t>Yes, one at a time, word for word</w:t>
            </w:r>
          </w:p>
        </w:tc>
        <w:tc>
          <w:tcPr>
            <w:tcW w:type="dxa" w:w="3312"/>
          </w:tcPr>
          <w:p>
            <w:r>
              <w:rPr>
                <w:sz w:val="19"/>
              </w:rPr>
            </w:r>
            <w:r>
              <w:rPr>
                <w:b/>
                <w:sz w:val="19"/>
              </w:rPr>
              <w:t>No.</w:t>
            </w:r>
            <w:r>
              <w:rPr>
                <w:sz w:val="19"/>
              </w:rPr>
              <w:t xml:space="preserve"> Keep to the concept. The moment it drifts into a homework question, stop</w:t>
            </w:r>
          </w:p>
        </w:tc>
      </w:tr>
      <w:tr>
        <w:tc>
          <w:tcPr>
            <w:tcW w:type="dxa" w:w="3312"/>
          </w:tcPr>
          <w:p>
            <w:r>
              <w:rPr>
                <w:sz w:val="19"/>
              </w:rPr>
            </w:r>
            <w:r>
              <w:rPr>
                <w:sz w:val="19"/>
              </w:rPr>
              <w:t>Case pages</w:t>
            </w:r>
          </w:p>
        </w:tc>
        <w:tc>
          <w:tcPr>
            <w:tcW w:type="dxa" w:w="3312"/>
          </w:tcPr>
          <w:p>
            <w:r>
              <w:rPr>
                <w:sz w:val="19"/>
              </w:rPr>
            </w:r>
            <w:r>
              <w:rPr>
                <w:sz w:val="19"/>
              </w:rPr>
              <w:t>"case p. X"</w:t>
            </w:r>
          </w:p>
        </w:tc>
        <w:tc>
          <w:tcPr>
            <w:tcW w:type="dxa" w:w="3312"/>
          </w:tcPr>
          <w:p>
            <w:r>
              <w:rPr>
                <w:sz w:val="19"/>
              </w:rPr>
            </w:r>
            <w:r>
              <w:rPr>
                <w:sz w:val="19"/>
              </w:rPr>
              <w:t xml:space="preserve">"case p. X" </w:t>
            </w:r>
            <w:r>
              <w:rPr>
                <w:b/>
                <w:sz w:val="19"/>
              </w:rPr>
              <w:t>and</w:t>
            </w:r>
            <w:r>
              <w:rPr>
                <w:sz w:val="19"/>
              </w:rPr>
              <w:t xml:space="preserve"> "textbook section Y"</w:t>
            </w:r>
          </w:p>
        </w:tc>
      </w:tr>
      <w:tr>
        <w:tc>
          <w:tcPr>
            <w:tcW w:type="dxa" w:w="3312"/>
          </w:tcPr>
          <w:p>
            <w:r>
              <w:rPr>
                <w:sz w:val="19"/>
              </w:rPr>
            </w:r>
            <w:r>
              <w:rPr>
                <w:sz w:val="19"/>
              </w:rPr>
              <w:t>Who stops?</w:t>
            </w:r>
          </w:p>
        </w:tc>
        <w:tc>
          <w:tcPr>
            <w:tcW w:type="dxa" w:w="3312"/>
          </w:tcPr>
          <w:p>
            <w:r>
              <w:rPr>
                <w:sz w:val="19"/>
              </w:rPr>
            </w:r>
            <w:r>
              <w:rPr>
                <w:sz w:val="19"/>
              </w:rPr>
              <w:t>You, after 2–3 defended rounds</w:t>
            </w:r>
          </w:p>
        </w:tc>
        <w:tc>
          <w:tcPr>
            <w:tcW w:type="dxa" w:w="3312"/>
          </w:tcPr>
          <w:p>
            <w:r>
              <w:rPr>
                <w:sz w:val="19"/>
              </w:rPr>
            </w:r>
            <w:r>
              <w:rPr>
                <w:sz w:val="19"/>
              </w:rPr>
              <w:t>You, when you can explain the concept back in your own words</w:t>
            </w:r>
          </w:p>
        </w:tc>
      </w:tr>
      <w:tr>
        <w:tc>
          <w:tcPr>
            <w:tcW w:type="dxa" w:w="3312"/>
          </w:tcPr>
          <w:p>
            <w:r>
              <w:rPr>
                <w:sz w:val="19"/>
              </w:rPr>
            </w:r>
            <w:r>
              <w:rPr>
                <w:sz w:val="19"/>
              </w:rPr>
              <w:t>Where it shows in your submission</w:t>
            </w:r>
          </w:p>
        </w:tc>
        <w:tc>
          <w:tcPr>
            <w:tcW w:type="dxa" w:w="3312"/>
          </w:tcPr>
          <w:p>
            <w:r>
              <w:rPr>
                <w:sz w:val="19"/>
              </w:rPr>
            </w:r>
            <w:r>
              <w:rPr>
                <w:sz w:val="19"/>
              </w:rPr>
              <w:t>Box C + transcript link</w:t>
            </w:r>
          </w:p>
        </w:tc>
        <w:tc>
          <w:tcPr>
            <w:tcW w:type="dxa" w:w="3312"/>
          </w:tcPr>
          <w:p>
            <w:r>
              <w:rPr>
                <w:sz w:val="19"/>
              </w:rPr>
            </w:r>
            <w:r>
              <w:rPr>
                <w:sz w:val="19"/>
              </w:rPr>
              <w:t>One sentence in your overall synthesis ("I ran a study-partner session on the SCA chapter before starting")</w:t>
            </w:r>
          </w:p>
        </w:tc>
      </w:tr>
    </w:tbl>
    <w:p/>
    <w:p>
      <w:r>
        <w:t>Ground rules for the study session: it is a separate conversation from the graded one (start the graded session fresh with the starter prompt); nothing the study partner says goes into Box B in its words; Box A is still your own first take, written before the graded session; keep it to 10–15 minutes.</w:t>
      </w:r>
    </w:p>
    <w:p>
      <w:pPr>
        <w:pStyle w:val="Heading2"/>
      </w:pPr>
      <w:r>
        <w:t>Setup (3 steps)</w:t>
      </w:r>
    </w:p>
    <w:p>
      <w:pPr>
        <w:pStyle w:val="ListNumber"/>
      </w:pPr>
      <w:r>
        <w:t xml:space="preserve">Get two files ready: the </w:t>
      </w:r>
      <w:r>
        <w:rPr>
          <w:b/>
        </w:rPr>
        <w:t>Aldi case PDF</w:t>
      </w:r>
      <w:r>
        <w:t xml:space="preserve"> (Canvas → Instant Access Complete) and the </w:t>
      </w:r>
      <w:r>
        <w:rPr>
          <w:b/>
        </w:rPr>
        <w:t>Marketing Principle #3 chapter, "All Competitors React"</w:t>
      </w:r>
      <w:r>
        <w:t xml:space="preserve"> (the sustainable-competitive-advantage chapter of the course textbook; save it as a file you can attach).</w:t>
      </w:r>
    </w:p>
    <w:p>
      <w:pPr>
        <w:pStyle w:val="ListNumber"/>
      </w:pPr>
      <w:r>
        <w:t xml:space="preserve">Start a voice session in ChatGPT, attach </w:t>
      </w:r>
      <w:r>
        <w:rPr>
          <w:b/>
        </w:rPr>
        <w:t>both</w:t>
      </w:r>
      <w:r>
        <w:t xml:space="preserve"> files with the + button, paste the prompt below in the same message, and send.</w:t>
      </w:r>
    </w:p>
    <w:p>
      <w:pPr>
        <w:pStyle w:val="ListNumber"/>
      </w:pPr>
      <w:r>
        <w:t>Talk. Explain the concept back in your own words at least once before you stop.</w:t>
      </w:r>
    </w:p>
    <w:p>
      <w:pPr>
        <w:pStyle w:val="Heading2"/>
      </w:pPr>
      <w:r>
        <w:t>The prompt (Aldi version)</w:t>
      </w:r>
    </w:p>
    <w:p>
      <w:pPr>
        <w:ind w:left="432"/>
      </w:pPr>
      <w:r>
        <w:rPr>
          <w:i/>
          <w:sz w:val="19"/>
        </w:rPr>
        <w:t>Be my study partner for the attached textbook chapter and the attached case, "Aldi and the Hard-Discounters' March Across America." Explain the chapter's idea of sustainable competitive advantage in two minutes. Then ask me how it applies to Aldi's SKU discipline and private labels, and push back on my answer. Point me to the case page as "case p. X" and the textbook section by its heading as "section Y." Do not discuss my homework questions; if I bring one up, tell me to save it for the graded session. When I say I have enough, stop.</w:t>
      </w:r>
    </w:p>
    <w:p>
      <w:r>
        <w:t>To adapt it for another case: swap the case title, the chapter, and the one phrase after "how it applies to" (for Under Armour with the branding chapter: "how it applies to Under Armour's brand positioning against Nike").</w:t>
      </w:r>
    </w:p>
    <w:p>
      <w:pPr>
        <w:pStyle w:val="Heading2"/>
      </w:pPr>
      <w:r>
        <w:t>What a good session sounds like</w:t>
      </w:r>
    </w:p>
    <w:p>
      <w:r>
        <w:rPr>
          <w:i/>
        </w:rPr>
        <w:t>Illustrative transcript written by the instructor, not a real student's. Page numbers are the case's printed pages (11-page Thunderbird case A08-20-0005); section names are the chapter's headings. The "Notice" lines are the point of the example.</w:t>
      </w:r>
    </w:p>
    <w:p>
      <w:r>
        <w:rPr>
          <w:b/>
        </w:rPr>
        <w:t>Study partner (about two minutes):</w:t>
      </w:r>
      <w:r>
        <w:t xml:space="preserve"> The chapter's Marketing Principle #3 is that all competitors react: whatever you do, rivals will copy it, counter it, or innovate around it. So the challenge is not building an advantage but a </w:t>
      </w:r>
      <w:r>
        <w:rPr>
          <w:i/>
        </w:rPr>
        <w:t>sustainable</w:t>
      </w:r>
      <w:r>
        <w:t xml:space="preserve"> one. In the section "Managing Competitive Reactions" the chapter gives three questions to test any advantage: can the firm do it better than competitors, will customers care, and will it be hard to duplicate? The third question is what "sustainable" means. Then "Three Routes to Sustainable Competitive Advantage," Table 10.1, names three sources with their barriers to imitation: brands (mental associations, trademark), offerings (patents, plus cost and performance advantages from experience in production and delivery), and relationships (interpersonal bonds and trust that take years to build). The BOR section says the three work together, like Starbucks: brand, drink, and the barista who knows your order. One last idea from the "Competitive Response Theory" spotlight: close rivals usually answer with a like-kind response, a price cut for a price cut.</w:t>
      </w:r>
    </w:p>
    <w:p>
      <w:r>
        <w:rPr>
          <w:i/>
        </w:rPr>
        <w:t>Notice: the partner explains. That is allowed here and forbidden in the graded session.</w:t>
      </w:r>
    </w:p>
    <w:p>
      <w:r>
        <w:rPr>
          <w:b/>
        </w:rPr>
        <w:t>Study partner:</w:t>
      </w:r>
      <w:r>
        <w:t xml:space="preserve"> Now you. Aldi carries about 1,400 SKUs and over 90 percent private label (case p. 7). Which route is that, and which of the three questions does it pass?</w:t>
      </w:r>
    </w:p>
    <w:p>
      <w:r>
        <w:rPr>
          <w:b/>
        </w:rPr>
        <w:t>Student:</w:t>
      </w:r>
      <w:r>
        <w:t xml:space="preserve"> Offerings. It is a cost advantage. Fewer SKUs, private labels, no national-brand advertising, so lower prices. Customers care: Exhibit 7 on case p. 7 has the same basket at $24.76 at Aldi versus $42.09 for Walmart's national brands.</w:t>
      </w:r>
    </w:p>
    <w:p>
      <w:r>
        <w:rPr>
          <w:b/>
        </w:rPr>
        <w:t>Study partner:</w:t>
      </w:r>
      <w:r>
        <w:t xml:space="preserve"> That answers questions one and two. Question three is the hard one. Kroger remodeled its Ruler Foods stores into an Aldi-style small-footprint private-label format and hired an Aldi veteran to run them (case p. 10). Lidl runs the same model (case p. 9). So is 1,400 SKUs hard to duplicate, or just hard to want?</w:t>
      </w:r>
    </w:p>
    <w:p>
      <w:r>
        <w:rPr>
          <w:i/>
        </w:rPr>
        <w:t>Notice: pushback with page cites, not a verdict.</w:t>
      </w:r>
    </w:p>
    <w:p>
      <w:r>
        <w:rPr>
          <w:b/>
        </w:rPr>
        <w:t>Student:</w:t>
      </w:r>
      <w:r>
        <w:t xml:space="preserve"> The format is copyable. The economics behind it are not. Jason Hart's quote on case p. 7: fewer SKUs means much more volume per SKU, which makes suppliers more efficient and cost prices lower. A traditional grocer went from 7,000 to over 40,000 SKUs (case p. 3) because its good-better-best customers expect choice; it cannot cut to 1,400 without walking away from them. And Lidl is the warning: it went to 4,000 SKUs with national brands and 20,000-square-foot stores and opened 53 of its 100 planned stores (case p. 9). Copying half the system breaks the system.</w:t>
      </w:r>
    </w:p>
    <w:p>
      <w:r>
        <w:rPr>
          <w:b/>
        </w:rPr>
        <w:t>Study partner:</w:t>
      </w:r>
      <w:r>
        <w:t xml:space="preserve"> Good. That is the "barriers to imitation" column of Table 10.1 for offerings: cost advantages from experience with the delivery system, not a patent. Now the private labels themselves. Are they only an offerings play?</w:t>
      </w:r>
    </w:p>
    <w:p>
      <w:r>
        <w:rPr>
          <w:b/>
        </w:rPr>
        <w:t>Student:</w:t>
      </w:r>
      <w:r>
        <w:t xml:space="preserve"> No, they are also the brand. Aldi tests over 60,000 products a year and each product at least 30 times before it reaches the store (case p. 8). Bain had Aldi with the highest Net Promoter Score among discount retailers (case p. 9), and IRI found 69 percent of shoppers now think private labels are as good as national brands (case p. 10). The store brand </w:t>
      </w:r>
      <w:r>
        <w:rPr>
          <w:i/>
        </w:rPr>
        <w:t>is</w:t>
      </w:r>
      <w:r>
        <w:t xml:space="preserve"> the brand.</w:t>
      </w:r>
    </w:p>
    <w:p>
      <w:r>
        <w:rPr>
          <w:b/>
        </w:rPr>
        <w:t>Study partner:</w:t>
      </w:r>
      <w:r>
        <w:t xml:space="preserve"> And the third route?</w:t>
      </w:r>
    </w:p>
    <w:p>
      <w:r>
        <w:rPr>
          <w:b/>
        </w:rPr>
        <w:t>Student:</w:t>
      </w:r>
      <w:r>
        <w:t xml:space="preserve"> Suppliers. Net/net pricing, no promotional discounts, display-ready pallets, multiple suppliers per category (case p. 8). That is the relationships route on the B2B side. So all three routes sit on one system, which is the BOR point.</w:t>
      </w:r>
    </w:p>
    <w:p>
      <w:r>
        <w:rPr>
          <w:i/>
        </w:rPr>
        <w:t>Notice: the student now explains the concept back in their own words, with case evidence. This is the exit condition.</w:t>
      </w:r>
    </w:p>
    <w:p>
      <w:r>
        <w:rPr>
          <w:b/>
        </w:rPr>
        <w:t>Study partner:</w:t>
      </w:r>
      <w:r>
        <w:t xml:space="preserve"> One more push. The chapter says competitors displace firms through copycats and like-kind responses. Case p. 11 says peers have nearly caught up in value-based pricing while Aldi drifts upmarket. Is the advantage beginning to atrophy?</w:t>
      </w:r>
    </w:p>
    <w:p>
      <w:r>
        <w:rPr>
          <w:b/>
        </w:rPr>
        <w:t>Student:</w:t>
      </w:r>
      <w:r>
        <w:t xml:space="preserve"> That is homework question territory, so I am going to stop here. I have what I came for: the three questions, the three routes and their barriers column, and like-kind response. I will take the atrophy question into the graded session with my own first take.</w:t>
      </w:r>
    </w:p>
    <w:p>
      <w:r>
        <w:rPr>
          <w:b/>
        </w:rPr>
        <w:t>Study partner:</w:t>
      </w:r>
      <w:r>
        <w:t xml:space="preserve"> Understood, stopping. If you reread anything: "Managing Competitive Reactions" for the three questions, Table 10.1 for the barriers, and the opening of "Managing Competitive Advantage: The BOR Equity Concept" for how the routes combine.</w:t>
      </w:r>
    </w:p>
    <w:p>
      <w:r>
        <w:rPr>
          <w:i/>
        </w:rPr>
        <w:t>Notice: the student stopped on their own judgment and refused to let the study session become the homework. Whether you have enough is your call, not the AI's.</w:t>
      </w:r>
    </w:p>
    <w:p>
      <w:pPr>
        <w:pStyle w:val="Heading2"/>
      </w:pPr>
      <w:r>
        <w:t>What to carry into the graded session</w:t>
      </w:r>
    </w:p>
    <w:p>
      <w:pPr>
        <w:pStyle w:val="ListBullet"/>
      </w:pPr>
      <w:r>
        <w:t xml:space="preserve">The concept in </w:t>
      </w:r>
      <w:r>
        <w:rPr>
          <w:b/>
        </w:rPr>
        <w:t>your</w:t>
      </w:r>
      <w:r>
        <w:t xml:space="preserve"> words: the three questions, the three routes, and what "hard to duplicate" means for a system of choices rather than a single feature.</w:t>
      </w:r>
    </w:p>
    <w:p>
      <w:pPr>
        <w:pStyle w:val="ListBullet"/>
      </w:pPr>
      <w:r>
        <w:t>Page numbers you verified yourself while talking (case p. 3, 7, 8, 9, 10, 11 above).</w:t>
      </w:r>
    </w:p>
    <w:p>
      <w:pPr>
        <w:pStyle w:val="ListBullet"/>
      </w:pPr>
      <w:r>
        <w:t>The habit of asking "which of the three questions does this pass?" whenever the tutor pushes on an advantage.</w:t>
      </w:r>
    </w:p>
    <w:p>
      <w:pPr>
        <w:pStyle w:val="Heading2"/>
      </w:pPr>
      <w:r>
        <w:t>What not to carry</w:t>
      </w:r>
    </w:p>
    <w:p>
      <w:pPr>
        <w:pStyle w:val="ListBullet"/>
      </w:pPr>
      <w:r>
        <w:t>The partner's sentences. Box B is graded on your reasoning, and the partner's phrasing in your answer reads as the AI's work.</w:t>
      </w:r>
    </w:p>
    <w:p>
      <w:pPr>
        <w:pStyle w:val="ListBullet"/>
      </w:pPr>
      <w:r>
        <w:t>Any answer to a homework question. If it slipped in, do not use it; write Box A from scratch.</w:t>
      </w:r>
    </w:p>
    <w:p>
      <w:pPr>
        <w:pStyle w:val="ListBullet"/>
      </w:pPr>
      <w:r>
        <w:t>A transcript link. The graded transcript is the starter-prompt session only. Mention the study session in one line of your synthesis instead.</w:t>
      </w:r>
    </w:p>
    <w:p>
      <w:pPr>
        <w:pStyle w:val="Heading2"/>
      </w:pPr>
      <w:r>
        <w:t>Chapter map (section headings to cite)</w:t>
      </w:r>
    </w:p>
    <w:tbl>
      <w:tblPr>
        <w:tblStyle w:val="TableGrid"/>
        <w:tblW w:type="auto" w:w="0"/>
        <w:tblLook w:firstColumn="1" w:firstRow="1" w:lastColumn="0" w:lastRow="0" w:noHBand="0" w:noVBand="1" w:val="04A0"/>
      </w:tblPr>
      <w:tblGrid>
        <w:gridCol w:w="4968"/>
        <w:gridCol w:w="4968"/>
      </w:tblGrid>
      <w:tr>
        <w:tc>
          <w:tcPr>
            <w:tcW w:type="dxa" w:w="4968"/>
          </w:tcPr>
          <w:p>
            <w:r>
              <w:rPr>
                <w:b/>
                <w:sz w:val="19"/>
              </w:rPr>
            </w:r>
            <w:r>
              <w:rPr>
                <w:b/>
                <w:sz w:val="19"/>
              </w:rPr>
              <w:t>Concept</w:t>
            </w:r>
          </w:p>
        </w:tc>
        <w:tc>
          <w:tcPr>
            <w:tcW w:type="dxa" w:w="4968"/>
          </w:tcPr>
          <w:p>
            <w:r>
              <w:rPr>
                <w:b/>
                <w:sz w:val="19"/>
              </w:rPr>
            </w:r>
            <w:r>
              <w:rPr>
                <w:b/>
                <w:sz w:val="19"/>
              </w:rPr>
              <w:t>Cite as</w:t>
            </w:r>
          </w:p>
        </w:tc>
      </w:tr>
      <w:tr>
        <w:tc>
          <w:tcPr>
            <w:tcW w:type="dxa" w:w="4968"/>
          </w:tcPr>
          <w:p>
            <w:r>
              <w:rPr>
                <w:sz w:val="19"/>
              </w:rPr>
            </w:r>
            <w:r>
              <w:rPr>
                <w:sz w:val="19"/>
              </w:rPr>
              <w:t>All competitors react; managing SCA is the key challenge</w:t>
            </w:r>
          </w:p>
        </w:tc>
        <w:tc>
          <w:tcPr>
            <w:tcW w:type="dxa" w:w="4968"/>
          </w:tcPr>
          <w:p>
            <w:r>
              <w:rPr>
                <w:sz w:val="19"/>
              </w:rPr>
            </w:r>
            <w:r>
              <w:rPr>
                <w:sz w:val="19"/>
              </w:rPr>
              <w:t>"Introduction to Marketing Principle #3"</w:t>
            </w:r>
          </w:p>
        </w:tc>
      </w:tr>
      <w:tr>
        <w:tc>
          <w:tcPr>
            <w:tcW w:type="dxa" w:w="4968"/>
          </w:tcPr>
          <w:p>
            <w:r>
              <w:rPr>
                <w:sz w:val="19"/>
              </w:rPr>
            </w:r>
            <w:r>
              <w:rPr>
                <w:sz w:val="19"/>
              </w:rPr>
              <w:t>The three questions (better? customers care? hard to duplicate?)</w:t>
            </w:r>
          </w:p>
        </w:tc>
        <w:tc>
          <w:tcPr>
            <w:tcW w:type="dxa" w:w="4968"/>
          </w:tcPr>
          <w:p>
            <w:r>
              <w:rPr>
                <w:sz w:val="19"/>
              </w:rPr>
            </w:r>
            <w:r>
              <w:rPr>
                <w:sz w:val="19"/>
              </w:rPr>
              <w:t>"Managing Competitive Reactions"</w:t>
            </w:r>
          </w:p>
        </w:tc>
      </w:tr>
      <w:tr>
        <w:tc>
          <w:tcPr>
            <w:tcW w:type="dxa" w:w="4968"/>
          </w:tcPr>
          <w:p>
            <w:r>
              <w:rPr>
                <w:sz w:val="19"/>
              </w:rPr>
            </w:r>
            <w:r>
              <w:rPr>
                <w:sz w:val="19"/>
              </w:rPr>
              <w:t>Like-kind response; define the competitor set first</w:t>
            </w:r>
          </w:p>
        </w:tc>
        <w:tc>
          <w:tcPr>
            <w:tcW w:type="dxa" w:w="4968"/>
          </w:tcPr>
          <w:p>
            <w:r>
              <w:rPr>
                <w:sz w:val="19"/>
              </w:rPr>
            </w:r>
            <w:r>
              <w:rPr>
                <w:sz w:val="19"/>
              </w:rPr>
              <w:t>Theory Spotlight: "Competitive Response Theory"</w:t>
            </w:r>
          </w:p>
        </w:tc>
      </w:tr>
      <w:tr>
        <w:tc>
          <w:tcPr>
            <w:tcW w:type="dxa" w:w="4968"/>
          </w:tcPr>
          <w:p>
            <w:r>
              <w:rPr>
                <w:sz w:val="19"/>
              </w:rPr>
            </w:r>
            <w:r>
              <w:rPr>
                <w:sz w:val="19"/>
              </w:rPr>
              <w:t>How competitors displace an SCA (disruption, changing desires, copycats)</w:t>
            </w:r>
          </w:p>
        </w:tc>
        <w:tc>
          <w:tcPr>
            <w:tcW w:type="dxa" w:w="4968"/>
          </w:tcPr>
          <w:p>
            <w:r>
              <w:rPr>
                <w:sz w:val="19"/>
              </w:rPr>
            </w:r>
            <w:r>
              <w:rPr>
                <w:sz w:val="19"/>
              </w:rPr>
              <w:t>"Why Are Competitive Reactions So Important?"</w:t>
            </w:r>
          </w:p>
        </w:tc>
      </w:tr>
      <w:tr>
        <w:tc>
          <w:tcPr>
            <w:tcW w:type="dxa" w:w="4968"/>
          </w:tcPr>
          <w:p>
            <w:r>
              <w:rPr>
                <w:sz w:val="19"/>
              </w:rPr>
            </w:r>
            <w:r>
              <w:rPr>
                <w:sz w:val="19"/>
              </w:rPr>
              <w:t>Brands / offerings / relationships and their barriers to imitation</w:t>
            </w:r>
          </w:p>
        </w:tc>
        <w:tc>
          <w:tcPr>
            <w:tcW w:type="dxa" w:w="4968"/>
          </w:tcPr>
          <w:p>
            <w:r>
              <w:rPr>
                <w:sz w:val="19"/>
              </w:rPr>
            </w:r>
            <w:r>
              <w:rPr>
                <w:sz w:val="19"/>
              </w:rPr>
              <w:t>"Three Routes to Sustainable Competitive Advantage," Table 10.1</w:t>
            </w:r>
          </w:p>
        </w:tc>
      </w:tr>
      <w:tr>
        <w:tc>
          <w:tcPr>
            <w:tcW w:type="dxa" w:w="4968"/>
          </w:tcPr>
          <w:p>
            <w:r>
              <w:rPr>
                <w:sz w:val="19"/>
              </w:rPr>
            </w:r>
            <w:r>
              <w:rPr>
                <w:sz w:val="19"/>
              </w:rPr>
              <w:t>The routes work together; BOR equity; the BOR equity stack</w:t>
            </w:r>
          </w:p>
        </w:tc>
        <w:tc>
          <w:tcPr>
            <w:tcW w:type="dxa" w:w="4968"/>
          </w:tcPr>
          <w:p>
            <w:r>
              <w:rPr>
                <w:sz w:val="19"/>
              </w:rPr>
            </w:r>
            <w:r>
              <w:rPr>
                <w:sz w:val="19"/>
              </w:rPr>
              <w:t>"Managing Competitive Advantage: The BOR Equity Concept," Figure 10.2</w:t>
            </w:r>
          </w:p>
        </w:tc>
      </w:tr>
    </w:tbl>
    <w:p/>
    <w:p>
      <w:r>
        <w:t>---</w:t>
      </w:r>
    </w:p>
    <w:p>
      <w:r>
        <w:rPr>
          <w:i/>
        </w:rPr>
        <w:t>SPOT policy: this worked example is semester-agnostic and updated in place. Change log: 2026-09-09 — created for the Wed Sep 9 Kindle Fire debrief demo (study-partner mode) and the Aldi cycle.</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212B36"/>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B5E4B"/>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B5E4B"/>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