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Aldi and the Hard-Discounters' March Across America</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50 raw: 4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export as PDF (File → Save As → PDF), upload the PDF to Canvas.</w:t>
            </w:r>
          </w:p>
        </w:tc>
      </w:tr>
    </w:tbl>
    <w:p/>
    <w:p>
      <w:pPr>
        <w:pStyle w:val="Heading1"/>
      </w:pPr>
      <w:r>
        <w:t>The gist</w:t>
      </w:r>
    </w:p>
    <w:p>
      <w:r>
        <w:t>Aldi has quietly become the most feared grocer in America by doing less, deliberately — fewer SKUs, private labels, brutal cost discipline. You are the industry analyst: map the competitive structure of U.S. grocery retailing, explain why Aldi keeps winning, decide whether its advantage is actually sustainable, and advise both Aldi and its rivals on what to do next.</w:t>
      </w:r>
    </w:p>
    <w:p>
      <w:r>
        <w:rPr>
          <w:b/>
        </w:rPr>
        <w:t xml:space="preserve">Where to find the case: </w:t>
      </w:r>
      <w:r>
        <w:t>The Aldi case PDF can be accessed on Canvas → Instant Access Complete (export as PDF if needed).</w:t>
      </w:r>
    </w:p>
    <w:p>
      <w:pPr>
        <w:pStyle w:val="Heading1"/>
      </w:pPr>
      <w:r>
        <w:t>How you'll be graded</w:t>
      </w:r>
    </w:p>
    <w:p>
      <w:r>
        <w:t>Every question is scored on the same five criteria. The same rubric applies to every case this term — internalize it once.</w:t>
      </w:r>
    </w:p>
    <w:p>
      <w:r>
        <w:t>This case uses the three-box format: for each question, Box B (your final answer) is graded for content; Boxes A and C are graded on the human-first-process criterion. The goal is for you to SEE where AI elevates your case work — and where it doesn't.</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Human-first process &amp; AI leverage</w:t>
            </w:r>
          </w:p>
        </w:tc>
        <w:tc>
          <w:tcPr>
            <w:tcW w:type="dxa" w:w="1008"/>
          </w:tcPr>
          <w:p>
            <w:r>
              <w:t>20%</w:t>
            </w:r>
          </w:p>
        </w:tc>
        <w:tc>
          <w:tcPr>
            <w:tcW w:type="dxa" w:w="2880"/>
          </w:tcPr>
          <w:p>
            <w:r>
              <w:t>Honest first take (Box A) written before AI; at least 3 substantive exchanges per question visibly linked to specific improvements (stating the assignment question to set the agenda is fine — it just doesn't count as one); at least one rejected AI suggestion with a reason (Box C);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Know when to stop. A tutor will push forever — that is not a signal your answer is bad. After 2–3 rounds on a question, decide it is good enough, write Box B, and move on. "Defended and good enough" is YOUR judgment call, and making it is part of what is graded.</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WHOLE conversation into a Google Doc, set it to "Anyone with the link" (Viewer), and paste that link in the Transcript link field at the end of this document. Do NOT paste a chatgpt.com/c/ conversation URL (private — the grader cannot open it), a OneDrive link (needs a login), or a summary — the full conversation is what is graded. Test the link in a private browser window.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"Aldi and the Hard-Discounters' March Across America".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 Two more rules. Pages: when you point me to pages, use the page number printed on the case page itself and say "case p. X" — never the PDF viewer's page counter; if the attached file is a course pack, the case's own numbering starts at 1 on the case's first page. Stopping: once I have defended a position through two or three rounds, tell me it is defensible enough to write up and stop raising new objections — whether it is good enough is my call, not yours.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For each question, work the three boxes IN ORDER: write Box A before any AI touches the question; then use AI to build your final answer in Box B; then document what changed in Box C.</w:t>
      </w:r>
    </w:p>
    <w:p>
      <w:pPr>
        <w:pStyle w:val="Heading2"/>
      </w:pPr>
      <w:r>
        <w:t>Question 1</w:t>
      </w:r>
    </w:p>
    <w:p>
      <w:r>
        <w:rPr>
          <w:b/>
        </w:rPr>
        <w:t>How would you describe the competitive structure of the U.S. grocery retailing industry? What are the key forces driving the competitiveness of the industry? What major changes can one envisage looking ahead to the future?</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2</w:t>
      </w:r>
    </w:p>
    <w:p>
      <w:r>
        <w:rPr>
          <w:b/>
        </w:rPr>
        <w:t>Why has Aldi emerged as a leader among hard-discounters in the grocery business? What are the roots of its competitive advantage? How has Aldi deployed its resources to secure competitive advantage in the industry?</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3</w:t>
      </w:r>
    </w:p>
    <w:p>
      <w:r>
        <w:rPr>
          <w:b/>
        </w:rPr>
        <w:t>Does Aldi have any sustainable competitive advantages (i.e., SCAs)?</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2"/>
      </w:pPr>
      <w:r>
        <w:t>Question 4</w:t>
      </w:r>
    </w:p>
    <w:p>
      <w:r>
        <w:rPr>
          <w:b/>
        </w:rPr>
        <w:t>As Aldi looks ahead to a future where its peers are nipping at its heels, what changes would you suggest that Aldi make in retaining its position as a leader? How can its peers compete against Aldi? What are the chinks in Aldi's armor that competitors can take advantage of?</w:t>
      </w:r>
    </w:p>
    <w:p>
      <w:r>
        <w:rPr>
          <w:b/>
        </w:rPr>
        <w:t xml:space="preserve">Heads-up: </w:t>
      </w:r>
      <w:r>
        <w:t>Answer all three sub-questions: changes for Aldi, how peers can compete, and the chinks in Aldi's armor. This was the lowest-scoring question in a prior cohort — mostly from answering only one part.</w:t>
      </w:r>
    </w:p>
    <w:p>
      <w:r>
        <w:rPr>
          <w:i/>
        </w:rPr>
        <w:t>Box A — First take, before any AI (100–200 words; bullets fine; ugly is fine): commit to a position, your best case evidence, and what you're unsure about. Graded for honest commitment, not polish.</w:t>
      </w:r>
    </w:p>
    <w:tbl>
      <w:tblPr>
        <w:tblStyle w:val="TableGrid"/>
        <w:tblW w:type="auto" w:w="0"/>
        <w:tblLook w:firstColumn="1" w:firstRow="1" w:lastColumn="0" w:lastRow="0" w:noHBand="0" w:noVBand="1" w:val="04A0"/>
      </w:tblPr>
      <w:tblGrid>
        <w:gridCol w:w="8640"/>
      </w:tblGrid>
      <w:tr>
        <w:tc>
          <w:tcPr>
            <w:tcW w:type="dxa" w:w="8640"/>
          </w:tcPr>
          <w:p>
            <w:r/>
            <w:r>
              <w:rPr>
                <w:b/>
              </w:rPr>
              <w:t>Box A — First take (no AI):</w:t>
            </w:r>
          </w:p>
          <w:p>
            <w:r>
              <w:t xml:space="preserve"> </w:t>
            </w:r>
          </w:p>
          <w:p>
            <w:r>
              <w:t xml:space="preserve"> </w:t>
            </w:r>
          </w:p>
          <w:p>
            <w:r>
              <w:t xml:space="preserve"> </w:t>
            </w:r>
          </w:p>
          <w:p>
            <w:r>
              <w:t xml:space="preserve"> </w:t>
            </w:r>
          </w:p>
          <w:p>
            <w:r>
              <w:t xml:space="preserve"> </w:t>
            </w:r>
          </w:p>
          <w:p>
            <w:r>
              <w:t xml:space="preserve"> </w:t>
            </w:r>
          </w:p>
        </w:tc>
      </w:tr>
    </w:tbl>
    <w:p>
      <w:r>
        <w:rPr>
          <w:i/>
        </w:rPr>
        <w:t>Box B — Final answer, AI-assisted (250–500 words, hard cap 600; tables and calculations do not count). This is the box graded for content.</w:t>
      </w:r>
    </w:p>
    <w:tbl>
      <w:tblPr>
        <w:tblStyle w:val="TableGrid"/>
        <w:tblW w:type="auto" w:w="0"/>
        <w:tblLook w:firstColumn="1" w:firstRow="1" w:lastColumn="0" w:lastRow="0" w:noHBand="0" w:noVBand="1" w:val="04A0"/>
      </w:tblPr>
      <w:tblGrid>
        <w:gridCol w:w="8640"/>
      </w:tblGrid>
      <w:tr>
        <w:tc>
          <w:tcPr>
            <w:tcW w:type="dxa" w:w="8640"/>
          </w:tcPr>
          <w:p>
            <w:r/>
            <w:r>
              <w:rPr>
                <w:b/>
              </w:rPr>
              <w:t>Box B — Final answer (AI-assisted):</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r>
        <w:rPr>
          <w:i/>
        </w:rPr>
        <w:t>Box C — Delta log: fill all three rows. Bullets are fine. Reading the homework question aloud to set the agenda doesn't count as an exchange.</w:t>
      </w:r>
    </w:p>
    <w:tbl>
      <w:tblPr>
        <w:tblStyle w:val="TableGrid"/>
        <w:tblW w:type="auto" w:w="0"/>
        <w:tblLook w:firstColumn="1" w:firstRow="1" w:lastColumn="0" w:lastRow="0" w:noHBand="0" w:noVBand="1" w:val="04A0"/>
      </w:tblPr>
      <w:tblGrid>
        <w:gridCol w:w="8640"/>
      </w:tblGrid>
      <w:tr>
        <w:tc>
          <w:tcPr>
            <w:tcW w:type="dxa" w:w="8640"/>
          </w:tcPr>
          <w:p>
            <w:r/>
            <w:r>
              <w:rPr>
                <w:b/>
              </w:rPr>
              <w:t>Box C — Delta log:</w:t>
            </w:r>
          </w:p>
        </w:tc>
      </w:tr>
      <w:tr>
        <w:tc>
          <w:tcPr>
            <w:tcW w:type="dxa" w:w="8640"/>
          </w:tcPr>
          <w:p>
            <w:r/>
            <w:r>
              <w:rPr>
                <w:b/>
              </w:rPr>
              <w:t>Exchanges (3+ substantive: your positions / follow-ups / pushbacks):</w:t>
            </w:r>
          </w:p>
          <w:p>
            <w:r>
              <w:t xml:space="preserve"> </w:t>
            </w:r>
          </w:p>
          <w:p>
            <w:r>
              <w:t xml:space="preserve"> </w:t>
            </w:r>
          </w:p>
          <w:p>
            <w:r>
              <w:t xml:space="preserve"> </w:t>
            </w:r>
          </w:p>
          <w:p>
            <w:r>
              <w:t xml:space="preserve"> </w:t>
            </w:r>
          </w:p>
        </w:tc>
      </w:tr>
      <w:tr>
        <w:tc>
          <w:tcPr>
            <w:tcW w:type="dxa" w:w="8640"/>
          </w:tcPr>
          <w:p>
            <w:r/>
            <w:r>
              <w:rPr>
                <w:b/>
              </w:rPr>
              <w:t>What changed Box A -&gt; Box B — one tag per change: [evidence] [structure] [counterargument] [math check] [wording]:</w:t>
            </w:r>
          </w:p>
          <w:p>
            <w:r>
              <w:t xml:space="preserve"> </w:t>
            </w:r>
          </w:p>
          <w:p>
            <w:r>
              <w:t xml:space="preserve"> </w:t>
            </w:r>
          </w:p>
          <w:p>
            <w:r>
              <w:t xml:space="preserve"> </w:t>
            </w:r>
          </w:p>
          <w:p>
            <w:r>
              <w:t xml:space="preserve"> </w:t>
            </w:r>
          </w:p>
        </w:tc>
      </w:tr>
      <w:tr>
        <w:tc>
          <w:tcPr>
            <w:tcW w:type="dxa" w:w="8640"/>
          </w:tcPr>
          <w:p>
            <w:r/>
            <w:r>
              <w:rPr>
                <w:b/>
              </w:rPr>
              <w:t>AI suggestion you REJECTED + why (required):</w:t>
            </w:r>
          </w:p>
          <w:p>
            <w:r>
              <w:t xml:space="preserve"> </w:t>
            </w:r>
          </w:p>
          <w:p>
            <w:r>
              <w:t xml:space="preserve"> </w:t>
            </w:r>
          </w:p>
        </w:tc>
      </w:tr>
    </w:tbl>
    <w:p/>
    <w:p>
      <w:pPr>
        <w:pStyle w:val="Heading1"/>
      </w:pPr>
      <w:r>
        <w:t>AI Usage Reflection</w:t>
      </w:r>
    </w:p>
    <w:p>
      <w:r>
        <w:t>Your per-question prompts and improvements live in the Box C delta logs above. Close out with the overall picture:</w:t>
      </w:r>
    </w:p>
    <w:p>
      <w:pPr>
        <w:pStyle w:val="Heading2"/>
      </w:pPr>
      <w:r>
        <w:t>Overall synthesis</w:t>
      </w:r>
    </w:p>
    <w:p>
      <w:r>
        <w:rPr>
          <w:i/>
        </w:rPr>
        <w:t>100–250 words, looking across ALL your delta logs: where did AI most elevate your case work; where did it add least (or mislead you); where did YOU decide an answer was good enough and stop, and why; and what will you do differently on the next case?</w:t>
      </w:r>
    </w:p>
    <w:tbl>
      <w:tblPr>
        <w:tblStyle w:val="TableGrid"/>
        <w:tblW w:type="auto" w:w="0"/>
        <w:tblLook w:firstColumn="1" w:firstRow="1" w:lastColumn="0" w:lastRow="0" w:noHBand="0" w:noVBand="1" w:val="04A0"/>
      </w:tblPr>
      <w:tblGrid>
        <w:gridCol w:w="8640"/>
      </w:tblGrid>
      <w:tr>
        <w:tc>
          <w:tcPr>
            <w:tcW w:type="dxa" w:w="8640"/>
          </w:tcPr>
          <w:p>
            <w:r/>
            <w:r>
              <w:rPr>
                <w:b/>
              </w:rPr>
              <w:t>Your synthesis:</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the link to a Google Doc containing the WHOLE conversation, shared as "Anyone with the link" (Viewer) — not the transcript text, not a summary, not a chatgpt.com/c/ URL, not a login-gated OneDrive link. A link the grader cannot open counts as no link.</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use the page number printed on the case page, in parentheses (e.g., "sold at cost (case p. 13)"). If your tutor gave course-pack or PDF-viewer pages, convert them before submitting.</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export to PDF, verify the PDF renders correctly before upload.</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