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 Extracting evidence on synthetic respondents</w:t>
      </w:r>
    </w:p>
    <w:p>
      <w:r>
        <w:t>Use published results to judge how well AI-generated responses match human data. You will extract six specified results, verify each against its source, and explain one limitation. The same check carries into STAMP: from the Oct 9 lock on, every agreement number you report has to say what was compared with what.</w:t>
      </w:r>
    </w:p>
    <w:p>
      <w:r>
        <w:t>Individual work first, followed by team comparison  |  5 points  |  Individual DOCX due Sun Oct 11, 11:59 PM  |  Team reconciled copy due Wed Oct 14, 11:59 PM</w:t>
      </w:r>
    </w:p>
    <w:p>
      <w:pPr>
        <w:pStyle w:val="Heading1"/>
      </w:pPr>
      <w:r>
        <w:t>What you will learn</w:t>
      </w:r>
    </w:p>
    <w:p>
      <w:r>
        <w:t>Identify what a metric measures; distinguish a reported value from its uncertainty and benchmark; and record evidence so another researcher can check it.</w:t>
      </w:r>
    </w:p>
    <w:p>
      <w:pPr>
        <w:pStyle w:val="Heading1"/>
      </w:pPr>
      <w:r>
        <w:t>Your required task</w:t>
      </w:r>
    </w:p>
    <w:p>
      <w:pPr>
        <w:pStyle w:val="ListNumber"/>
      </w:pPr>
      <w:r>
        <w:t>Read the two worked examples on page 2. Skim the assigned sections of Li and Toubia; reading all four papers end to end is not required.</w:t>
      </w:r>
    </w:p>
    <w:p>
      <w:pPr>
        <w:pStyle w:val="ListNumber"/>
      </w:pPr>
      <w:r>
        <w:t>Complete the two study profiles and six result columns in the submission template. The result IDs and targets are already supplied. Copy reported values; do not calculate a pooled score or invent missing statistics.</w:t>
      </w:r>
    </w:p>
    <w:p>
      <w:pPr>
        <w:pStyle w:val="ListNumber"/>
      </w:pPr>
      <w:r>
        <w:t>Write a 100–150 word interpretation: one supported finding, one limit on what it means, and one next research question you could test as your STAMP extension (it feeds the Nov 6 track choice). Cite result IDs.</w:t>
      </w:r>
    </w:p>
    <w:p>
      <w:pPr>
        <w:pStyle w:val="ListNumber"/>
      </w:pPr>
      <w:r>
        <w:t>Submit your individual DOCX before comparing entries with classmates. Afterward, each team submits a reconciled copy and the short change log on the last template page. Retain all individual originals.</w:t>
      </w:r>
    </w:p>
    <w:p>
      <w:pPr>
        <w:pStyle w:val="Heading1"/>
      </w:pPr>
      <w:r>
        <w:t>Exactly which results to extract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960"/>
      </w:tblGrid>
      <w:tr>
        <w:trPr>
          <w:cantSplit/>
          <w:tblHeader/>
        </w:trPr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Paper</w:t>
            </w:r>
          </w:p>
        </w:tc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Required results</w:t>
            </w:r>
          </w:p>
        </w:tc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Where to look</w:t>
            </w:r>
          </w:p>
        </w:tc>
      </w:tr>
      <w:tr>
        <w:trPr>
          <w:cantSplit/>
        </w:trPr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Li 2024</w:t>
            </w:r>
          </w:p>
        </w:tc>
        <w:tc>
          <w:tcPr>
            <w:tcW w:type="dxa" w:w="496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L1 simple prompt raw agreement; L2 simple adjusted agreement; L3 few-shot raw agreement; L4 few-shot adjusted agreement.</w:t>
            </w:r>
          </w:p>
        </w:tc>
        <w:tc>
          <w:tcPr>
            <w:tcW w:type="dxa" w:w="39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Table 3, printed p. 261 / PDF p. 8. Read Sections 2.3 and 3.1–3.3 for definitions and context.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Toubia 2025</w:t>
            </w:r>
          </w:p>
        </w:tc>
        <w:tc>
          <w:tcPr>
            <w:tcW w:type="dxa" w:w="49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T1 text persona GPT4.1-mini raw prediction accuracy; T2 its ratio to the human test–retest benchmark.</w:t>
            </w:r>
          </w:p>
        </w:tc>
        <w:tc>
          <w:tcPr>
            <w:tcW w:type="dxa" w:w="3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Table 2 and Section 5.1, printed p. 1452 / PDF p. 8. Read Sections 3–4 for the metric and holdout design.</w:t>
            </w:r>
          </w:p>
        </w:tc>
      </w:tr>
    </w:tbl>
    <w:p>
      <w:r>
        <w:t>Plan about 2–3 hours for individual work and 20–30 minutes for team comparison; these are pilot estimates. Log actual time. If a field takes more than 10 minutes to resolve, flag it and continue. No independent literature search, reference-library export, or repeated AI runs are required.</w:t>
      </w:r>
    </w:p>
    <w:p>
      <w:r>
        <w:t>Submit the editable template to Canvas as a .docx, not a PDF. Name it Lab6_YourName_individual.docx; the team version is Lab6_TeamN_reconciled.docx, uploaded once per team. Keep the result IDs unchanged.</w:t>
      </w:r>
    </w:p>
    <w:p>
      <w:r>
        <w:br w:type="page"/>
      </w:r>
    </w:p>
    <w:p>
      <w:pPr>
        <w:pStyle w:val="Heading1"/>
      </w:pPr>
      <w:r>
        <w:t>Two worked examples</w:t>
      </w:r>
    </w:p>
    <w:p>
      <w:r>
        <w:t>Both examples use Arora et al. (2025), quantitative Study 2, LLM1 zero-shot condition. The model is GPT-4. The human benchmark is the company survey; the seven items below are analysis units, not seven human respondents.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104"/>
        <w:gridCol w:w="4104"/>
      </w:tblGrid>
      <w:tr>
        <w:trPr>
          <w:cantSplit/>
          <w:tblHeader/>
        </w:trPr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Example A</w:t>
            </w:r>
          </w:p>
        </w:tc>
        <w:tc>
          <w:tcPr>
            <w:tcW w:type="dxa" w:w="3456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Example B</w:t>
            </w:r>
          </w:p>
        </w:tc>
      </w:tr>
      <w:tr>
        <w:trPr>
          <w:cantSplit/>
        </w:trPr>
        <w:tc>
          <w:tcPr>
            <w:tcW w:type="dxa" w:w="21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What is being matched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Average levels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Variation among respondents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Metric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Average absolute difference between AI and human item means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Average absolute difference between AI and human item standard deviations</w:t>
            </w:r>
          </w:p>
        </w:tc>
      </w:tr>
      <w:tr>
        <w:trPr>
          <w:cantSplit/>
        </w:trPr>
        <w:tc>
          <w:tcPr>
            <w:tcW w:type="dxa" w:w="21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Reported value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0.66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0.41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Uncertainty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Standard error = 0.02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Standard error = 0.06</w:t>
            </w:r>
          </w:p>
        </w:tc>
      </w:tr>
      <w:tr>
        <w:trPr>
          <w:cantSplit/>
        </w:trPr>
        <w:tc>
          <w:tcPr>
            <w:tcW w:type="dxa" w:w="21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Scale and direction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Original response-scale units; lower error is better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Original response-scale units; lower error is better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Raw or normalized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Unnormalized error; not a percentage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Unnormalized error; not a percentage</w:t>
            </w:r>
          </w:p>
        </w:tc>
      </w:tr>
      <w:tr>
        <w:trPr>
          <w:cantSplit/>
        </w:trPr>
        <w:tc>
          <w:tcPr>
            <w:tcW w:type="dxa" w:w="21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Units summarized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7 attitudinal items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7 attitudinal items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Table 16, printed p. 62 / PDF p. 20; explanation p. 64 / PDF p. 22</w:t>
            </w:r>
          </w:p>
        </w:tc>
        <w:tc>
          <w:tcPr>
            <w:tcW w:type="dxa" w:w="41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Same table and explanatory text</w:t>
            </w:r>
          </w:p>
        </w:tc>
      </w:tr>
      <w:tr>
        <w:trPr>
          <w:cantSplit/>
        </w:trPr>
        <w:tc>
          <w:tcPr>
            <w:tcW w:type="dxa" w:w="216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Dependency note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Same study, human data and model condition as Example B</w:t>
            </w:r>
          </w:p>
        </w:tc>
        <w:tc>
          <w:tcPr>
            <w:tcW w:type="dxa" w:w="41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Same study, human data and model condition as Example A</w:t>
            </w:r>
          </w:p>
        </w:tc>
      </w:tr>
    </w:tbl>
    <w:p>
      <w:r>
        <w:t>Interpretation: these are two kinds of error. A value of 0.66 does not mean 66% accurate. The standard error describes uncertainty; it is not the standard deviation of human responses. These two rows are not independent studies.</w:t>
      </w:r>
    </w:p>
    <w:p>
      <w:pPr>
        <w:pStyle w:val="Heading1"/>
      </w:pPr>
      <w:r>
        <w:t>Short codebook</w:t>
      </w:r>
    </w:p>
    <w:p>
      <w:r>
        <w:t>Dimension: ordering = relative rankings; levels = means or proportions; variation = spread across respondents; relationships = associations between variables; individual prediction = a person’s answers; experimental effects = differences caused by experimental conditions.</w:t>
      </w:r>
    </w:p>
    <w:p>
      <w:r>
        <w:t>Uncertainty: label SE, SD, or confidence interval explicitly. For intervals, record the confidence level and both endpoints. Write “not reported in assigned source” if absent, or “unclear” with a question. Never enter zero for missing information.</w:t>
      </w:r>
    </w:p>
    <w:p>
      <w:r>
        <w:t>Normalization: record what a score is divided by or adjusted against. Keep raw and adjusted results separate. Preserve the paper’s metric definition, including any scaling of individual responses.</w:t>
      </w:r>
    </w:p>
    <w:p>
      <w:r>
        <w:t>Units: distinguish people, survey items, brand triplets, repeated model samples and bootstrap repetitions. Record only counts supported by the source; do not treat all counts as independent sample sizes.</w:t>
      </w:r>
    </w:p>
    <w:p>
      <w:r>
        <w:br w:type="page"/>
      </w:r>
    </w:p>
    <w:p>
      <w:pPr>
        <w:pStyle w:val="Heading1"/>
      </w:pPr>
      <w:r>
        <w:t>Reading set and optional exploration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904"/>
      </w:tblGrid>
      <w:tr>
        <w:trPr>
          <w:cantSplit/>
          <w:tblHeader/>
        </w:trPr>
        <w:tc>
          <w:tcPr>
            <w:tcW w:type="dxa" w:w="5184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Paper (open from the DOI)</w:t>
            </w:r>
          </w:p>
        </w:tc>
        <w:tc>
          <w:tcPr>
            <w:tcW w:type="dxa" w:w="5184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Role in this assignment</w:t>
            </w:r>
          </w:p>
        </w:tc>
      </w:tr>
      <w:tr>
        <w:trPr>
          <w:cantSplit/>
        </w:trPr>
        <w:tc>
          <w:tcPr>
            <w:tcW w:type="dxa" w:w="446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Arora et al. 2025</w:t>
              <w:br/>
              <w:t>AI–Human Hybrids for Marketing Research</w:t>
            </w:r>
          </w:p>
          <w:p>
            <w:pPr>
              <w:spacing w:before="0" w:after="0"/>
            </w:pPr>
            <w:hyperlink r:id="rId10">
              <w:r>
                <w:rPr>
                  <w:sz w:val="19"/>
                  <w:color w:val="1B5E4B"/>
                  <w:u w:val="single"/>
                </w:rPr>
                <w:t>https://doi.org/10.1177/00222429241276529</w:t>
              </w:r>
            </w:hyperlink>
          </w:p>
        </w:tc>
        <w:tc>
          <w:tcPr>
            <w:tcW w:type="dxa" w:w="59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Worked examples from Table 16. Optional comparison across LLM1, LLM2 and LLM3.</w:t>
            </w:r>
          </w:p>
        </w:tc>
      </w:tr>
      <w:tr>
        <w:trPr>
          <w:cantSplit/>
        </w:trPr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Li et al. 2024</w:t>
              <w:br/>
              <w:t>Determining the Validity of Large Language Models for Automated Perceptual Analysis</w:t>
            </w:r>
          </w:p>
          <w:p>
            <w:pPr>
              <w:spacing w:before="0" w:after="0"/>
            </w:pPr>
            <w:hyperlink r:id="rId11">
              <w:r>
                <w:rPr>
                  <w:sz w:val="19"/>
                  <w:color w:val="1B5E4B"/>
                  <w:u w:val="single"/>
                </w:rPr>
                <w:t>https://doi.org/10.1287/mksc.2023.0454</w:t>
              </w:r>
            </w:hyperlink>
          </w:p>
        </w:tc>
        <w:tc>
          <w:tcPr>
            <w:tcW w:type="dxa" w:w="59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Required calibration on prompt conditions and raw versus adjusted agreement.</w:t>
            </w:r>
          </w:p>
        </w:tc>
      </w:tr>
      <w:tr>
        <w:trPr>
          <w:cantSplit/>
        </w:trPr>
        <w:tc>
          <w:tcPr>
            <w:tcW w:type="dxa" w:w="446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Toubia et al. 2025</w:t>
              <w:br/>
              <w:t>Twin-2K-500</w:t>
            </w:r>
          </w:p>
          <w:p>
            <w:pPr>
              <w:spacing w:before="0" w:after="0"/>
            </w:pPr>
            <w:hyperlink r:id="rId12">
              <w:r>
                <w:rPr>
                  <w:sz w:val="19"/>
                  <w:color w:val="1B5E4B"/>
                  <w:u w:val="single"/>
                </w:rPr>
                <w:t>https://doi.org/10.1287/mksc.2025.0262</w:t>
              </w:r>
            </w:hyperlink>
          </w:p>
        </w:tc>
        <w:tc>
          <w:tcPr>
            <w:tcW w:type="dxa" w:w="59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Required calibration on individual prediction and human test–retest normalization.</w:t>
            </w:r>
          </w:p>
        </w:tc>
      </w:tr>
      <w:tr>
        <w:trPr>
          <w:cantSplit/>
        </w:trPr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Westwood 2025</w:t>
              <w:br/>
              <w:t>Survey integrity</w:t>
            </w:r>
          </w:p>
          <w:p>
            <w:pPr>
              <w:spacing w:before="0" w:after="0"/>
            </w:pPr>
            <w:hyperlink r:id="rId13">
              <w:r>
                <w:rPr>
                  <w:sz w:val="19"/>
                  <w:color w:val="1B5E4B"/>
                  <w:u w:val="single"/>
                </w:rPr>
                <w:t>https://doi.org/10.1073/pnas.2518075122</w:t>
              </w:r>
            </w:hyperlink>
          </w:p>
        </w:tc>
        <w:tc>
          <w:tcPr>
            <w:tcW w:type="dxa" w:w="59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Optional screening case: distinguish human–AI agreement from response plausibility.</w:t>
            </w:r>
          </w:p>
        </w:tc>
      </w:tr>
    </w:tbl>
    <w:p>
      <w:r>
        <w:t>If a DOI link asks you to pay, sign in through the CPP University Library. Share links, not PDF copies.</w:t>
      </w:r>
    </w:p>
    <w:p>
      <w:pPr>
        <w:pStyle w:val="Heading1"/>
      </w:pPr>
      <w:r>
        <w:t>Optional extension</w:t>
      </w:r>
    </w:p>
    <w:p>
      <w:r>
        <w:t>Choose at most one after the core task; allow 30–45 minutes. The core alone can earn full marks.</w:t>
      </w:r>
    </w:p>
    <w:p>
      <w:pPr>
        <w:pStyle w:val="ListBullet"/>
      </w:pPr>
      <w:r>
        <w:t>Extract up to two additional results from any of the four papers. Explain why they qualify as human–AI comparisons, or why they belong in a separate evidence category.</w:t>
      </w:r>
    </w:p>
    <w:p>
      <w:pPr>
        <w:pStyle w:val="ListBullet"/>
      </w:pPr>
      <w:r>
        <w:t>Make one annotated chart using compatible results. Keep different metrics separate and identify any shared samples or benchmarks.</w:t>
      </w:r>
    </w:p>
    <w:p>
      <w:pPr>
        <w:pStyle w:val="ListBullet"/>
      </w:pPr>
      <w:r>
        <w:t>Propose a better codebook definition, or a next study that would resolve a limitation. Support your proposal with a specific result or source passage.</w:t>
      </w:r>
    </w:p>
    <w:p>
      <w:pPr>
        <w:pStyle w:val="Heading1"/>
      </w:pPr>
      <w:r>
        <w:t>AI use and verification</w:t>
      </w:r>
    </w:p>
    <w:p>
      <w:r>
        <w:t>Read the target table and draft one entry yourself first. You may then use an approved AI tool; check every accepted entry against the PDF. In the template’s AI use record, name the tool, one entry you kept after checking it on the page, and one you corrected; or write “No AI used.” No paid tool is required.</w:t>
      </w:r>
    </w:p>
    <w:p>
      <w:pPr>
        <w:pStyle w:val="Heading1"/>
      </w:pPr>
      <w:r>
        <w:t>How the five points are earned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872"/>
      </w:tblGrid>
      <w:tr>
        <w:trPr>
          <w:cantSplit/>
          <w:tblHeader/>
        </w:trPr>
        <w:tc>
          <w:tcPr>
            <w:tcW w:type="dxa" w:w="5184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5184"/>
            <w:shd w:fill="DDE8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Points</w:t>
            </w:r>
          </w:p>
        </w:tc>
      </w:tr>
      <w:tr>
        <w:trPr>
          <w:cantSplit/>
        </w:trPr>
        <w:tc>
          <w:tcPr>
            <w:tcW w:type="dxa" w:w="849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Six results accurately recorded with checkable locations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Metric, uncertainty, benchmark and units correctly distinguished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1.5</w:t>
            </w:r>
          </w:p>
        </w:tc>
      </w:tr>
      <w:tr>
        <w:trPr>
          <w:cantSplit/>
        </w:trPr>
        <w:tc>
          <w:tcPr>
            <w:tcW w:type="dxa" w:w="849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Interpretation supported by evidence and appropriately limited</w:t>
            </w:r>
          </w:p>
        </w:tc>
        <w:tc>
          <w:tcPr>
            <w:tcW w:type="dxa" w:w="1872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84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Complete individual record, documented team comparison, and AI use record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0.5</w:t>
            </w:r>
          </w:p>
        </w:tc>
      </w:tr>
    </w:tbl>
    <w:p>
      <w:r>
        <w:t>Flag uncertainty rather than guess. Agreement with classmates is not itself the grading criterion.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Lab 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177/00222429241276529" TargetMode="External"/><Relationship Id="rId11" Type="http://schemas.openxmlformats.org/officeDocument/2006/relationships/hyperlink" Target="https://doi.org/10.1287/mksc.2023.0454" TargetMode="External"/><Relationship Id="rId12" Type="http://schemas.openxmlformats.org/officeDocument/2006/relationships/hyperlink" Target="https://doi.org/10.1287/mksc.2025.0262" TargetMode="External"/><Relationship Id="rId13" Type="http://schemas.openxmlformats.org/officeDocument/2006/relationships/hyperlink" Target="https://doi.org/10.1073/pnas.2518075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Extracting evidence on synthetic respondents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