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Team Teaching Project — Brief</w:t>
      </w:r>
    </w:p>
    <w:p>
      <w:r>
        <w:rPr>
          <w:b/>
        </w:rPr>
        <w:t>IBM4212 Marketing Problems — Fall 2026 · 40 points (12 case presentation + 8 extension presentation + 20 teaching-note report)</w:t>
      </w:r>
    </w:p>
    <w:p>
      <w:r>
        <w:t xml:space="preserve">Your team owns one Harvard case, and you switch sides of the desk twice. </w:t>
      </w:r>
      <w:r>
        <w:rPr>
          <w:b/>
        </w:rPr>
        <w:t>Round 1 (your case week):</w:t>
      </w:r>
      <w:r>
        <w:t xml:space="preserve"> you go through the cycle as a student — tutor session, submission, my discussion recording, the Monday debrief — and two days later you teach the class something none of that covered. </w:t>
      </w:r>
      <w:r>
        <w:rPr>
          <w:b/>
        </w:rPr>
        <w:t>Round 2 (Nov 23):</w:t>
      </w:r>
      <w:r>
        <w:t xml:space="preserve"> after I demo </w:t>
      </w:r>
      <w:r>
        <w:rPr>
          <w:b/>
        </w:rPr>
        <w:t>perceptual maps built from AI synthetic respondents</w:t>
      </w:r>
      <w:r>
        <w:t xml:space="preserve"> on Amazon (Mon Nov 9), your team applies that method to </w:t>
      </w:r>
      <w:r>
        <w:rPr>
          <w:i/>
        </w:rPr>
        <w:t>your</w:t>
      </w:r>
      <w:r>
        <w:t xml:space="preserve"> case and presents the strategy it reveals. The </w:t>
      </w:r>
      <w:r>
        <w:rPr>
          <w:b/>
        </w:rPr>
        <w:t>Teaching Note Report</w:t>
      </w:r>
      <w:r>
        <w:t xml:space="preserve"> (the instructor's manual a new professor could teach from, built around your extension) is due at the finals slot; the Dec 2 instruction session walks its structure with a worked example.</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rPr>
                <w:b/>
                <w:sz w:val="19"/>
              </w:rPr>
            </w:r>
            <w:r>
              <w:rPr>
                <w:b/>
                <w:sz w:val="19"/>
              </w:rPr>
              <w:t>Team</w:t>
            </w:r>
          </w:p>
        </w:tc>
        <w:tc>
          <w:tcPr>
            <w:tcW w:type="dxa" w:w="1987"/>
          </w:tcPr>
          <w:p>
            <w:r>
              <w:rPr>
                <w:b/>
                <w:sz w:val="19"/>
              </w:rPr>
            </w:r>
            <w:r>
              <w:rPr>
                <w:b/>
                <w:sz w:val="19"/>
              </w:rPr>
              <w:t>Case</w:t>
            </w:r>
          </w:p>
        </w:tc>
        <w:tc>
          <w:tcPr>
            <w:tcW w:type="dxa" w:w="1987"/>
          </w:tcPr>
          <w:p>
            <w:r>
              <w:rPr>
                <w:b/>
                <w:sz w:val="19"/>
              </w:rPr>
            </w:r>
            <w:r>
              <w:rPr>
                <w:b/>
                <w:sz w:val="19"/>
              </w:rPr>
              <w:t>Your case's cycle</w:t>
            </w:r>
          </w:p>
        </w:tc>
        <w:tc>
          <w:tcPr>
            <w:tcW w:type="dxa" w:w="1987"/>
          </w:tcPr>
          <w:p>
            <w:r>
              <w:rPr>
                <w:b/>
                <w:sz w:val="19"/>
              </w:rPr>
            </w:r>
            <w:r>
              <w:rPr>
                <w:b/>
                <w:sz w:val="19"/>
              </w:rPr>
              <w:t>Round 1 (Wed, in class)</w:t>
            </w:r>
          </w:p>
        </w:tc>
        <w:tc>
          <w:tcPr>
            <w:tcW w:type="dxa" w:w="1987"/>
          </w:tcPr>
          <w:p>
            <w:r>
              <w:rPr>
                <w:b/>
                <w:sz w:val="19"/>
              </w:rPr>
            </w:r>
            <w:r>
              <w:rPr>
                <w:b/>
                <w:sz w:val="19"/>
              </w:rPr>
              <w:t>Round 2 (Mon Nov 23, in class)</w:t>
            </w:r>
          </w:p>
        </w:tc>
      </w:tr>
      <w:tr>
        <w:tc>
          <w:tcPr>
            <w:tcW w:type="dxa" w:w="1987"/>
          </w:tcPr>
          <w:p>
            <w:r>
              <w:rPr>
                <w:sz w:val="19"/>
              </w:rPr>
            </w:r>
            <w:r>
              <w:rPr>
                <w:sz w:val="19"/>
              </w:rPr>
              <w:t>1</w:t>
            </w:r>
          </w:p>
        </w:tc>
        <w:tc>
          <w:tcPr>
            <w:tcW w:type="dxa" w:w="1987"/>
          </w:tcPr>
          <w:p>
            <w:r>
              <w:rPr>
                <w:sz w:val="19"/>
              </w:rPr>
            </w:r>
            <w:r>
              <w:rPr>
                <w:sz w:val="19"/>
              </w:rPr>
              <w:t>Aldi</w:t>
            </w:r>
          </w:p>
        </w:tc>
        <w:tc>
          <w:tcPr>
            <w:tcW w:type="dxa" w:w="1987"/>
          </w:tcPr>
          <w:p>
            <w:r>
              <w:rPr>
                <w:sz w:val="19"/>
              </w:rPr>
            </w:r>
            <w:r>
              <w:rPr>
                <w:sz w:val="19"/>
              </w:rPr>
              <w:t>Sep 14 – 21</w:t>
            </w:r>
          </w:p>
        </w:tc>
        <w:tc>
          <w:tcPr>
            <w:tcW w:type="dxa" w:w="1987"/>
          </w:tcPr>
          <w:p>
            <w:r>
              <w:rPr>
                <w:sz w:val="19"/>
              </w:rPr>
            </w:r>
            <w:r>
              <w:rPr>
                <w:b/>
                <w:sz w:val="19"/>
              </w:rPr>
              <w:t>Wed Sep 23</w:t>
            </w:r>
          </w:p>
        </w:tc>
        <w:tc>
          <w:tcPr>
            <w:tcW w:type="dxa" w:w="1987"/>
          </w:tcPr>
          <w:p>
            <w:r>
              <w:rPr>
                <w:sz w:val="19"/>
              </w:rPr>
            </w:r>
            <w:r>
              <w:rPr>
                <w:sz w:val="19"/>
              </w:rPr>
              <w:t>Mon Nov 23</w:t>
            </w:r>
          </w:p>
        </w:tc>
      </w:tr>
      <w:tr>
        <w:tc>
          <w:tcPr>
            <w:tcW w:type="dxa" w:w="1987"/>
          </w:tcPr>
          <w:p>
            <w:r>
              <w:rPr>
                <w:sz w:val="19"/>
              </w:rPr>
            </w:r>
            <w:r>
              <w:rPr>
                <w:sz w:val="19"/>
              </w:rPr>
              <w:t>2</w:t>
            </w:r>
          </w:p>
        </w:tc>
        <w:tc>
          <w:tcPr>
            <w:tcW w:type="dxa" w:w="1987"/>
          </w:tcPr>
          <w:p>
            <w:r>
              <w:rPr>
                <w:sz w:val="19"/>
              </w:rPr>
            </w:r>
            <w:r>
              <w:rPr>
                <w:sz w:val="19"/>
              </w:rPr>
              <w:t>Under Armour</w:t>
            </w:r>
          </w:p>
        </w:tc>
        <w:tc>
          <w:tcPr>
            <w:tcW w:type="dxa" w:w="1987"/>
          </w:tcPr>
          <w:p>
            <w:r>
              <w:rPr>
                <w:sz w:val="19"/>
              </w:rPr>
            </w:r>
            <w:r>
              <w:rPr>
                <w:sz w:val="19"/>
              </w:rPr>
              <w:t>Sep 28 – Oct 5</w:t>
            </w:r>
          </w:p>
        </w:tc>
        <w:tc>
          <w:tcPr>
            <w:tcW w:type="dxa" w:w="1987"/>
          </w:tcPr>
          <w:p>
            <w:r>
              <w:rPr>
                <w:sz w:val="19"/>
              </w:rPr>
            </w:r>
            <w:r>
              <w:rPr>
                <w:b/>
                <w:sz w:val="19"/>
              </w:rPr>
              <w:t>Wed Oct 7</w:t>
            </w:r>
          </w:p>
        </w:tc>
        <w:tc>
          <w:tcPr>
            <w:tcW w:type="dxa" w:w="1987"/>
          </w:tcPr>
          <w:p>
            <w:r>
              <w:rPr>
                <w:sz w:val="19"/>
              </w:rPr>
            </w:r>
            <w:r>
              <w:rPr>
                <w:sz w:val="19"/>
              </w:rPr>
              <w:t>Mon Nov 23</w:t>
            </w:r>
          </w:p>
        </w:tc>
      </w:tr>
      <w:tr>
        <w:tc>
          <w:tcPr>
            <w:tcW w:type="dxa" w:w="1987"/>
          </w:tcPr>
          <w:p>
            <w:r>
              <w:rPr>
                <w:sz w:val="19"/>
              </w:rPr>
            </w:r>
            <w:r>
              <w:rPr>
                <w:sz w:val="19"/>
              </w:rPr>
              <w:t>3</w:t>
            </w:r>
          </w:p>
        </w:tc>
        <w:tc>
          <w:tcPr>
            <w:tcW w:type="dxa" w:w="1987"/>
          </w:tcPr>
          <w:p>
            <w:r>
              <w:rPr>
                <w:sz w:val="19"/>
              </w:rPr>
            </w:r>
            <w:r>
              <w:rPr>
                <w:sz w:val="19"/>
              </w:rPr>
              <w:t>Google Glass</w:t>
            </w:r>
          </w:p>
        </w:tc>
        <w:tc>
          <w:tcPr>
            <w:tcW w:type="dxa" w:w="1987"/>
          </w:tcPr>
          <w:p>
            <w:r>
              <w:rPr>
                <w:sz w:val="19"/>
              </w:rPr>
            </w:r>
            <w:r>
              <w:rPr>
                <w:sz w:val="19"/>
              </w:rPr>
              <w:t>Oct 12 – 19</w:t>
            </w:r>
          </w:p>
        </w:tc>
        <w:tc>
          <w:tcPr>
            <w:tcW w:type="dxa" w:w="1987"/>
          </w:tcPr>
          <w:p>
            <w:r>
              <w:rPr>
                <w:sz w:val="19"/>
              </w:rPr>
            </w:r>
            <w:r>
              <w:rPr>
                <w:b/>
                <w:sz w:val="19"/>
              </w:rPr>
              <w:t>Wed Oct 21</w:t>
            </w:r>
          </w:p>
        </w:tc>
        <w:tc>
          <w:tcPr>
            <w:tcW w:type="dxa" w:w="1987"/>
          </w:tcPr>
          <w:p>
            <w:r>
              <w:rPr>
                <w:sz w:val="19"/>
              </w:rPr>
            </w:r>
            <w:r>
              <w:rPr>
                <w:sz w:val="19"/>
              </w:rPr>
              <w:t>Mon Nov 23</w:t>
            </w:r>
          </w:p>
        </w:tc>
      </w:tr>
      <w:tr>
        <w:tc>
          <w:tcPr>
            <w:tcW w:type="dxa" w:w="1987"/>
          </w:tcPr>
          <w:p>
            <w:r>
              <w:rPr>
                <w:sz w:val="19"/>
              </w:rPr>
            </w:r>
            <w:r>
              <w:rPr>
                <w:sz w:val="19"/>
              </w:rPr>
              <w:t>4</w:t>
            </w:r>
          </w:p>
        </w:tc>
        <w:tc>
          <w:tcPr>
            <w:tcW w:type="dxa" w:w="1987"/>
          </w:tcPr>
          <w:p>
            <w:r>
              <w:rPr>
                <w:sz w:val="19"/>
              </w:rPr>
            </w:r>
            <w:r>
              <w:rPr>
                <w:sz w:val="19"/>
              </w:rPr>
              <w:t>Chunlei</w:t>
            </w:r>
          </w:p>
        </w:tc>
        <w:tc>
          <w:tcPr>
            <w:tcW w:type="dxa" w:w="1987"/>
          </w:tcPr>
          <w:p>
            <w:r>
              <w:rPr>
                <w:sz w:val="19"/>
              </w:rPr>
            </w:r>
            <w:r>
              <w:rPr>
                <w:sz w:val="19"/>
              </w:rPr>
              <w:t>Oct 26 – Nov 2</w:t>
            </w:r>
          </w:p>
        </w:tc>
        <w:tc>
          <w:tcPr>
            <w:tcW w:type="dxa" w:w="1987"/>
          </w:tcPr>
          <w:p>
            <w:r>
              <w:rPr>
                <w:sz w:val="19"/>
              </w:rPr>
            </w:r>
            <w:r>
              <w:rPr>
                <w:b/>
                <w:sz w:val="19"/>
              </w:rPr>
              <w:t>Wed Nov 4</w:t>
            </w:r>
          </w:p>
        </w:tc>
        <w:tc>
          <w:tcPr>
            <w:tcW w:type="dxa" w:w="1987"/>
          </w:tcPr>
          <w:p>
            <w:r>
              <w:rPr>
                <w:sz w:val="19"/>
              </w:rPr>
            </w:r>
            <w:r>
              <w:rPr>
                <w:sz w:val="19"/>
              </w:rPr>
              <w:t>Mon Nov 23</w:t>
            </w:r>
          </w:p>
        </w:tc>
      </w:tr>
    </w:tbl>
    <w:p/>
    <w:p>
      <w:pPr>
        <w:pStyle w:val="Heading2"/>
      </w:pPr>
      <w:r>
        <w:t>Step 0 — Claim your team on Canvas (by Wed Aug 26, 11:59 PM)</w:t>
      </w:r>
    </w:p>
    <w:p>
      <w:r>
        <w:t xml:space="preserve">On Canvas, go to </w:t>
      </w:r>
      <w:r>
        <w:rPr>
          <w:b/>
        </w:rPr>
        <w:t>People → Groups</w:t>
      </w:r>
      <w:r>
        <w:t xml:space="preserve"> and click </w:t>
      </w:r>
      <w:r>
        <w:rPr>
          <w:b/>
        </w:rPr>
        <w:t>+ JOIN</w:t>
      </w:r>
      <w:r>
        <w:t xml:space="preserve"> on the team whose case you want — the groups are named exactly as in the table above (Team 1 — Aldi · Team 2 — Under Armour · Team 3 — Google Glass · Team 4 — Chunlei). </w:t>
      </w:r>
      <w:r>
        <w:rPr>
          <w:b/>
        </w:rPr>
        <w:t>Three seats per team, first come, first served — signing up early is how you choose your case.</w:t>
      </w:r>
      <w:r>
        <w:t xml:space="preserve"> After the deadline I randomly assign anyone unassigned to the remaining seats (one team will end up with four members). No points attached; the reward is the pick.</w:t>
      </w:r>
    </w:p>
    <w:p>
      <w:pPr>
        <w:pStyle w:val="Heading2"/>
      </w:pPr>
      <w:r>
        <w:t>While your case runs: be a spy in your own classroom</w:t>
      </w:r>
    </w:p>
    <w:p>
      <w:r>
        <w:t>Teams and cases are assigned in Week 1 precisely so you can live your case's cycle deliberately. During your cycle, log:</w:t>
      </w:r>
    </w:p>
    <w:p>
      <w:pPr>
        <w:pStyle w:val="ListBullet"/>
      </w:pPr>
      <w:r>
        <w:t>The best and worst moments of the Monday debrief — where did the room light up, where did it stall?</w:t>
      </w:r>
    </w:p>
    <w:p>
      <w:pPr>
        <w:pStyle w:val="ListBullet"/>
      </w:pPr>
      <w:r>
        <w:t>The wrong answers you heard (and made) — Section 3 of your teaching note runs on them.</w:t>
      </w:r>
    </w:p>
    <w:p>
      <w:pPr>
        <w:pStyle w:val="ListBullet"/>
      </w:pPr>
      <w:r>
        <w:t>What the AI tutor did well and badly on this case — your note should exploit the first and patch the second.</w:t>
      </w:r>
    </w:p>
    <w:p>
      <w:pPr>
        <w:pStyle w:val="Heading2"/>
      </w:pPr>
      <w:r>
        <w:t>Deliverable 1 — Case Presentation (the Wednesday of your case week, in class · 15 min + 10 min Q&amp;A · 12 pts)</w:t>
      </w:r>
    </w:p>
    <w:p>
      <w:r>
        <w:rPr>
          <w:b/>
        </w:rPr>
        <w:t>Your benchmark is my case discussion recording — and your job is to beat it.</w:t>
      </w:r>
      <w:r>
        <w:t xml:space="preserve"> By the time you present, everyone in the class has done your case, watched my recording (it unlocked Sunday), and sat through Monday's debrief. Every team gets this same setup, so the bar is identical whether you present in September or November. Re-teaching what the room already knows scores low by design; what's graded is the delta.</w:t>
      </w:r>
    </w:p>
    <w:p>
      <w:r>
        <w:rPr>
          <w:b/>
        </w:rPr>
        <w:t>Must-haves:</w:t>
      </w:r>
    </w:p>
    <w:p>
      <w:pPr>
        <w:pStyle w:val="ListBullet"/>
      </w:pPr>
      <w:r>
        <w:rPr>
          <w:b/>
        </w:rPr>
        <w:t>One insight beyond the recording and the debrief.</w:t>
      </w:r>
      <w:r>
        <w:t xml:space="preserve"> The single sharpest thing your analysis revealed that my discussion and Monday's class didn't reach. Lead with it.</w:t>
      </w:r>
    </w:p>
    <w:p>
      <w:pPr>
        <w:pStyle w:val="ListBullet"/>
      </w:pPr>
      <w:r>
        <w:rPr>
          <w:b/>
        </w:rPr>
        <w:t>Teach it, don't just announce it</w:t>
      </w:r>
      <w:r>
        <w:t xml:space="preserve"> — case evidence with page cites, numbers on screen, a board plan or exhibit. Make the class </w:t>
      </w:r>
      <w:r>
        <w:rPr>
          <w:i/>
        </w:rPr>
        <w:t>see</w:t>
      </w:r>
      <w:r>
        <w:t xml:space="preserve"> why it matters.</w:t>
      </w:r>
    </w:p>
    <w:p>
      <w:pPr>
        <w:pStyle w:val="ListBullet"/>
      </w:pPr>
      <w:r>
        <w:rPr>
          <w:b/>
        </w:rPr>
        <w:t>The disclosure beat:</w:t>
      </w:r>
      <w:r>
        <w:t xml:space="preserve"> one slide — how your team used AI to build this, and one thing it got confidently wrong that you caught.</w:t>
      </w:r>
    </w:p>
    <w:p>
      <w:r>
        <w:rPr>
          <w:b/>
        </w:rPr>
        <w:t>Timing is graded and enforced.</w:t>
      </w:r>
      <w:r>
        <w:t xml:space="preserve"> 15 minutes, hard stop, then 10 minutes of Q&amp;A. Running long eats your own Q&amp;A and your survey scores — rehearse to 13. Every member speaks; test the room's projection/screen-share setup beforehand.</w:t>
      </w:r>
    </w:p>
    <w:p>
      <w:r>
        <w:rPr>
          <w:b/>
        </w:rPr>
        <w:t>Don't:</w:t>
      </w:r>
      <w:r>
        <w:t xml:space="preserve"> re-teach the case or replay my recording's points; read AI-generated slides you can't defend in Q&amp;A; let one member carry it.</w:t>
      </w:r>
    </w:p>
    <w:p>
      <w:pPr>
        <w:pStyle w:val="Heading2"/>
      </w:pPr>
      <w:r>
        <w:t>Deliverable 2 — Extension Presentation (Mon Nov 23, in person · 12 min + 3 min Q&amp;A · 8 pts)</w:t>
      </w:r>
    </w:p>
    <w:p>
      <w:r>
        <w:t xml:space="preserve">In the </w:t>
      </w:r>
      <w:r>
        <w:rPr>
          <w:b/>
        </w:rPr>
        <w:t>Mon Nov 9 extension session</w:t>
      </w:r>
      <w:r>
        <w:t xml:space="preserve"> I build a perceptual map live from AI synthetic respondents (Li et al. 2024 method) and use it to interrogate Amazon's tablet positioning. Your team then does the same for your case:</w:t>
      </w:r>
    </w:p>
    <w:p>
      <w:pPr>
        <w:pStyle w:val="ListBullet"/>
      </w:pPr>
      <w:r>
        <w:rPr>
          <w:b/>
        </w:rPr>
        <w:t>Build the map</w:t>
      </w:r>
      <w:r>
        <w:t xml:space="preserve"> — pick the products/competitors and choice-driving attributes your case supports, run the synthetic-respondent ratings, plot it.</w:t>
      </w:r>
    </w:p>
    <w:p>
      <w:pPr>
        <w:pStyle w:val="ListBullet"/>
      </w:pPr>
      <w:r>
        <w:rPr>
          <w:b/>
        </w:rPr>
        <w:t>Sanity-check it against the case</w:t>
      </w:r>
      <w:r>
        <w:t xml:space="preserve"> — where the map and the case facts disagree, the case wins; label everything AI-generated as simulated.</w:t>
      </w:r>
    </w:p>
    <w:p>
      <w:pPr>
        <w:pStyle w:val="ListBullet"/>
      </w:pPr>
      <w:r>
        <w:rPr>
          <w:b/>
        </w:rPr>
        <w:t>Interrogate the positioning</w:t>
      </w:r>
      <w:r>
        <w:t xml:space="preserve"> — white space, competitive threats, cannibalization, whatever your case turns on.</w:t>
      </w:r>
    </w:p>
    <w:p>
      <w:pPr>
        <w:pStyle w:val="ListBullet"/>
      </w:pPr>
      <w:r>
        <w:rPr>
          <w:b/>
        </w:rPr>
        <w:t>Propose the strategy the map reveals</w:t>
      </w:r>
      <w:r>
        <w:t xml:space="preserve"> — the "what should they do" beat is the payoff, not the map itself.</w:t>
      </w:r>
    </w:p>
    <w:p>
      <w:r>
        <w:t>All four teams present on Nov 23 (12 min + 3 min Q&amp;A each, class survey at the end). Use Nov 18's lighter week as your build runway. This presentation is the live pitch of your report's extension section — the feedback you get is two weeks of free consulting before the report is due.</w:t>
      </w:r>
    </w:p>
    <w:p>
      <w:pPr>
        <w:pStyle w:val="Heading2"/>
      </w:pPr>
      <w:r>
        <w:t>Deliverable 3 — Teaching Note Report (due at the finals slot · 20 pts)</w:t>
      </w:r>
    </w:p>
    <w:p>
      <w:r>
        <w:t xml:space="preserve">The full instructor's manual for your case, </w:t>
      </w:r>
      <w:r>
        <w:rPr>
          <w:b/>
        </w:rPr>
        <w:t>built around your perceptual-map extension</w:t>
      </w:r>
      <w:r>
        <w:t xml:space="preserve">: learning objectives, worked question analyses with the numbers computed and the class's wrong answers diagnosed, a 50-minute discussion plan, the extension as a runnable AI-powered classroom activity, and an AI co-authorship appendix. </w:t>
      </w:r>
      <w:r>
        <w:rPr>
          <w:b/>
        </w:rPr>
        <w:t>Full structure, rubric, and integrity rules are in the Teaching Note Report assignment document</w:t>
      </w:r>
      <w:r>
        <w:t xml:space="preserve"> (Canvas → Team Teaching Project module). The </w:t>
      </w:r>
      <w:r>
        <w:rPr>
          <w:b/>
        </w:rPr>
        <w:t>Dec 2 instruction session</w:t>
      </w:r>
      <w:r>
        <w:t xml:space="preserve"> walks the structure with a worked example and includes an outline peer swap — bring your draft outline.</w:t>
      </w:r>
    </w:p>
    <w:p>
      <w:pPr>
        <w:pStyle w:val="Heading2"/>
      </w:pPr>
      <w:r>
        <w:t>Timeline &amp; checkpoints</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When</w:t>
            </w:r>
          </w:p>
        </w:tc>
        <w:tc>
          <w:tcPr>
            <w:tcW w:type="dxa" w:w="4968"/>
          </w:tcPr>
          <w:p>
            <w:r>
              <w:rPr>
                <w:b/>
                <w:sz w:val="19"/>
              </w:rPr>
            </w:r>
            <w:r>
              <w:rPr>
                <w:b/>
                <w:sz w:val="19"/>
              </w:rPr>
              <w:t>What</w:t>
            </w:r>
          </w:p>
        </w:tc>
      </w:tr>
      <w:tr>
        <w:tc>
          <w:tcPr>
            <w:tcW w:type="dxa" w:w="4968"/>
          </w:tcPr>
          <w:p>
            <w:r>
              <w:rPr>
                <w:sz w:val="19"/>
              </w:rPr>
            </w:r>
            <w:r>
              <w:rPr>
                <w:sz w:val="19"/>
              </w:rPr>
              <w:t>Week 1 (Aug 24)</w:t>
            </w:r>
          </w:p>
        </w:tc>
        <w:tc>
          <w:tcPr>
            <w:tcW w:type="dxa" w:w="4968"/>
          </w:tcPr>
          <w:p>
            <w:r>
              <w:rPr>
                <w:sz w:val="19"/>
              </w:rPr>
            </w:r>
            <w:r>
              <w:rPr>
                <w:b/>
                <w:sz w:val="19"/>
              </w:rPr>
              <w:t>Claim your team on Canvas</w:t>
            </w:r>
            <w:r>
              <w:rPr>
                <w:sz w:val="19"/>
              </w:rPr>
              <w:t xml:space="preserve"> (People → Groups → + JOIN) </w:t>
            </w:r>
            <w:r>
              <w:rPr>
                <w:b/>
                <w:sz w:val="19"/>
              </w:rPr>
              <w:t>by Wed Aug 26, 11:59 PM</w:t>
            </w:r>
            <w:r>
              <w:rPr>
                <w:sz w:val="19"/>
              </w:rPr>
              <w:t>; this brief + the launch recording posted on Canvas</w:t>
            </w:r>
          </w:p>
        </w:tc>
      </w:tr>
      <w:tr>
        <w:tc>
          <w:tcPr>
            <w:tcW w:type="dxa" w:w="4968"/>
          </w:tcPr>
          <w:p>
            <w:r>
              <w:rPr>
                <w:sz w:val="19"/>
              </w:rPr>
            </w:r>
            <w:r>
              <w:rPr>
                <w:sz w:val="19"/>
              </w:rPr>
              <w:t>Mon Sep 14</w:t>
            </w:r>
          </w:p>
        </w:tc>
        <w:tc>
          <w:tcPr>
            <w:tcW w:type="dxa" w:w="4968"/>
          </w:tcPr>
          <w:p>
            <w:r>
              <w:rPr>
                <w:sz w:val="19"/>
              </w:rPr>
            </w:r>
            <w:r>
              <w:rPr>
                <w:b/>
                <w:sz w:val="19"/>
              </w:rPr>
              <w:t>Project launch Q&amp;A</w:t>
            </w:r>
            <w:r>
              <w:rPr>
                <w:sz w:val="19"/>
              </w:rPr>
              <w:t xml:space="preserve"> in class: teaching-note anatomy, AI-prep patterns, questions</w:t>
            </w:r>
          </w:p>
        </w:tc>
      </w:tr>
      <w:tr>
        <w:tc>
          <w:tcPr>
            <w:tcW w:type="dxa" w:w="4968"/>
          </w:tcPr>
          <w:p>
            <w:r>
              <w:rPr>
                <w:sz w:val="19"/>
              </w:rPr>
            </w:r>
            <w:r>
              <w:rPr>
                <w:sz w:val="19"/>
              </w:rPr>
              <w:t>Your case's cycle</w:t>
            </w:r>
          </w:p>
        </w:tc>
        <w:tc>
          <w:tcPr>
            <w:tcW w:type="dxa" w:w="4968"/>
          </w:tcPr>
          <w:p>
            <w:r>
              <w:rPr>
                <w:sz w:val="19"/>
              </w:rPr>
            </w:r>
            <w:r>
              <w:rPr>
                <w:sz w:val="19"/>
              </w:rPr>
              <w:t>Live it deliberately — take the notes listed above</w:t>
            </w:r>
          </w:p>
        </w:tc>
      </w:tr>
      <w:tr>
        <w:tc>
          <w:tcPr>
            <w:tcW w:type="dxa" w:w="4968"/>
          </w:tcPr>
          <w:p>
            <w:r>
              <w:rPr>
                <w:sz w:val="19"/>
              </w:rPr>
            </w:r>
            <w:r>
              <w:rPr>
                <w:sz w:val="19"/>
              </w:rPr>
              <w:t>Wed of your case week</w:t>
            </w:r>
          </w:p>
        </w:tc>
        <w:tc>
          <w:tcPr>
            <w:tcW w:type="dxa" w:w="4968"/>
          </w:tcPr>
          <w:p>
            <w:r>
              <w:rPr>
                <w:sz w:val="19"/>
              </w:rPr>
            </w:r>
            <w:r>
              <w:rPr>
                <w:b/>
                <w:sz w:val="19"/>
              </w:rPr>
              <w:t>Round 1: Case Presentation</w:t>
            </w:r>
            <w:r>
              <w:rPr>
                <w:sz w:val="19"/>
              </w:rPr>
              <w:t xml:space="preserve"> (Sep 23 · Oct 7 · Oct 21 · Nov 4) + class survey</w:t>
            </w:r>
          </w:p>
        </w:tc>
      </w:tr>
      <w:tr>
        <w:tc>
          <w:tcPr>
            <w:tcW w:type="dxa" w:w="4968"/>
          </w:tcPr>
          <w:p>
            <w:r>
              <w:rPr>
                <w:sz w:val="19"/>
              </w:rPr>
            </w:r>
            <w:r>
              <w:rPr>
                <w:sz w:val="19"/>
              </w:rPr>
              <w:t>Mon Nov 9</w:t>
            </w:r>
          </w:p>
        </w:tc>
        <w:tc>
          <w:tcPr>
            <w:tcW w:type="dxa" w:w="4968"/>
          </w:tcPr>
          <w:p>
            <w:r>
              <w:rPr>
                <w:sz w:val="19"/>
              </w:rPr>
            </w:r>
            <w:r>
              <w:rPr>
                <w:b/>
                <w:sz w:val="19"/>
              </w:rPr>
              <w:t>Extension session:</w:t>
            </w:r>
            <w:r>
              <w:rPr>
                <w:sz w:val="19"/>
              </w:rPr>
              <w:t xml:space="preserve"> AI synthetic-respondent perceptual maps on Amazon — the method you now apply to your case</w:t>
            </w:r>
          </w:p>
        </w:tc>
      </w:tr>
      <w:tr>
        <w:tc>
          <w:tcPr>
            <w:tcW w:type="dxa" w:w="4968"/>
          </w:tcPr>
          <w:p>
            <w:r>
              <w:rPr>
                <w:sz w:val="19"/>
              </w:rPr>
            </w:r>
            <w:r>
              <w:rPr>
                <w:sz w:val="19"/>
              </w:rPr>
              <w:t>Wed Nov 18</w:t>
            </w:r>
          </w:p>
        </w:tc>
        <w:tc>
          <w:tcPr>
            <w:tcW w:type="dxa" w:w="4968"/>
          </w:tcPr>
          <w:p>
            <w:r>
              <w:rPr>
                <w:sz w:val="19"/>
              </w:rPr>
            </w:r>
            <w:r>
              <w:rPr>
                <w:sz w:val="19"/>
              </w:rPr>
              <w:t>Guest lecture — and your build runway for Round 2</w:t>
            </w:r>
          </w:p>
        </w:tc>
      </w:tr>
      <w:tr>
        <w:tc>
          <w:tcPr>
            <w:tcW w:type="dxa" w:w="4968"/>
          </w:tcPr>
          <w:p>
            <w:r>
              <w:rPr>
                <w:sz w:val="19"/>
              </w:rPr>
            </w:r>
            <w:r>
              <w:rPr>
                <w:sz w:val="19"/>
              </w:rPr>
              <w:t>Mon Nov 23</w:t>
            </w:r>
          </w:p>
        </w:tc>
        <w:tc>
          <w:tcPr>
            <w:tcW w:type="dxa" w:w="4968"/>
          </w:tcPr>
          <w:p>
            <w:r>
              <w:rPr>
                <w:sz w:val="19"/>
              </w:rPr>
            </w:r>
            <w:r>
              <w:rPr>
                <w:b/>
                <w:sz w:val="19"/>
              </w:rPr>
              <w:t>Round 2: Extension Presentations</w:t>
            </w:r>
            <w:r>
              <w:rPr>
                <w:sz w:val="19"/>
              </w:rPr>
              <w:t>, all four teams (in person) + class survey</w:t>
            </w:r>
          </w:p>
        </w:tc>
      </w:tr>
      <w:tr>
        <w:tc>
          <w:tcPr>
            <w:tcW w:type="dxa" w:w="4968"/>
          </w:tcPr>
          <w:p>
            <w:r>
              <w:rPr>
                <w:sz w:val="19"/>
              </w:rPr>
            </w:r>
            <w:r>
              <w:rPr>
                <w:sz w:val="19"/>
              </w:rPr>
              <w:t>Wed Dec 2</w:t>
            </w:r>
          </w:p>
        </w:tc>
        <w:tc>
          <w:tcPr>
            <w:tcW w:type="dxa" w:w="4968"/>
          </w:tcPr>
          <w:p>
            <w:r>
              <w:rPr>
                <w:sz w:val="19"/>
              </w:rPr>
            </w:r>
            <w:r>
              <w:rPr>
                <w:b/>
                <w:sz w:val="19"/>
              </w:rPr>
              <w:t>Teaching Note instruction session:</w:t>
            </w:r>
            <w:r>
              <w:rPr>
                <w:sz w:val="19"/>
              </w:rPr>
              <w:t xml:space="preserve"> structure + worked example + outline peer swap</w:t>
            </w:r>
          </w:p>
        </w:tc>
      </w:tr>
      <w:tr>
        <w:tc>
          <w:tcPr>
            <w:tcW w:type="dxa" w:w="4968"/>
          </w:tcPr>
          <w:p>
            <w:r>
              <w:rPr>
                <w:sz w:val="19"/>
              </w:rPr>
            </w:r>
            <w:r>
              <w:rPr>
                <w:sz w:val="19"/>
              </w:rPr>
              <w:t>Finals week</w:t>
            </w:r>
          </w:p>
        </w:tc>
        <w:tc>
          <w:tcPr>
            <w:tcW w:type="dxa" w:w="4968"/>
          </w:tcPr>
          <w:p>
            <w:r>
              <w:rPr>
                <w:sz w:val="19"/>
              </w:rPr>
            </w:r>
            <w:r>
              <w:rPr>
                <w:b/>
                <w:sz w:val="19"/>
              </w:rPr>
              <w:t>Teaching Note Report due</w:t>
            </w:r>
            <w:r>
              <w:rPr>
                <w:sz w:val="19"/>
              </w:rPr>
              <w:t xml:space="preserve"> (one PDF per team, at the registrar's final slot)</w:t>
            </w:r>
          </w:p>
        </w:tc>
      </w:tr>
    </w:tbl>
    <w:p/>
    <w:p>
      <w:pPr>
        <w:pStyle w:val="Heading2"/>
      </w:pPr>
      <w:r>
        <w:t>How you're graded</w:t>
      </w:r>
    </w:p>
    <w:p>
      <w:r>
        <w:rPr>
          <w:b/>
        </w:rPr>
        <w:t>Presentations (12 + 8 = 20 pts):</w:t>
      </w:r>
      <w:r>
        <w:t xml:space="preserve"> the class rates each round on a Google Form on five dimensions (1–5): </w:t>
      </w:r>
      <w:r>
        <w:rPr>
          <w:i/>
        </w:rPr>
        <w:t>insight beyond what the class already had · accuracy &amp; rigor (evidence, numbers — and in Round 2, a real map actually interrogated) · AI leverage, disclosed · delivery &amp; organization (inside the time limit, every member contributes) · Q&amp;A command.</w:t>
      </w:r>
      <w:r>
        <w:t xml:space="preserve"> Own-team ballots are excluded. Each round's score = survey average scaled to that round's points, moderated by me (up to ±10% for observed contribution imbalance, informed by a brief within-team peer-check). Missing your own presentation without an excused absence = zero on that individual share.</w:t>
      </w:r>
    </w:p>
    <w:p>
      <w:r>
        <w:rPr>
          <w:b/>
        </w:rPr>
        <w:t>Report (20 pts):</w:t>
      </w:r>
      <w:r>
        <w:t xml:space="preserve"> graded by me against the rubric in the assignment document.</w:t>
      </w:r>
    </w:p>
    <w:p>
      <w:pPr>
        <w:pStyle w:val="Heading2"/>
      </w:pPr>
      <w:r>
        <w:t>Using AI to prepare (required, and the point)</w:t>
      </w:r>
    </w:p>
    <w:p>
      <w:pPr>
        <w:pStyle w:val="ListBullet"/>
      </w:pPr>
      <w:r>
        <w:rPr>
          <w:b/>
        </w:rPr>
        <w:t>Rehearse with a tutor:</w:t>
      </w:r>
      <w:r>
        <w:t xml:space="preserve"> run your case through the voice-mode tutor like everyone else — then flip roles and make the AI play a difficult student: "ask me the three hardest questions about my analysis."</w:t>
      </w:r>
    </w:p>
    <w:p>
      <w:pPr>
        <w:pStyle w:val="ListBullet"/>
      </w:pPr>
      <w:r>
        <w:rPr>
          <w:b/>
        </w:rPr>
        <w:t>Mine the benchmark:</w:t>
      </w:r>
      <w:r>
        <w:t xml:space="preserve"> feed your notes on my discussion recording to the AI and ask, "what did this discussion NOT cover that the case supports?" — that gap is your Round 1 presentation.</w:t>
      </w:r>
    </w:p>
    <w:p>
      <w:pPr>
        <w:pStyle w:val="ListBullet"/>
      </w:pPr>
      <w:r>
        <w:rPr>
          <w:b/>
        </w:rPr>
        <w:t>Anticipate the room:</w:t>
      </w:r>
      <w:r>
        <w:t xml:space="preserve"> "Here's my discussion plan — where will students get stuck? What wrong answers should I expect on Q3, and how do I redirect without giving the answer?"</w:t>
      </w:r>
    </w:p>
    <w:p>
      <w:pPr>
        <w:pStyle w:val="ListBullet"/>
      </w:pPr>
      <w:r>
        <w:rPr>
          <w:b/>
        </w:rPr>
        <w:t>Build the map right:</w:t>
      </w:r>
      <w:r>
        <w:t xml:space="preserve"> the Nov 9 session shows the full pattern — year-anchored prompts, multiple runs per cell (a distribution of one is not data), case facts as the referee, "simulated" labels on every AI number.</w:t>
      </w:r>
    </w:p>
    <w:p>
      <w:pPr>
        <w:pStyle w:val="ListBullet"/>
      </w:pPr>
      <w:r>
        <w:rPr>
          <w:b/>
        </w:rPr>
        <w:t>Disclose it:</w:t>
      </w:r>
      <w:r>
        <w:t xml:space="preserve"> the disclosure slide is a must-have in both rounds, and the co-authorship appendix is a graded section of the report.</w:t>
      </w:r>
    </w:p>
    <w:p>
      <w:r>
        <w:rPr>
          <w:b/>
        </w:rPr>
        <w:t>The one rule:</w:t>
      </w:r>
      <w:r>
        <w:t xml:space="preserve"> if your presentation could be delivered by pressing play on AI output, the Q&amp;A will expose it and the survey will say so. AI prepares you to teach; it doesn't teach for you.</w:t>
      </w:r>
    </w:p>
    <w:p>
      <w:r>
        <w:rPr>
          <w:b/>
        </w:rPr>
        <w:t>And the integrity rule:</w:t>
      </w:r>
      <w:r>
        <w:t xml:space="preserve"> the publisher's real teaching note is off-limits — do not hunt for it, and do not prompt an AI to reconstruct it. Your grade rides on your reasoning about the classroom you actually sat in, which no leaked document contains.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