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Under Armour: Creating and Growing a New Consumer Brand</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40 raw: 3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Under Armour built a powerhouse brand on performance apparel for male athletes — and now wants $1.9 billion in sales to women by 2019. You are the brand strategist: articulate what the UA brand actually stands for, judge whether its women-targeted advertising delivers on that positioning, and recommend the ad approach going forward.</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AI reflection &amp; transparency</w:t>
            </w:r>
          </w:p>
        </w:tc>
        <w:tc>
          <w:tcPr>
            <w:tcW w:type="dxa" w:w="1008"/>
          </w:tcPr>
          <w:p>
            <w:r>
              <w:t>20%</w:t>
            </w:r>
          </w:p>
        </w:tc>
        <w:tc>
          <w:tcPr>
            <w:tcW w:type="dxa" w:w="2880"/>
          </w:tcPr>
          <w:p>
            <w:r>
              <w:t>Substantive exchanges logged — your positions, follow-ups, and pushbacks, not just the assignment question read aloud; honest reflection with a specific pushback/override moment; and a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conversation's share link and paste it in the Transcript link field at the end of this document.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"Under Armour: Creating and Growing a New Consumer Brand".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Answer every question below in the box provided.</w:t>
      </w:r>
    </w:p>
    <w:p>
      <w:pPr>
        <w:pStyle w:val="Heading2"/>
      </w:pPr>
      <w:r>
        <w:t>Question 1</w:t>
      </w:r>
    </w:p>
    <w:p>
      <w:r>
        <w:rPr>
          <w:b/>
        </w:rPr>
        <w:t>Write a positioning statement for the UA brand (use the detailed positioning statement template in our class to write your original positioning statement for UA; do not use the generic and short positioning statement on their website or other sites) and evaluate the drivers of UA's initial brand-building success.</w:t>
      </w:r>
    </w:p>
    <w:p>
      <w:r>
        <w:rPr>
          <w:b/>
        </w:rPr>
        <w:t xml:space="preserve">Hint: </w:t>
      </w:r>
      <w:r>
        <w:rPr>
          <w:i/>
        </w:rPr>
        <w:t>See the All Customers Differ lecture. Template: (a) Who are the customers? (b) What is the set of needs that the product or service fulfills? (c) Why is this product/service the best option to satisfy your needs (relative to competition or substitute; support for why; functional and emotional)?</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2</w:t>
      </w:r>
    </w:p>
    <w:p>
      <w:r>
        <w:rPr>
          <w:b/>
        </w:rPr>
        <w:t>Analyze the brand's ads targeted at women (see Table 2 in the case) to determine how well they align with the brand's positioning and how they resonate with women. Conduct a thorough analysis on the elements such as actors, music, theme, specific target audience (e.g., women athletes), etc. Derive and articulate the different approaches UA has used to reach and resonate with women in the advertisements.</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3</w:t>
      </w:r>
    </w:p>
    <w:p>
      <w:r>
        <w:rPr>
          <w:b/>
        </w:rPr>
        <w:t>Recommend the ideal approach to the theme of the ad going forward (which one and why) to achieve the goal of $1.9 billion in sales to women by 2019.</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1"/>
      </w:pPr>
      <w:r>
        <w:t>AI Usage Reflection</w:t>
      </w:r>
    </w:p>
    <w:p>
      <w:r>
        <w:t>Document how you used AI in your analysis. Iterative, original prompting scores high; pasting the assignment questions as prompts scores low. Requirements:</w:t>
      </w:r>
    </w:p>
    <w:p>
      <w:pPr>
        <w:pStyle w:val="ListBullet"/>
      </w:pPr>
      <w:r>
        <w:t>At least 3 substantive exchanges logged per case question — your positions, follow-ups, or pushbacks. Reading the assignment question to set the session agenda is fine, but it doesn't count as an exchange.</w:t>
      </w:r>
    </w:p>
    <w:p>
      <w:pPr>
        <w:pStyle w:val="ListBullet"/>
      </w:pPr>
      <w:r>
        <w:t>A reflection paragraph (150–300 words): what AI did well, where it misled you or pushed back, and how you adjusted.</w:t>
      </w:r>
    </w:p>
    <w:p>
      <w:pPr>
        <w:pStyle w:val="ListBullet"/>
      </w:pPr>
      <w:r>
        <w:t>A shareable transcript LINK (not pasted transcript text).</w:t>
      </w:r>
    </w:p>
    <w:p>
      <w:pPr>
        <w:pStyle w:val="Heading2"/>
      </w:pPr>
      <w:r>
        <w:t>Question 1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2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3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Reflection paragraph</w:t>
      </w:r>
    </w:p>
    <w:p>
      <w:r>
        <w:rPr>
          <w:i/>
        </w:rPr>
        <w:t>150–300 words: what AI did well, where it misled you or pushed back, and how you adjusted.</w:t>
      </w:r>
    </w:p>
    <w:tbl>
      <w:tblPr>
        <w:tblStyle w:val="TableGrid"/>
        <w:tblW w:type="auto" w:w="0"/>
        <w:tblLook w:firstColumn="1" w:firstRow="1" w:lastColumn="0" w:lastRow="0" w:noHBand="0" w:noVBand="1" w:val="04A0"/>
      </w:tblPr>
      <w:tblGrid>
        <w:gridCol w:w="8640"/>
      </w:tblGrid>
      <w:tr>
        <w:tc>
          <w:tcPr>
            <w:tcW w:type="dxa" w:w="8640"/>
          </w:tcPr>
          <w:p>
            <w:r/>
            <w:r>
              <w:rPr>
                <w:b/>
              </w:rPr>
              <w:t>Your reflection:</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a shareable LINK (ChatGPT share link, Google Doc, or OneDrive with "anyone with the link") — not the transcript text itself.</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Business-Appropriate Report</w:t>
      </w:r>
    </w:p>
    <w:p>
      <w:r>
        <w:t>This submission is evaluated on content (per the rubric above) and on report-style professionalism.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when referring to case data, include page numbers in parentheses (e.g., "sold at cost (p. 13)").</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