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Teaching Note Report — Team Assignment</w:t>
      </w:r>
    </w:p>
    <w:p>
      <w:r>
        <w:rPr>
          <w:b/>
        </w:rPr>
        <w:t>IBM4212 Marketing Problems — Fall 2026 · 20 points (team grade) · Due: your registrar-scheduled final-exam slot (finals week, Dec 7–13; exact date on Canvas) · Submit: one PDF per team on Canvas</w:t>
      </w:r>
    </w:p>
    <w:p>
      <w:pPr>
        <w:pStyle w:val="Heading2"/>
      </w:pPr>
      <w:r>
        <w:t>What you're writing</w:t>
      </w:r>
    </w:p>
    <w:p>
      <w:r>
        <w:t xml:space="preserve">Every Harvard case your professor teaches comes with a confidential instructor's manual called a </w:t>
      </w:r>
      <w:r>
        <w:rPr>
          <w:b/>
        </w:rPr>
        <w:t>teaching note</w:t>
      </w:r>
      <w:r>
        <w:t xml:space="preserve">: the case's learning objectives, the worked analysis behind each question, a plan for running the discussion, and the traps students fall into. You will never see one — they are instructor-only for a reason. Instead, your team will </w:t>
      </w:r>
      <w:r>
        <w:rPr>
          <w:b/>
        </w:rPr>
        <w:t>write one</w:t>
      </w:r>
      <w:r>
        <w:t>, for your assigned case, good enough that a new instructor could pick it up and teach the case well.</w:t>
      </w:r>
    </w:p>
    <w:p>
      <w:r>
        <w:t>This is the capstone of the course for a simple reason: you only truly understand a case when you can teach it. You analyzed your case as a student in Week N; now you must explain why the analysis works, where the class went wrong, and how you'd guide the next cohort — with AI as your co-author, disclosed.</w:t>
      </w:r>
    </w:p>
    <w:p>
      <w:r>
        <w:t xml:space="preserve">You pitch this document to the class twice before you write the full version: your </w:t>
      </w:r>
      <w:r>
        <w:rPr>
          <w:b/>
        </w:rPr>
        <w:t>case presentation</w:t>
      </w:r>
      <w:r>
        <w:t xml:space="preserve"> (the Wednesday of your case week, in class — its sharpest insights, live, beyond the Monday debrief) and your </w:t>
      </w:r>
      <w:r>
        <w:rPr>
          <w:b/>
        </w:rPr>
        <w:t>extension presentation</w:t>
      </w:r>
      <w:r>
        <w:t xml:space="preserve"> (Mon Nov 23, in person — your case's AI-synthetic-respondent perceptual map and the strategy it reveals, which becomes Section 5). The report is the full version, improved by both rounds of feedback; the </w:t>
      </w:r>
      <w:r>
        <w:rPr>
          <w:b/>
        </w:rPr>
        <w:t>Dec 2 instruction session</w:t>
      </w:r>
      <w:r>
        <w:t xml:space="preserve"> walks the structure with a worked example and an outline peer swap.</w:t>
      </w:r>
    </w:p>
    <w:p>
      <w:pPr>
        <w:pStyle w:val="Heading2"/>
      </w:pPr>
      <w:r>
        <w:t>Team case assignments</w:t>
      </w:r>
    </w:p>
    <w:p>
      <w:r>
        <w:t>Teams and cases are assigned in Week 1 — take notes during YOUR case's cycle (the workday, the debrief, the model answers). You are writing about a discussion you lived through.</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9"/>
              </w:rPr>
            </w:r>
            <w:r>
              <w:rPr>
                <w:b/>
                <w:sz w:val="19"/>
              </w:rPr>
              <w:t>Team</w:t>
            </w:r>
          </w:p>
        </w:tc>
        <w:tc>
          <w:tcPr>
            <w:tcW w:type="dxa" w:w="2484"/>
          </w:tcPr>
          <w:p>
            <w:r>
              <w:rPr>
                <w:b/>
                <w:sz w:val="19"/>
              </w:rPr>
            </w:r>
            <w:r>
              <w:rPr>
                <w:b/>
                <w:sz w:val="19"/>
              </w:rPr>
              <w:t>Case</w:t>
            </w:r>
          </w:p>
        </w:tc>
        <w:tc>
          <w:tcPr>
            <w:tcW w:type="dxa" w:w="2484"/>
          </w:tcPr>
          <w:p>
            <w:r>
              <w:rPr>
                <w:b/>
                <w:sz w:val="19"/>
              </w:rPr>
            </w:r>
            <w:r>
              <w:rPr>
                <w:b/>
                <w:sz w:val="19"/>
              </w:rPr>
              <w:t>Case cycle</w:t>
            </w:r>
          </w:p>
        </w:tc>
        <w:tc>
          <w:tcPr>
            <w:tcW w:type="dxa" w:w="2484"/>
          </w:tcPr>
          <w:p>
            <w:r>
              <w:rPr>
                <w:b/>
                <w:sz w:val="19"/>
              </w:rPr>
            </w:r>
            <w:r>
              <w:rPr>
                <w:b/>
                <w:sz w:val="19"/>
              </w:rPr>
              <w:t>Presentation (Wed of your case week, in class)</w:t>
            </w:r>
          </w:p>
        </w:tc>
      </w:tr>
      <w:tr>
        <w:tc>
          <w:tcPr>
            <w:tcW w:type="dxa" w:w="2484"/>
          </w:tcPr>
          <w:p>
            <w:r>
              <w:rPr>
                <w:sz w:val="19"/>
              </w:rPr>
            </w:r>
            <w:r>
              <w:rPr>
                <w:sz w:val="19"/>
              </w:rPr>
              <w:t>1</w:t>
            </w:r>
          </w:p>
        </w:tc>
        <w:tc>
          <w:tcPr>
            <w:tcW w:type="dxa" w:w="2484"/>
          </w:tcPr>
          <w:p>
            <w:r>
              <w:rPr>
                <w:sz w:val="19"/>
              </w:rPr>
            </w:r>
            <w:r>
              <w:rPr>
                <w:sz w:val="19"/>
              </w:rPr>
              <w:t>Aldi</w:t>
            </w:r>
          </w:p>
        </w:tc>
        <w:tc>
          <w:tcPr>
            <w:tcW w:type="dxa" w:w="2484"/>
          </w:tcPr>
          <w:p>
            <w:r>
              <w:rPr>
                <w:sz w:val="19"/>
              </w:rPr>
            </w:r>
            <w:r>
              <w:rPr>
                <w:sz w:val="19"/>
              </w:rPr>
              <w:t>Sep 14–21</w:t>
            </w:r>
          </w:p>
        </w:tc>
        <w:tc>
          <w:tcPr>
            <w:tcW w:type="dxa" w:w="2484"/>
          </w:tcPr>
          <w:p>
            <w:r>
              <w:rPr>
                <w:sz w:val="19"/>
              </w:rPr>
            </w:r>
            <w:r>
              <w:rPr>
                <w:sz w:val="19"/>
              </w:rPr>
              <w:t>Wed Sep 23</w:t>
            </w:r>
          </w:p>
        </w:tc>
      </w:tr>
      <w:tr>
        <w:tc>
          <w:tcPr>
            <w:tcW w:type="dxa" w:w="2484"/>
          </w:tcPr>
          <w:p>
            <w:r>
              <w:rPr>
                <w:sz w:val="19"/>
              </w:rPr>
            </w:r>
            <w:r>
              <w:rPr>
                <w:sz w:val="19"/>
              </w:rPr>
              <w:t>2</w:t>
            </w:r>
          </w:p>
        </w:tc>
        <w:tc>
          <w:tcPr>
            <w:tcW w:type="dxa" w:w="2484"/>
          </w:tcPr>
          <w:p>
            <w:r>
              <w:rPr>
                <w:sz w:val="19"/>
              </w:rPr>
            </w:r>
            <w:r>
              <w:rPr>
                <w:sz w:val="19"/>
              </w:rPr>
              <w:t>Under Armour</w:t>
            </w:r>
          </w:p>
        </w:tc>
        <w:tc>
          <w:tcPr>
            <w:tcW w:type="dxa" w:w="2484"/>
          </w:tcPr>
          <w:p>
            <w:r>
              <w:rPr>
                <w:sz w:val="19"/>
              </w:rPr>
            </w:r>
            <w:r>
              <w:rPr>
                <w:sz w:val="19"/>
              </w:rPr>
              <w:t>Sep 28 – Oct 5</w:t>
            </w:r>
          </w:p>
        </w:tc>
        <w:tc>
          <w:tcPr>
            <w:tcW w:type="dxa" w:w="2484"/>
          </w:tcPr>
          <w:p>
            <w:r>
              <w:rPr>
                <w:sz w:val="19"/>
              </w:rPr>
            </w:r>
            <w:r>
              <w:rPr>
                <w:sz w:val="19"/>
              </w:rPr>
              <w:t>Wed Oct 7</w:t>
            </w:r>
          </w:p>
        </w:tc>
      </w:tr>
      <w:tr>
        <w:tc>
          <w:tcPr>
            <w:tcW w:type="dxa" w:w="2484"/>
          </w:tcPr>
          <w:p>
            <w:r>
              <w:rPr>
                <w:sz w:val="19"/>
              </w:rPr>
            </w:r>
            <w:r>
              <w:rPr>
                <w:sz w:val="19"/>
              </w:rPr>
              <w:t>3</w:t>
            </w:r>
          </w:p>
        </w:tc>
        <w:tc>
          <w:tcPr>
            <w:tcW w:type="dxa" w:w="2484"/>
          </w:tcPr>
          <w:p>
            <w:r>
              <w:rPr>
                <w:sz w:val="19"/>
              </w:rPr>
            </w:r>
            <w:r>
              <w:rPr>
                <w:sz w:val="19"/>
              </w:rPr>
              <w:t>Google Glass</w:t>
            </w:r>
          </w:p>
        </w:tc>
        <w:tc>
          <w:tcPr>
            <w:tcW w:type="dxa" w:w="2484"/>
          </w:tcPr>
          <w:p>
            <w:r>
              <w:rPr>
                <w:sz w:val="19"/>
              </w:rPr>
            </w:r>
            <w:r>
              <w:rPr>
                <w:sz w:val="19"/>
              </w:rPr>
              <w:t>Oct 12–19</w:t>
            </w:r>
          </w:p>
        </w:tc>
        <w:tc>
          <w:tcPr>
            <w:tcW w:type="dxa" w:w="2484"/>
          </w:tcPr>
          <w:p>
            <w:r>
              <w:rPr>
                <w:sz w:val="19"/>
              </w:rPr>
            </w:r>
            <w:r>
              <w:rPr>
                <w:sz w:val="19"/>
              </w:rPr>
              <w:t>Wed Oct 21</w:t>
            </w:r>
          </w:p>
        </w:tc>
      </w:tr>
      <w:tr>
        <w:tc>
          <w:tcPr>
            <w:tcW w:type="dxa" w:w="2484"/>
          </w:tcPr>
          <w:p>
            <w:r>
              <w:rPr>
                <w:sz w:val="19"/>
              </w:rPr>
            </w:r>
            <w:r>
              <w:rPr>
                <w:sz w:val="19"/>
              </w:rPr>
              <w:t>4</w:t>
            </w:r>
          </w:p>
        </w:tc>
        <w:tc>
          <w:tcPr>
            <w:tcW w:type="dxa" w:w="2484"/>
          </w:tcPr>
          <w:p>
            <w:r>
              <w:rPr>
                <w:sz w:val="19"/>
              </w:rPr>
            </w:r>
            <w:r>
              <w:rPr>
                <w:sz w:val="19"/>
              </w:rPr>
              <w:t>Chunlei</w:t>
            </w:r>
          </w:p>
        </w:tc>
        <w:tc>
          <w:tcPr>
            <w:tcW w:type="dxa" w:w="2484"/>
          </w:tcPr>
          <w:p>
            <w:r>
              <w:rPr>
                <w:sz w:val="19"/>
              </w:rPr>
            </w:r>
            <w:r>
              <w:rPr>
                <w:sz w:val="19"/>
              </w:rPr>
              <w:t>Nov 2 – Nov 16 (due Sun Nov 8)</w:t>
            </w:r>
          </w:p>
        </w:tc>
        <w:tc>
          <w:tcPr>
            <w:tcW w:type="dxa" w:w="2484"/>
          </w:tcPr>
          <w:p>
            <w:r>
              <w:rPr>
                <w:sz w:val="19"/>
              </w:rPr>
            </w:r>
            <w:r>
              <w:rPr>
                <w:sz w:val="19"/>
              </w:rPr>
              <w:t>Mon Nov 16</w:t>
            </w:r>
          </w:p>
        </w:tc>
      </w:tr>
    </w:tbl>
    <w:p/>
    <w:p>
      <w:pPr>
        <w:pStyle w:val="Heading2"/>
      </w:pPr>
      <w:r>
        <w:t>Required structure</w:t>
      </w:r>
    </w:p>
    <w:p>
      <w:r>
        <w:t>Six sections, ~2,500–4,000 words total plus exhibits. Word budgets are guides, not hard caps — but a note twice this length is a worse note.</w:t>
      </w:r>
    </w:p>
    <w:p>
      <w:r>
        <w:rPr>
          <w:b/>
        </w:rPr>
        <w:t>1. Case synopsis &amp; course positioning (150–250 words).</w:t>
      </w:r>
    </w:p>
    <w:p>
      <w:r>
        <w:t>The central decision in two sentences (not a plot summary), why this case belongs in a marketing strategy course, and which week of the semester you'd teach it and why.</w:t>
      </w:r>
    </w:p>
    <w:p>
      <w:r>
        <w:rPr>
          <w:b/>
        </w:rPr>
        <w:t>2. Learning objectives (3–5 bullets).</w:t>
      </w:r>
    </w:p>
    <w:p>
      <w:r>
        <w:t>What a student should be able to DO after this case, each mapped to a specific course concept (first principles, STP, SCA, CLV, diffusion, branding…). "Understand Aldi" is not an objective; "evaluate when a cost-based positioning is defensible against a full-line incumbent" is.</w:t>
      </w:r>
    </w:p>
    <w:p>
      <w:r>
        <w:rPr>
          <w:b/>
        </w:rPr>
        <w:t>3. Analysis of each assignment question (the core — roughly half your words).</w:t>
      </w:r>
    </w:p>
    <w:p>
      <w:r>
        <w:t>For every homework question on your case:</w:t>
      </w:r>
    </w:p>
    <w:p>
      <w:pPr>
        <w:pStyle w:val="ListBullet"/>
      </w:pPr>
      <w:r>
        <w:t xml:space="preserve">The answer you would defend, with </w:t>
      </w:r>
      <w:r>
        <w:rPr>
          <w:b/>
        </w:rPr>
        <w:t>case evidence and page cites</w:t>
      </w:r>
      <w:r>
        <w:t>.</w:t>
      </w:r>
    </w:p>
    <w:p>
      <w:pPr>
        <w:pStyle w:val="ListBullet"/>
      </w:pPr>
      <w:r>
        <w:t xml:space="preserve">The quantitative question </w:t>
      </w:r>
      <w:r>
        <w:rPr>
          <w:b/>
        </w:rPr>
        <w:t>fully computed</w:t>
      </w:r>
      <w:r>
        <w:t xml:space="preserve"> — show the model in a table, state your assumptions, and give the sensitivity ("if churn is 30% instead of 20%, the answer flips").</w:t>
      </w:r>
    </w:p>
    <w:p>
      <w:pPr>
        <w:pStyle w:val="ListBullet"/>
      </w:pPr>
      <w:r>
        <w:rPr>
          <w:b/>
        </w:rPr>
        <w:t>The two most common wrong answers</w:t>
      </w:r>
      <w:r>
        <w:t xml:space="preserve"> you observed (from the class debrief and your own graded work) and </w:t>
      </w:r>
      <w:r>
        <w:rPr>
          <w:i/>
        </w:rPr>
        <w:t>why</w:t>
      </w:r>
      <w:r>
        <w:t xml:space="preserve"> students land there — that diagnosis is what separates a teaching note from an answer key.</w:t>
      </w:r>
    </w:p>
    <w:p>
      <w:r>
        <w:rPr>
          <w:b/>
        </w:rPr>
        <w:t>4. Discussion plan (300–500 words + a board plan).</w:t>
      </w:r>
    </w:p>
    <w:p>
      <w:r>
        <w:t>How you'd run 50 minutes: the opening question (not "so what did everyone think?"), the sequence from question to question, at least two participation formats, expected stall points and your redirect for each, and what the whiteboard should look like by minute 45.</w:t>
      </w:r>
    </w:p>
    <w:p>
      <w:r>
        <w:rPr>
          <w:b/>
        </w:rPr>
        <w:t>5. The perceptual-map extension (400–700 words + the map).</w:t>
      </w:r>
    </w:p>
    <w:p>
      <w:r>
        <w:t xml:space="preserve">The heart of the note's forward half, and the section your Nov 23 presentation pitched: </w:t>
      </w:r>
      <w:r>
        <w:rPr>
          <w:b/>
        </w:rPr>
        <w:t>your case × perceptual maps built from AI synthetic respondents</w:t>
      </w:r>
      <w:r>
        <w:t xml:space="preserve"> (the method from the Nov 9 session, demonstrated on Amazon). Include: the map itself (products, choice-driving attributes, and why those axes); the respondent protocol (year-anchored prompt, runs per cell — a distribution of one is not data); the sanity check against case facts (where map and case disagree, the case wins; every AI number labeled </w:t>
      </w:r>
      <w:r>
        <w:rPr>
          <w:i/>
        </w:rPr>
        <w:t>simulated</w:t>
      </w:r>
      <w:r>
        <w:t xml:space="preserve">); the positioning questions the map lets you interrogate; the strategy it reveals; and the whole thing packaged as a </w:t>
      </w:r>
      <w:r>
        <w:rPr>
          <w:b/>
        </w:rPr>
        <w:t>runnable classroom activity</w:t>
      </w:r>
      <w:r>
        <w:t xml:space="preserve"> a future instructor could execute (prompt included, timed, with a backstop if the AI fails live).</w:t>
      </w:r>
    </w:p>
    <w:p>
      <w:r>
        <w:rPr>
          <w:b/>
        </w:rPr>
        <w:t>6. AI co-authorship appendix (200–400 words + transcript links).</w:t>
      </w:r>
    </w:p>
    <w:p>
      <w:r>
        <w:t xml:space="preserve">How your team used AI to build this note, following the course disclosure norms: what it drafted, what you rejected and why, and </w:t>
      </w:r>
      <w:r>
        <w:rPr>
          <w:b/>
        </w:rPr>
        <w:t>at least one thing the AI got confidently wrong that you caught</w:t>
      </w:r>
      <w:r>
        <w:t xml:space="preserve"> — with the evidence you used to catch it. Include working transcript links.</w:t>
      </w:r>
    </w:p>
    <w:p>
      <w:pPr>
        <w:pStyle w:val="Heading2"/>
      </w:pPr>
      <w:r>
        <w:t>Sources — what's fair and what isn't</w:t>
      </w:r>
    </w:p>
    <w:p>
      <w:r>
        <w:rPr>
          <w:b/>
        </w:rPr>
        <w:t>Fair game (cite them):</w:t>
      </w:r>
      <w:r>
        <w:t xml:space="preserve"> the case itself, the class debrief, the posted Model Answers, the Skill Guide, your own graded submissions, lecture materials, AI with disclosure.</w:t>
      </w:r>
    </w:p>
    <w:p>
      <w:r>
        <w:rPr>
          <w:b/>
        </w:rPr>
        <w:t>Off limits:</w:t>
      </w:r>
      <w:r>
        <w:t xml:space="preserve"> the publisher's actual teaching note. HBS teaching notes are instructor-only; hunting one down online — or feeding an AI prompts designed to reconstruct one — is an academic-integrity violation, and it defeats the entire point. If you stumble onto one, close it and tell me. Your note will be judged on YOUR reasoning about YOUR classroom, which no leaked document contains.</w:t>
      </w:r>
    </w:p>
    <w:p>
      <w:pPr>
        <w:pStyle w:val="Heading2"/>
      </w:pPr>
      <w:r>
        <w:t>How you're graded (20 points)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9"/>
              </w:rPr>
            </w:r>
            <w:r>
              <w:rPr>
                <w:b/>
                <w:sz w:val="19"/>
              </w:rPr>
              <w:t>Criterion</w:t>
            </w:r>
          </w:p>
        </w:tc>
        <w:tc>
          <w:tcPr>
            <w:tcW w:type="dxa" w:w="3312"/>
          </w:tcPr>
          <w:p>
            <w:r>
              <w:rPr>
                <w:b/>
                <w:sz w:val="19"/>
              </w:rPr>
            </w:r>
            <w:r>
              <w:rPr>
                <w:b/>
                <w:sz w:val="19"/>
              </w:rPr>
              <w:t>Points</w:t>
            </w:r>
          </w:p>
        </w:tc>
        <w:tc>
          <w:tcPr>
            <w:tcW w:type="dxa" w:w="3312"/>
          </w:tcPr>
          <w:p>
            <w:r>
              <w:rPr>
                <w:b/>
                <w:sz w:val="19"/>
              </w:rPr>
            </w:r>
            <w:r>
              <w:rPr>
                <w:b/>
                <w:sz w:val="19"/>
              </w:rPr>
              <w:t>Strong work looks like</w:t>
            </w:r>
          </w:p>
        </w:tc>
      </w:tr>
      <w:tr>
        <w:tc>
          <w:tcPr>
            <w:tcW w:type="dxa" w:w="3312"/>
          </w:tcPr>
          <w:p>
            <w:r>
              <w:rPr>
                <w:sz w:val="19"/>
              </w:rPr>
            </w:r>
            <w:r>
              <w:rPr>
                <w:sz w:val="19"/>
              </w:rPr>
              <w:t>Question analyses &amp; evidence discipline</w:t>
            </w:r>
          </w:p>
        </w:tc>
        <w:tc>
          <w:tcPr>
            <w:tcW w:type="dxa" w:w="3312"/>
          </w:tcPr>
          <w:p>
            <w:r>
              <w:rPr>
                <w:sz w:val="19"/>
              </w:rPr>
            </w:r>
            <w:r>
              <w:rPr>
                <w:sz w:val="19"/>
              </w:rPr>
              <w:t>8</w:t>
            </w:r>
          </w:p>
        </w:tc>
        <w:tc>
          <w:tcPr>
            <w:tcW w:type="dxa" w:w="3312"/>
          </w:tcPr>
          <w:p>
            <w:r>
              <w:rPr>
                <w:sz w:val="19"/>
              </w:rPr>
            </w:r>
            <w:r>
              <w:rPr>
                <w:sz w:val="19"/>
              </w:rPr>
              <w:t>Defended answers with page cites; the quantitative model actually computed with assumptions and sensitivity; wrong-answer diagnosis grounded in what really happened in class</w:t>
            </w:r>
          </w:p>
        </w:tc>
      </w:tr>
      <w:tr>
        <w:tc>
          <w:tcPr>
            <w:tcW w:type="dxa" w:w="3312"/>
          </w:tcPr>
          <w:p>
            <w:r>
              <w:rPr>
                <w:sz w:val="19"/>
              </w:rPr>
            </w:r>
            <w:r>
              <w:rPr>
                <w:sz w:val="19"/>
              </w:rPr>
              <w:t>Learning objectives &amp; concept mapping</w:t>
            </w:r>
          </w:p>
        </w:tc>
        <w:tc>
          <w:tcPr>
            <w:tcW w:type="dxa" w:w="3312"/>
          </w:tcPr>
          <w:p>
            <w:r>
              <w:rPr>
                <w:sz w:val="19"/>
              </w:rPr>
            </w:r>
            <w:r>
              <w:rPr>
                <w:sz w:val="19"/>
              </w:rPr>
              <w:t>2</w:t>
            </w:r>
          </w:p>
        </w:tc>
        <w:tc>
          <w:tcPr>
            <w:tcW w:type="dxa" w:w="3312"/>
          </w:tcPr>
          <w:p>
            <w:r>
              <w:rPr>
                <w:sz w:val="19"/>
              </w:rPr>
            </w:r>
            <w:r>
              <w:rPr>
                <w:sz w:val="19"/>
              </w:rPr>
              <w:t>Action verbs, each objective tied to a named course concept</w:t>
            </w:r>
          </w:p>
        </w:tc>
      </w:tr>
      <w:tr>
        <w:tc>
          <w:tcPr>
            <w:tcW w:type="dxa" w:w="3312"/>
          </w:tcPr>
          <w:p>
            <w:r>
              <w:rPr>
                <w:sz w:val="19"/>
              </w:rPr>
            </w:r>
            <w:r>
              <w:rPr>
                <w:sz w:val="19"/>
              </w:rPr>
              <w:t>Discussion plan</w:t>
            </w:r>
          </w:p>
        </w:tc>
        <w:tc>
          <w:tcPr>
            <w:tcW w:type="dxa" w:w="3312"/>
          </w:tcPr>
          <w:p>
            <w:r>
              <w:rPr>
                <w:sz w:val="19"/>
              </w:rPr>
            </w:r>
            <w:r>
              <w:rPr>
                <w:sz w:val="19"/>
              </w:rPr>
              <w:t>3</w:t>
            </w:r>
          </w:p>
        </w:tc>
        <w:tc>
          <w:tcPr>
            <w:tcW w:type="dxa" w:w="3312"/>
          </w:tcPr>
          <w:p>
            <w:r>
              <w:rPr>
                <w:sz w:val="19"/>
              </w:rPr>
            </w:r>
            <w:r>
              <w:rPr>
                <w:sz w:val="19"/>
              </w:rPr>
              <w:t>Teachable by a stranger: real opening question, timed sequence, redirects for predicted stalls, board plan</w:t>
            </w:r>
          </w:p>
        </w:tc>
      </w:tr>
      <w:tr>
        <w:tc>
          <w:tcPr>
            <w:tcW w:type="dxa" w:w="3312"/>
          </w:tcPr>
          <w:p>
            <w:r>
              <w:rPr>
                <w:sz w:val="19"/>
              </w:rPr>
            </w:r>
            <w:r>
              <w:rPr>
                <w:sz w:val="19"/>
              </w:rPr>
              <w:t>Perceptual-map extension &amp; AI activity</w:t>
            </w:r>
          </w:p>
        </w:tc>
        <w:tc>
          <w:tcPr>
            <w:tcW w:type="dxa" w:w="3312"/>
          </w:tcPr>
          <w:p>
            <w:r>
              <w:rPr>
                <w:sz w:val="19"/>
              </w:rPr>
            </w:r>
            <w:r>
              <w:rPr>
                <w:sz w:val="19"/>
              </w:rPr>
              <w:t>4</w:t>
            </w:r>
          </w:p>
        </w:tc>
        <w:tc>
          <w:tcPr>
            <w:tcW w:type="dxa" w:w="3312"/>
          </w:tcPr>
          <w:p>
            <w:r>
              <w:rPr>
                <w:sz w:val="19"/>
              </w:rPr>
            </w:r>
            <w:r>
              <w:rPr>
                <w:sz w:val="19"/>
              </w:rPr>
              <w:t>A real map (year-anchored, multi-run, case-checked), a genuine strategic payoff — and a classroom activity that would actually run</w:t>
            </w:r>
          </w:p>
        </w:tc>
      </w:tr>
      <w:tr>
        <w:tc>
          <w:tcPr>
            <w:tcW w:type="dxa" w:w="3312"/>
          </w:tcPr>
          <w:p>
            <w:r>
              <w:rPr>
                <w:sz w:val="19"/>
              </w:rPr>
            </w:r>
            <w:r>
              <w:rPr>
                <w:sz w:val="19"/>
              </w:rPr>
              <w:t>AI co-authorship transparency</w:t>
            </w:r>
          </w:p>
        </w:tc>
        <w:tc>
          <w:tcPr>
            <w:tcW w:type="dxa" w:w="3312"/>
          </w:tcPr>
          <w:p>
            <w:r>
              <w:rPr>
                <w:sz w:val="19"/>
              </w:rPr>
            </w:r>
            <w:r>
              <w:rPr>
                <w:sz w:val="19"/>
              </w:rPr>
              <w:t>2</w:t>
            </w:r>
          </w:p>
        </w:tc>
        <w:tc>
          <w:tcPr>
            <w:tcW w:type="dxa" w:w="3312"/>
          </w:tcPr>
          <w:p>
            <w:r>
              <w:rPr>
                <w:sz w:val="19"/>
              </w:rPr>
            </w:r>
            <w:r>
              <w:rPr>
                <w:sz w:val="19"/>
              </w:rPr>
              <w:t>Honest delta log at team scale; the caught-AI-error is specific and evidenced</w:t>
            </w:r>
          </w:p>
        </w:tc>
      </w:tr>
      <w:tr>
        <w:tc>
          <w:tcPr>
            <w:tcW w:type="dxa" w:w="3312"/>
          </w:tcPr>
          <w:p>
            <w:r>
              <w:rPr>
                <w:sz w:val="19"/>
              </w:rPr>
            </w:r>
            <w:r>
              <w:rPr>
                <w:sz w:val="19"/>
              </w:rPr>
              <w:t>Writing &amp; organization</w:t>
            </w:r>
          </w:p>
        </w:tc>
        <w:tc>
          <w:tcPr>
            <w:tcW w:type="dxa" w:w="3312"/>
          </w:tcPr>
          <w:p>
            <w:r>
              <w:rPr>
                <w:sz w:val="19"/>
              </w:rPr>
            </w:r>
            <w:r>
              <w:rPr>
                <w:sz w:val="19"/>
              </w:rPr>
              <w:t>1</w:t>
            </w:r>
          </w:p>
        </w:tc>
        <w:tc>
          <w:tcPr>
            <w:tcW w:type="dxa" w:w="3312"/>
          </w:tcPr>
          <w:p>
            <w:r>
              <w:rPr>
                <w:sz w:val="19"/>
              </w:rPr>
            </w:r>
            <w:r>
              <w:rPr>
                <w:sz w:val="19"/>
              </w:rPr>
              <w:t>A new instructor could teach from it tomorrow</w:t>
            </w:r>
          </w:p>
        </w:tc>
      </w:tr>
    </w:tbl>
    <w:p/>
    <w:p>
      <w:pPr>
        <w:pStyle w:val="Heading2"/>
      </w:pPr>
      <w:r>
        <w:t>Timeline</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Date</w:t>
            </w:r>
          </w:p>
        </w:tc>
        <w:tc>
          <w:tcPr>
            <w:tcW w:type="dxa" w:w="4968"/>
          </w:tcPr>
          <w:p>
            <w:r>
              <w:rPr>
                <w:b/>
                <w:sz w:val="19"/>
              </w:rPr>
            </w:r>
            <w:r>
              <w:rPr>
                <w:b/>
                <w:sz w:val="19"/>
              </w:rPr>
              <w:t>Milestone</w:t>
            </w:r>
          </w:p>
        </w:tc>
      </w:tr>
      <w:tr>
        <w:tc>
          <w:tcPr>
            <w:tcW w:type="dxa" w:w="4968"/>
          </w:tcPr>
          <w:p>
            <w:r>
              <w:rPr>
                <w:sz w:val="19"/>
              </w:rPr>
            </w:r>
            <w:r>
              <w:rPr>
                <w:sz w:val="19"/>
              </w:rPr>
              <w:t>Week 1</w:t>
            </w:r>
          </w:p>
        </w:tc>
        <w:tc>
          <w:tcPr>
            <w:tcW w:type="dxa" w:w="4968"/>
          </w:tcPr>
          <w:p>
            <w:r>
              <w:rPr>
                <w:sz w:val="19"/>
              </w:rPr>
            </w:r>
            <w:r>
              <w:rPr>
                <w:sz w:val="19"/>
              </w:rPr>
              <w:t>Teams formed, cases assigned; brief + launch recording posted</w:t>
            </w:r>
          </w:p>
        </w:tc>
      </w:tr>
      <w:tr>
        <w:tc>
          <w:tcPr>
            <w:tcW w:type="dxa" w:w="4968"/>
          </w:tcPr>
          <w:p>
            <w:r>
              <w:rPr>
                <w:sz w:val="19"/>
              </w:rPr>
            </w:r>
            <w:r>
              <w:rPr>
                <w:sz w:val="19"/>
              </w:rPr>
              <w:t>Mon Sep 14</w:t>
            </w:r>
          </w:p>
        </w:tc>
        <w:tc>
          <w:tcPr>
            <w:tcW w:type="dxa" w:w="4968"/>
          </w:tcPr>
          <w:p>
            <w:r>
              <w:rPr>
                <w:sz w:val="19"/>
              </w:rPr>
            </w:r>
            <w:r>
              <w:rPr>
                <w:sz w:val="19"/>
              </w:rPr>
              <w:t>Project launch Q&amp;A in class: teaching-note anatomy, AI-prep patterns</w:t>
            </w:r>
          </w:p>
        </w:tc>
      </w:tr>
      <w:tr>
        <w:tc>
          <w:tcPr>
            <w:tcW w:type="dxa" w:w="4968"/>
          </w:tcPr>
          <w:p>
            <w:r>
              <w:rPr>
                <w:sz w:val="19"/>
              </w:rPr>
            </w:r>
            <w:r>
              <w:rPr>
                <w:sz w:val="19"/>
              </w:rPr>
              <w:t>Your case's cycle</w:t>
            </w:r>
          </w:p>
        </w:tc>
        <w:tc>
          <w:tcPr>
            <w:tcW w:type="dxa" w:w="4968"/>
          </w:tcPr>
          <w:p>
            <w:r>
              <w:rPr>
                <w:sz w:val="19"/>
              </w:rPr>
            </w:r>
            <w:r>
              <w:rPr>
                <w:sz w:val="19"/>
              </w:rPr>
              <w:t>Live it deliberately — log the debrief's best moments and worst stalls</w:t>
            </w:r>
          </w:p>
        </w:tc>
      </w:tr>
      <w:tr>
        <w:tc>
          <w:tcPr>
            <w:tcW w:type="dxa" w:w="4968"/>
          </w:tcPr>
          <w:p>
            <w:r>
              <w:rPr>
                <w:sz w:val="19"/>
              </w:rPr>
            </w:r>
            <w:r>
              <w:rPr>
                <w:sz w:val="19"/>
              </w:rPr>
              <w:t>Wed of your case week</w:t>
            </w:r>
          </w:p>
        </w:tc>
        <w:tc>
          <w:tcPr>
            <w:tcW w:type="dxa" w:w="4968"/>
          </w:tcPr>
          <w:p>
            <w:r>
              <w:rPr>
                <w:sz w:val="19"/>
              </w:rPr>
            </w:r>
            <w:r>
              <w:rPr>
                <w:b/>
                <w:sz w:val="19"/>
              </w:rPr>
              <w:t>Round 1 — case presentation</w:t>
            </w:r>
            <w:r>
              <w:rPr>
                <w:sz w:val="19"/>
              </w:rPr>
              <w:t xml:space="preserve"> (Sep 23 · Oct 7 · Oct 21 · Mon Nov 16 for Team 4; 15 min + 10 min Q&amp;A, in class) — class survey feeds the presentation grade (12 pts)</w:t>
            </w:r>
          </w:p>
        </w:tc>
      </w:tr>
      <w:tr>
        <w:tc>
          <w:tcPr>
            <w:tcW w:type="dxa" w:w="4968"/>
          </w:tcPr>
          <w:p>
            <w:r>
              <w:rPr>
                <w:sz w:val="19"/>
              </w:rPr>
            </w:r>
            <w:r>
              <w:rPr>
                <w:sz w:val="19"/>
              </w:rPr>
              <w:t>Mon Nov 9</w:t>
            </w:r>
          </w:p>
        </w:tc>
        <w:tc>
          <w:tcPr>
            <w:tcW w:type="dxa" w:w="4968"/>
          </w:tcPr>
          <w:p>
            <w:r>
              <w:rPr>
                <w:sz w:val="19"/>
              </w:rPr>
            </w:r>
            <w:r>
              <w:rPr>
                <w:sz w:val="19"/>
              </w:rPr>
              <w:t>Extension session: AI synthetic-respondent perceptual maps on Amazon — the method you apply to your case</w:t>
            </w:r>
          </w:p>
        </w:tc>
      </w:tr>
      <w:tr>
        <w:tc>
          <w:tcPr>
            <w:tcW w:type="dxa" w:w="4968"/>
          </w:tcPr>
          <w:p>
            <w:r>
              <w:rPr>
                <w:sz w:val="19"/>
              </w:rPr>
            </w:r>
            <w:r>
              <w:rPr>
                <w:sz w:val="19"/>
              </w:rPr>
              <w:t>Mon Nov 23</w:t>
            </w:r>
          </w:p>
        </w:tc>
        <w:tc>
          <w:tcPr>
            <w:tcW w:type="dxa" w:w="4968"/>
          </w:tcPr>
          <w:p>
            <w:r>
              <w:rPr>
                <w:sz w:val="19"/>
              </w:rPr>
            </w:r>
            <w:r>
              <w:rPr>
                <w:b/>
                <w:sz w:val="19"/>
              </w:rPr>
              <w:t>Round 2 — extension presentations</w:t>
            </w:r>
            <w:r>
              <w:rPr>
                <w:sz w:val="19"/>
              </w:rPr>
              <w:t>, all four teams (12 min + 3 min Q&amp;A, in person) — class survey (8 pts); this is Section 5, pitched live</w:t>
            </w:r>
          </w:p>
        </w:tc>
      </w:tr>
      <w:tr>
        <w:tc>
          <w:tcPr>
            <w:tcW w:type="dxa" w:w="4968"/>
          </w:tcPr>
          <w:p>
            <w:r>
              <w:rPr>
                <w:sz w:val="19"/>
              </w:rPr>
            </w:r>
            <w:r>
              <w:rPr>
                <w:sz w:val="19"/>
              </w:rPr>
              <w:t>Wed Dec 2</w:t>
            </w:r>
          </w:p>
        </w:tc>
        <w:tc>
          <w:tcPr>
            <w:tcW w:type="dxa" w:w="4968"/>
          </w:tcPr>
          <w:p>
            <w:r>
              <w:rPr>
                <w:sz w:val="19"/>
              </w:rPr>
            </w:r>
            <w:r>
              <w:rPr>
                <w:b/>
                <w:sz w:val="19"/>
              </w:rPr>
              <w:t>Instruction session (Zoom):</w:t>
            </w:r>
            <w:r>
              <w:rPr>
                <w:sz w:val="19"/>
              </w:rPr>
              <w:t xml:space="preserve"> report structure + worked example + outline peer swap — bring your draft outline</w:t>
            </w:r>
          </w:p>
        </w:tc>
      </w:tr>
      <w:tr>
        <w:tc>
          <w:tcPr>
            <w:tcW w:type="dxa" w:w="4968"/>
          </w:tcPr>
          <w:p>
            <w:r>
              <w:rPr>
                <w:sz w:val="19"/>
              </w:rPr>
            </w:r>
            <w:r>
              <w:rPr>
                <w:sz w:val="19"/>
              </w:rPr>
              <w:t>Finals week</w:t>
            </w:r>
          </w:p>
        </w:tc>
        <w:tc>
          <w:tcPr>
            <w:tcW w:type="dxa" w:w="4968"/>
          </w:tcPr>
          <w:p>
            <w:r>
              <w:rPr>
                <w:sz w:val="19"/>
              </w:rPr>
            </w:r>
            <w:r>
              <w:rPr>
                <w:b/>
                <w:sz w:val="19"/>
              </w:rPr>
              <w:t>Teaching Note Report due</w:t>
            </w:r>
            <w:r>
              <w:rPr>
                <w:sz w:val="19"/>
              </w:rPr>
              <w:t xml:space="preserve"> (one PDF per team)</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