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20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Wed Sep 16, start of class (write-up, every student); Team 1 presents in class that day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also uploads slides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in hand)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pStyle w:val="ListNumber"/>
      </w:pP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pStyle w:val="ListNumber"/>
      </w:pP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pStyle w:val="ListNumber"/>
      </w:pP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pStyle w:val="ListNumber"/>
      </w:pP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pStyle w:val="ListNumber"/>
      </w:pP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pStyle w:val="ListNumber"/>
      </w:pP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t xml:space="preserve">Have </w:t>
      </w:r>
      <w:r>
        <w:rPr>
          <w:b/>
        </w:rPr>
        <w:t>Burns &amp; Veeck, *Marketing Research* (10th ed.), Ch. 2 — The Marketing Research Process</w:t>
      </w:r>
      <w:r>
        <w:t xml:space="preserve"> open (eText or printout); if you have the chapter as a Word text file, attach it with the case. Fill Box A first, then paste the prompt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The mini-case is attached and I have the assigned textbook chapter in front of me. I have written my first-take answers and will read them to you row by row. Rules: never give me the answer. Start by asking me the case's core decision, then quiz me on two case facts.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quiz,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(20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 and the chapter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 (Week 11+)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10 — percentages, means, confidence intervals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11 — t-test, ANOVA, chi-square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things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measured on every respondent (income and purchase frequency; age and frequency): as one rises, does the other rise or fall?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variables associated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Ch. 12 — correlation, regression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it is a measured quantity on every respondent (continuous or ordinal),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