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PA6 — Data Analysis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Points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5 (term project — graded on the /100 rubric below, scaled to 5 pts)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Due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Tuesday Oct 27, 11:59 PM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Work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Team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Submit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Canvas — one </w:t>
            </w:r>
            <w:r>
              <w:rPr>
                <w:b/>
                <w:sz w:val="19"/>
              </w:rPr>
              <w:t>.docx</w:t>
            </w:r>
            <w:r>
              <w:rPr>
                <w:sz w:val="19"/>
              </w:rPr>
              <w:t xml:space="preserve">, the filled </w:t>
            </w:r>
            <w:r>
              <w:rPr>
                <w:b/>
                <w:sz w:val="19"/>
              </w:rPr>
              <w:t>submission template</w:t>
            </w:r>
            <w:r>
              <w:rPr>
                <w:sz w:val="19"/>
              </w:rPr>
              <w:t xml:space="preserve"> (PA6_Assignment_Description_Template.docx): numbered RQ list + filled RQ cards (Appendix A) + comparison plan (Appendix B)</w:t>
            </w:r>
          </w:p>
        </w:tc>
      </w:tr>
    </w:tbl>
    <w:p/>
    <w:p>
      <w:r>
        <w:rPr>
          <w:b/>
        </w:rPr>
        <w:t>Where this fits:</w:t>
      </w:r>
      <w:r>
        <w:t xml:space="preserve"> Lecture — Session 4.1 </w:t>
      </w:r>
      <w:r>
        <w:rPr>
          <w:i/>
        </w:rPr>
        <w:t>Descriptives + the Data Analysis Plan</w:t>
      </w:r>
      <w:r>
        <w:t xml:space="preserve"> (week 8) → Practice — Summit Point </w:t>
      </w:r>
      <w:r>
        <w:rPr>
          <w:b/>
        </w:rPr>
        <w:t>Round 12</w:t>
      </w:r>
      <w:r>
        <w:t xml:space="preserve"> (</w:t>
      </w:r>
      <w:r>
        <w:rPr>
          <w:i/>
        </w:rPr>
        <w:t>Analyze the Neo Survey</w:t>
      </w:r>
      <w:r>
        <w:t xml:space="preserve"> — the Analysis pack's pick-the-test-per-RQ page) → Now the real thing: the plan you will execute on Neo Smart Living's actual data in PA7.</w:t>
      </w:r>
    </w:p>
    <w:p>
      <w:r>
        <w:rPr>
          <w:b/>
        </w:rPr>
        <w:t>Two files to download.</w:t>
      </w:r>
      <w:r>
        <w:t xml:space="preserve"> This brief is the instructions. Your team types its plan only in the </w:t>
      </w:r>
      <w:r>
        <w:rPr>
          <w:b/>
        </w:rPr>
        <w:t>submission template</w:t>
      </w:r>
      <w:r>
        <w:t xml:space="preserve"> (PA6_Assignment_Description_Template.docx), and that is the file you upload.</w:t>
      </w:r>
    </w:p>
    <w:p>
      <w:pPr>
        <w:pStyle w:val="Heading2"/>
      </w:pPr>
      <w:r>
        <w:t>The gist</w:t>
      </w:r>
    </w:p>
    <w:p>
      <w:r>
        <w:t xml:space="preserve">Before anyone runs a single number, write down — for every research question — which aytm item, which variables, which level of measurement, and which descriptive statistic or statistical test will answer it. The plan spans both data sources: the </w:t>
      </w:r>
      <w:r>
        <w:rPr>
          <w:b/>
        </w:rPr>
        <w:t>aytm professional panel (n = 600)</w:t>
      </w:r>
      <w:r>
        <w:t xml:space="preserve"> and the </w:t>
      </w:r>
      <w:r>
        <w:rPr>
          <w:b/>
        </w:rPr>
        <w:t>class survey</w:t>
      </w:r>
      <w:r>
        <w:t xml:space="preserve"> — the aytm questionnaire plus a demographic block on the official Google Form (prior cohort + this term's PA5.5 wave). Because the class survey shares the aytm items, one Q# serves both. A tight plan makes PA7 an execution exercise; a loose one is where teams lose the most points in the whole project.</w:t>
      </w:r>
    </w:p>
    <w:p>
      <w:pPr>
        <w:pStyle w:val="Heading2"/>
      </w:pPr>
      <w:r>
        <w:t>The course conventions (your plan is graded against these)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Convention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Rule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Likert levels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5+ points = Interval</w:t>
            </w:r>
            <w:r>
              <w:rPr>
                <w:sz w:val="19"/>
              </w:rPr>
              <w:t xml:space="preserve"> (mean, SD, t-test, Pearson OK); </w:t>
            </w:r>
            <w:r>
              <w:rPr>
                <w:b/>
                <w:sz w:val="19"/>
              </w:rPr>
              <w:t>≤ 4 points = Ordinal</w:t>
            </w:r>
            <w:r>
              <w:rPr>
                <w:sz w:val="19"/>
              </w:rPr>
              <w:t xml:space="preserve"> (frequencies / %, no mean)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Two-way chi-square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</w:t>
            </w:r>
            <w:r>
              <w:rPr>
                <w:b/>
                <w:sz w:val="19"/>
              </w:rPr>
              <w:t>Differences</w:t>
            </w:r>
            <w:r>
              <w:rPr>
                <w:sz w:val="19"/>
              </w:rPr>
              <w:t xml:space="preserve"> test — phrase the RQ "Does [outcome] </w:t>
            </w:r>
            <w:r>
              <w:rPr>
                <w:b/>
                <w:sz w:val="19"/>
              </w:rPr>
              <w:t>differ</w:t>
            </w:r>
            <w:r>
              <w:rPr>
                <w:sz w:val="19"/>
              </w:rPr>
              <w:t xml:space="preserve"> between [groups]?"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Association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Pearson correlation, two interval-level variables only</w:t>
            </w:r>
            <w:r>
              <w:rPr>
                <w:sz w:val="19"/>
              </w:rPr>
              <w:t xml:space="preserve"> (5+-point Likert or a true number)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"Mean"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descriptive statistic, </w:t>
            </w:r>
            <w:r>
              <w:rPr>
                <w:b/>
                <w:sz w:val="19"/>
              </w:rPr>
              <w:t>never a test</w:t>
            </w:r>
            <w:r>
              <w:rPr>
                <w:sz w:val="19"/>
              </w:rPr>
              <w:t xml:space="preserve"> — comparing group means ⇒ independent-samples t-test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Question numbers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Always the </w:t>
            </w:r>
            <w:r>
              <w:rPr>
                <w:b/>
                <w:sz w:val="19"/>
              </w:rPr>
              <w:t>aytm Q#</w:t>
            </w:r>
            <w:r>
              <w:rPr>
                <w:sz w:val="19"/>
              </w:rPr>
              <w:t xml:space="preserve"> (instrument on Canvas) — never your own Form's numbering</w:t>
            </w:r>
          </w:p>
        </w:tc>
      </w:tr>
    </w:tbl>
    <w:p/>
    <w:p>
      <w:pPr>
        <w:pStyle w:val="Heading2"/>
      </w:pPr>
      <w:r>
        <w:t>Steps</w:t>
      </w:r>
    </w:p>
    <w:p>
      <w:pPr>
        <w:ind w:left="432" w:hanging="432"/>
      </w:pPr>
      <w:r>
        <w:t>1.</w:t>
        <w:tab/>
      </w:r>
      <w:r>
        <w:rPr>
          <w:b/>
        </w:rPr>
        <w:t>Number your research questions</w:t>
      </w:r>
      <w:r>
        <w:t xml:space="preserve"> (revised per PA3 feedback): ≥ 10 total, each labeled Descriptive / Differences / Association, with ≥ 1 Differences and ≥ 1 Association. </w:t>
      </w:r>
      <w:r>
        <w:rPr>
          <w:b/>
        </w:rPr>
        <w:t>The aytm instrument governs:</w:t>
      </w:r>
      <w:r>
        <w:t xml:space="preserve"> an RQ with no aytm item is rewritten or replaced now, not in PA7.</w:t>
      </w:r>
    </w:p>
    <w:p>
      <w:pPr>
        <w:ind w:left="432" w:hanging="432"/>
      </w:pPr>
      <w:r>
        <w:t>2.</w:t>
        <w:tab/>
      </w:r>
      <w:r>
        <w:rPr>
          <w:b/>
        </w:rPr>
        <w:t>Fill one RQ card per question</w:t>
      </w:r>
      <w:r>
        <w:t xml:space="preserve"> (Appendix A in the submission template): aytm Q#, variables — grouping vs. analysis separated for Differences RQs — level of measurement, the descriptive statistic OR statistical test, and the expected output.</w:t>
      </w:r>
    </w:p>
    <w:p>
      <w:pPr>
        <w:ind w:left="432" w:hanging="432"/>
      </w:pPr>
      <w:r>
        <w:t>3.</w:t>
        <w:tab/>
      </w:r>
      <w:r>
        <w:rPr>
          <w:b/>
        </w:rPr>
        <w:t>Plan the two-source comparison</w:t>
      </w:r>
      <w:r>
        <w:t xml:space="preserve"> (Appendix B in the submission template): 5 metrics measurable in both sources (the same 5 you will compare in PA7), the statistic to report per metric, and </w:t>
      </w:r>
      <w:r>
        <w:rPr>
          <w:b/>
        </w:rPr>
        <w:t>≥ 3 numeric convergence thresholds</w:t>
      </w:r>
      <w:r>
        <w:t xml:space="preserve"> (e.g., means within ± 0.5; same top-ranked category; top-category % within ± 10 points).</w:t>
      </w:r>
    </w:p>
    <w:p>
      <w:pPr>
        <w:ind w:left="432" w:hanging="432"/>
      </w:pPr>
      <w:r>
        <w:t>4.</w:t>
        <w:tab/>
      </w:r>
      <w:r>
        <w:rPr>
          <w:b/>
        </w:rPr>
        <w:t>State the instrument differences</w:t>
      </w:r>
      <w:r>
        <w:t xml:space="preserve"> and which RQs they touch: aytm is national, screened for outdoor space, no demographics; the class survey is convenience-based, SoCal, and carries the demographic block.</w:t>
      </w:r>
    </w:p>
    <w:p>
      <w:pPr>
        <w:ind w:left="432" w:hanging="432"/>
      </w:pPr>
      <w:r>
        <w:t>5.</w:t>
        <w:tab/>
      </w:r>
      <w:r>
        <w:rPr>
          <w:b/>
        </w:rPr>
        <w:t>Audit every card against the conventions table</w:t>
      </w:r>
      <w:r>
        <w:t xml:space="preserve"> above — the grader will.</w:t>
      </w:r>
    </w:p>
    <w:p>
      <w:pPr>
        <w:pStyle w:val="Heading2"/>
      </w:pPr>
      <w:r>
        <w:t>What to submit</w:t>
      </w:r>
    </w:p>
    <w:p>
      <w:pPr>
        <w:ind w:left="360"/>
      </w:pPr>
      <w:r>
        <w:rPr>
          <w:b/>
        </w:rPr>
        <w:t xml:space="preserve">☐  </w:t>
      </w:r>
      <w:r>
        <w:t xml:space="preserve">The filled </w:t>
      </w:r>
      <w:r>
        <w:rPr>
          <w:b/>
        </w:rPr>
        <w:t>submission template</w:t>
      </w:r>
      <w:r>
        <w:t>, holding everything below</w:t>
      </w:r>
    </w:p>
    <w:p>
      <w:pPr>
        <w:ind w:left="360"/>
      </w:pPr>
      <w:r>
        <w:rPr>
          <w:b/>
        </w:rPr>
        <w:t xml:space="preserve">☐  </w:t>
      </w:r>
      <w:r>
        <w:t>Numbered RQ list with Type labels (≥ 10 RQs; ≥ 1 Differences; ≥ 1 Association)</w:t>
      </w:r>
    </w:p>
    <w:p>
      <w:pPr>
        <w:ind w:left="360"/>
      </w:pPr>
      <w:r>
        <w:rPr>
          <w:b/>
        </w:rPr>
        <w:t xml:space="preserve">☐  </w:t>
      </w:r>
      <w:r>
        <w:t>One completed RQ card per research question (Appendix A)</w:t>
      </w:r>
    </w:p>
    <w:p>
      <w:pPr>
        <w:ind w:left="360"/>
      </w:pPr>
      <w:r>
        <w:rPr>
          <w:b/>
        </w:rPr>
        <w:t xml:space="preserve">☐  </w:t>
      </w:r>
      <w:r>
        <w:t>Two-source comparison plan (Appendix B) + instrument-differences paragraph naming the affected RQs</w:t>
      </w:r>
    </w:p>
    <w:p>
      <w:pPr>
        <w:ind w:left="360"/>
      </w:pPr>
      <w:r>
        <w:rPr>
          <w:b/>
        </w:rPr>
        <w:t xml:space="preserve">☐  </w:t>
      </w:r>
      <w:r>
        <w:t>AI reflection (below)</w:t>
      </w:r>
    </w:p>
    <w:p>
      <w:pPr>
        <w:pStyle w:val="Heading2"/>
      </w:pPr>
      <w:r>
        <w:t>How you'll be graded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Weight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Strong work looks like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RQ cards &amp; test mapping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35%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Every RQ carded; test matches RQ type; grouping vs. analysis variables separated; expected output names the specific table, chart, or statistic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Conventions compliance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20%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Likert rule applied; no "mean" listed as a test; Association rows pair two interval-level variables; chi-square RQs phrased as Differences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Two-source comparison plan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20%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5 Q-numbered metrics, a statistic per metric, ≥ 3 numeric thresholds, instrument differences tied to specific RQs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Completeness &amp; instrument alignment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15%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RQ minimums met; every Q# and variable name matches the aytm instrument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Process &amp; AI reflection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Human-first draft documented; the four reflection prompts answered specifically, not generically</w:t>
            </w:r>
          </w:p>
        </w:tc>
      </w:tr>
    </w:tbl>
    <w:p/>
    <w:p>
      <w:pPr>
        <w:pStyle w:val="Heading2"/>
      </w:pPr>
      <w:r>
        <w:t>AI reflection (required)</w:t>
      </w:r>
    </w:p>
    <w:p>
      <w:r>
        <w:rPr>
          <w:b/>
        </w:rPr>
        <w:t>Human first.</w:t>
      </w:r>
      <w:r>
        <w:t xml:space="preserve"> Draft or plan this assignment yourselves before any AI touches it. That order is the point: it is the only way to see what AI actually adds — or quietly subtracts. Then use AI to improve your draft, and answer the four prompts below (2–4 sentences each, specific to THIS assignment):</w:t>
      </w:r>
    </w:p>
    <w:p>
      <w:r>
        <w:t>(a) The most important change we made after using AI was…</w:t>
      </w:r>
    </w:p>
    <w:p>
      <w:r>
        <w:t>(b) We accepted this change because…</w:t>
      </w:r>
    </w:p>
    <w:p>
      <w:r>
        <w:t>(c) We rejected or substantially revised the AI suggestion that…</w:t>
      </w:r>
    </w:p>
    <w:p>
      <w:r>
        <w:t>(d) One uncertainty or question that remains is…</w:t>
      </w:r>
    </w:p>
    <w:p>
      <w:r>
        <w:t>List the tools you used and for what. Generic answers ("AI helped us improve clarity") score zero on this category; name the actual change.</w:t>
      </w:r>
    </w:p>
    <w:p>
      <w:r>
        <w:br w:type="page"/>
      </w:r>
    </w:p>
    <w:p>
      <w:pPr>
        <w:pStyle w:val="Heading2"/>
      </w:pPr>
      <w:r>
        <w:t>Appendix A — RQ cards (fill one row per research question)</w:t>
      </w:r>
    </w:p>
    <w:p>
      <w:pPr>
        <w:ind w:left="432"/>
      </w:pPr>
      <w:r>
        <w:rPr>
          <w:b/>
          <w:i/>
          <w:sz w:val="19"/>
        </w:rPr>
        <w:t>Fill this in the separate submission template, not here:</w:t>
      </w:r>
      <w:r>
        <w:rPr>
          <w:i/>
          <w:sz w:val="19"/>
        </w:rPr>
        <w:t xml:space="preserve"> download </w:t>
      </w:r>
      <w:r>
        <w:rPr>
          <w:b/>
          <w:i/>
          <w:sz w:val="19"/>
        </w:rPr>
        <w:t>PA6_Assignment_Description_Template.docx</w:t>
      </w:r>
      <w:r>
        <w:rPr>
          <w:i/>
          <w:sz w:val="19"/>
        </w:rPr>
        <w:t xml:space="preserve"> (next to this brief on the Course Hub and in Canvas), fill it in, and upload that file. This document is instructions only; nothing in it is graded.</w:t>
      </w:r>
    </w:p>
    <w:p>
      <w:pPr>
        <w:pStyle w:val="Heading3"/>
      </w:pPr>
      <w:r>
        <w:t>Filled example cards — one per RQ type</w:t>
      </w:r>
    </w:p>
    <w:p>
      <w:pPr>
        <w:sectPr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RQ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Type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aytm Q#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Variables (grouping vs. analysis)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Level of measurement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Descriptive stat OR test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Expected output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sz w:val="18"/>
              </w:rPr>
              <w:t>What is the distribution of purchase interest at the ~$23,000 price point?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sz w:val="18"/>
              </w:rPr>
              <w:t>Descriptive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sz w:val="18"/>
              </w:rPr>
              <w:t>Q6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sz w:val="18"/>
              </w:rPr>
              <w:t>Purchase interest at $23K (single variable)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sz w:val="18"/>
              </w:rPr>
              <w:t>Interval (1–5 Likert → 5+ rule)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sz w:val="18"/>
              </w:rPr>
              <w:t>Descriptive statistic: mean, SD, frequency distribution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sz w:val="18"/>
              </w:rPr>
              <w:t>Mean interest (e.g., "M = 2.34, SD = 1.32"); % rating 4–5 (top-2 box); bar chart of the distribution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sz w:val="18"/>
              </w:rPr>
              <w:t>Does purchase interest (Q6) differ between HOA members and non-members?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sz w:val="18"/>
              </w:rPr>
              <w:t>Differences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sz w:val="18"/>
              </w:rPr>
              <w:t>Q6 × Q35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Grouping:</w:t>
            </w:r>
            <w:r>
              <w:rPr>
                <w:sz w:val="18"/>
              </w:rPr>
              <w:t xml:space="preserve"> HOA membership (Q35, Nominal, Yes / No — exclude "Not sure"). </w:t>
            </w:r>
            <w:r>
              <w:rPr>
                <w:b/>
                <w:sz w:val="18"/>
              </w:rPr>
              <w:t>Analysis:</w:t>
            </w:r>
            <w:r>
              <w:rPr>
                <w:sz w:val="18"/>
              </w:rPr>
              <w:t xml:space="preserve"> purchase interest (Q6, Interval)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sz w:val="18"/>
              </w:rPr>
              <w:t>Interval × Nominal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sz w:val="18"/>
              </w:rPr>
              <w:t>Statistical test: independent-samples t-test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sz w:val="18"/>
              </w:rPr>
              <w:t>Group means ± SD (descriptive support); t, df, p, Cohen's d (test output); bar chart of means by group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sz w:val="18"/>
              </w:rPr>
              <w:t>Is there a positive relationship between general interest in a backyard unit (Q3) and purchase likelihood (Q7)?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sz w:val="18"/>
              </w:rPr>
              <w:t>Association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sz w:val="18"/>
              </w:rPr>
              <w:t>Q3 × Q7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sz w:val="18"/>
              </w:rPr>
              <w:t>General interest (Interval) × purchase likelihood (Interval) — both continuous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sz w:val="18"/>
              </w:rPr>
              <w:t>Interval × Interval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sz w:val="18"/>
              </w:rPr>
              <w:t>Statistical test: Pearson correlation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sz w:val="18"/>
              </w:rPr>
              <w:t>r and p (e.g., "r = .54, p &lt; .001"); scatter plot; direction + strength interpretation</w:t>
            </w:r>
          </w:p>
        </w:tc>
      </w:tr>
    </w:tbl>
    <w:p/>
    <w:p>
      <w:pPr>
        <w:sectPr>
          <w:pgSz w:w="15840" w:h="12240" w:orient="landscape"/>
          <w:pgMar w:top="1008" w:right="864" w:bottom="1008" w:left="864" w:header="720" w:footer="720" w:gutter="0"/>
          <w:cols w:space="720"/>
          <w:docGrid w:linePitch="360"/>
        </w:sectPr>
      </w:pPr>
    </w:p>
    <w:p>
      <w:pPr>
        <w:pStyle w:val="Heading2"/>
      </w:pPr>
      <w:r>
        <w:t>Appendix B — Two-source comparison plan (fill this table)</w:t>
      </w:r>
    </w:p>
    <w:p>
      <w:pPr>
        <w:ind w:left="432"/>
      </w:pPr>
      <w:r>
        <w:rPr>
          <w:i/>
          <w:sz w:val="19"/>
        </w:rPr>
        <w:t>In the submission template (PA6_Assignment_Description_Template.docx).</w:t>
      </w:r>
    </w:p>
    <w:p>
      <w:r>
        <w:t>The two "fill in PA7" columns stay empty now; the Statistic column names what you will compute in PA7 (e.g., "mean + top-2-box %" or "% per category + modal category"), not a number. Cross-source comparison in this course is descriptive only: no inferential test across sources.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2B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5E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5E4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