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PA7 — Data Analysis Report</w:t>
      </w:r>
    </w:p>
    <w:tbl>
      <w:tblPr>
        <w:tblStyle w:val="TableGrid"/>
        <w:tblW w:type="auto" w:w="0"/>
        <w:tblLook w:firstColumn="1" w:firstRow="1" w:lastColumn="0" w:lastRow="0" w:noHBand="0" w:noVBand="1" w:val="04A0"/>
      </w:tblPr>
      <w:tblGrid>
        <w:gridCol w:w="4968"/>
        <w:gridCol w:w="4968"/>
      </w:tblGrid>
      <w:tr>
        <w:tc>
          <w:tcPr>
            <w:tcW w:type="dxa" w:w="4968"/>
          </w:tcPr>
          <w:p>
            <w:r>
              <w:rPr>
                <w:sz w:val="19"/>
              </w:rPr>
            </w:r>
            <w:r>
              <w:rPr>
                <w:sz w:val="19"/>
              </w:rPr>
              <w:t>Points</w:t>
            </w:r>
          </w:p>
        </w:tc>
        <w:tc>
          <w:tcPr>
            <w:tcW w:type="dxa" w:w="4968"/>
          </w:tcPr>
          <w:p>
            <w:r>
              <w:rPr>
                <w:sz w:val="19"/>
              </w:rPr>
            </w:r>
            <w:r>
              <w:rPr>
                <w:sz w:val="19"/>
              </w:rPr>
              <w:t>6 (term project — graded on the /100 rubric below, scaled to 6 pts)</w:t>
            </w:r>
          </w:p>
        </w:tc>
      </w:tr>
      <w:tr>
        <w:tc>
          <w:tcPr>
            <w:tcW w:type="dxa" w:w="4968"/>
          </w:tcPr>
          <w:p>
            <w:r>
              <w:rPr>
                <w:sz w:val="19"/>
              </w:rPr>
            </w:r>
            <w:r>
              <w:rPr>
                <w:sz w:val="19"/>
              </w:rPr>
              <w:t>Due</w:t>
            </w:r>
          </w:p>
        </w:tc>
        <w:tc>
          <w:tcPr>
            <w:tcW w:type="dxa" w:w="4968"/>
          </w:tcPr>
          <w:p>
            <w:r>
              <w:rPr>
                <w:sz w:val="19"/>
              </w:rPr>
            </w:r>
            <w:r>
              <w:rPr>
                <w:sz w:val="19"/>
              </w:rPr>
              <w:t>Tuesday Nov 10, 11:59 PM</w:t>
            </w:r>
          </w:p>
        </w:tc>
      </w:tr>
      <w:tr>
        <w:tc>
          <w:tcPr>
            <w:tcW w:type="dxa" w:w="4968"/>
          </w:tcPr>
          <w:p>
            <w:r>
              <w:rPr>
                <w:sz w:val="19"/>
              </w:rPr>
            </w:r>
            <w:r>
              <w:rPr>
                <w:sz w:val="19"/>
              </w:rPr>
              <w:t>Work</w:t>
            </w:r>
          </w:p>
        </w:tc>
        <w:tc>
          <w:tcPr>
            <w:tcW w:type="dxa" w:w="4968"/>
          </w:tcPr>
          <w:p>
            <w:r>
              <w:rPr>
                <w:sz w:val="19"/>
              </w:rPr>
            </w:r>
            <w:r>
              <w:rPr>
                <w:sz w:val="19"/>
              </w:rPr>
              <w:t>Team</w:t>
            </w:r>
          </w:p>
        </w:tc>
      </w:tr>
      <w:tr>
        <w:tc>
          <w:tcPr>
            <w:tcW w:type="dxa" w:w="4968"/>
          </w:tcPr>
          <w:p>
            <w:r>
              <w:rPr>
                <w:sz w:val="19"/>
              </w:rPr>
            </w:r>
            <w:r>
              <w:rPr>
                <w:sz w:val="19"/>
              </w:rPr>
              <w:t>Submit</w:t>
            </w:r>
          </w:p>
        </w:tc>
        <w:tc>
          <w:tcPr>
            <w:tcW w:type="dxa" w:w="4968"/>
          </w:tcPr>
          <w:p>
            <w:r>
              <w:rPr>
                <w:sz w:val="19"/>
              </w:rPr>
            </w:r>
            <w:r>
              <w:rPr>
                <w:sz w:val="19"/>
              </w:rPr>
              <w:t xml:space="preserve">Canvas — one </w:t>
            </w:r>
            <w:r>
              <w:rPr>
                <w:b/>
                <w:sz w:val="19"/>
              </w:rPr>
              <w:t>.docx</w:t>
            </w:r>
            <w:r>
              <w:rPr>
                <w:sz w:val="19"/>
              </w:rPr>
              <w:t xml:space="preserve"> per team, the filled </w:t>
            </w:r>
            <w:r>
              <w:rPr>
                <w:b/>
                <w:sz w:val="19"/>
              </w:rPr>
              <w:t>submission template</w:t>
            </w:r>
            <w:r>
              <w:rPr>
                <w:sz w:val="19"/>
              </w:rPr>
              <w:t xml:space="preserve"> (PA7_Data_Analysis_Report_Template.docx), pages numbered. The PA and any AI transcript are always Word; no links</w:t>
            </w:r>
          </w:p>
        </w:tc>
      </w:tr>
    </w:tbl>
    <w:p/>
    <w:p>
      <w:r>
        <w:rPr>
          <w:b/>
        </w:rPr>
        <w:t>Where this fits:</w:t>
      </w:r>
      <w:r>
        <w:t xml:space="preserve"> Lecture — Sessions 4.3 </w:t>
      </w:r>
      <w:r>
        <w:rPr>
          <w:i/>
        </w:rPr>
        <w:t>t-tests + effect sizes</w:t>
      </w:r>
      <w:r>
        <w:t xml:space="preserve"> (week 9) and 4.2 </w:t>
      </w:r>
      <w:r>
        <w:rPr>
          <w:i/>
        </w:rPr>
        <w:t>Chi-square + cross-tabs</w:t>
      </w:r>
      <w:r>
        <w:t xml:space="preserve"> (week 11) → Practice — Summit Point </w:t>
      </w:r>
      <w:r>
        <w:rPr>
          <w:b/>
        </w:rPr>
        <w:t>Round 12</w:t>
      </w:r>
      <w:r>
        <w:t xml:space="preserve"> </w:t>
      </w:r>
      <w:r>
        <w:rPr>
          <w:i/>
        </w:rPr>
        <w:t>Analyze the Neo Survey</w:t>
      </w:r>
      <w:r>
        <w:t xml:space="preserve"> (the income cross-tab, topline reads, and defensible-findings tasks) → Now the real thing: your PA6 plan, executed on the real datasets.</w:t>
      </w:r>
    </w:p>
    <w:p>
      <w:r>
        <w:rPr>
          <w:b/>
        </w:rPr>
        <w:t>Two files to download.</w:t>
      </w:r>
      <w:r>
        <w:t xml:space="preserve"> This brief is the instructions. Your team writes the report only in the </w:t>
      </w:r>
      <w:r>
        <w:rPr>
          <w:b/>
        </w:rPr>
        <w:t>submission template</w:t>
      </w:r>
      <w:r>
        <w:t xml:space="preserve"> (PA7_Data_Analysis_Report_Template.docx), and that is the file you upload.</w:t>
      </w:r>
    </w:p>
    <w:p>
      <w:pPr>
        <w:pStyle w:val="Heading2"/>
      </w:pPr>
      <w:r>
        <w:t>The gist</w:t>
      </w:r>
    </w:p>
    <w:p>
      <w:r>
        <w:t>This is the analytical heart of the project: run every research question from your PA6 plan on the actual data, prove you can do the two workhorse tests by hand, and put the two sources side by side to see which findings Neo Smart Living can trust. The cleaned datasets and the column-mapping file are posted on Canvas.</w:t>
      </w:r>
    </w:p>
    <w:p>
      <w:pPr>
        <w:pStyle w:val="Heading2"/>
      </w:pPr>
      <w:r>
        <w:t>About the two samples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9"/>
              </w:rPr>
            </w:r>
            <w:r>
              <w:rPr>
                <w:b/>
                <w:sz w:val="19"/>
              </w:rPr>
              <w:t>Attribute</w:t>
            </w:r>
          </w:p>
        </w:tc>
        <w:tc>
          <w:tcPr>
            <w:tcW w:type="dxa" w:w="3312"/>
          </w:tcPr>
          <w:p>
            <w:r>
              <w:rPr>
                <w:b/>
                <w:sz w:val="19"/>
              </w:rPr>
            </w:r>
            <w:r>
              <w:rPr>
                <w:b/>
                <w:sz w:val="19"/>
              </w:rPr>
              <w:t>aytm panel</w:t>
            </w:r>
          </w:p>
        </w:tc>
        <w:tc>
          <w:tcPr>
            <w:tcW w:type="dxa" w:w="3312"/>
          </w:tcPr>
          <w:p>
            <w:r>
              <w:rPr>
                <w:b/>
                <w:sz w:val="19"/>
              </w:rPr>
            </w:r>
            <w:r>
              <w:rPr>
                <w:b/>
                <w:sz w:val="19"/>
              </w:rPr>
              <w:t>Student survey</w:t>
            </w:r>
          </w:p>
        </w:tc>
      </w:tr>
      <w:tr>
        <w:tc>
          <w:tcPr>
            <w:tcW w:type="dxa" w:w="3312"/>
          </w:tcPr>
          <w:p>
            <w:r>
              <w:rPr>
                <w:sz w:val="19"/>
              </w:rPr>
            </w:r>
            <w:r>
              <w:rPr>
                <w:sz w:val="19"/>
              </w:rPr>
              <w:t>n</w:t>
            </w:r>
          </w:p>
        </w:tc>
        <w:tc>
          <w:tcPr>
            <w:tcW w:type="dxa" w:w="3312"/>
          </w:tcPr>
          <w:p>
            <w:r>
              <w:rPr>
                <w:sz w:val="19"/>
              </w:rPr>
            </w:r>
            <w:r>
              <w:rPr>
                <w:sz w:val="19"/>
              </w:rPr>
              <w:t>600</w:t>
            </w:r>
          </w:p>
        </w:tc>
        <w:tc>
          <w:tcPr>
            <w:tcW w:type="dxa" w:w="3312"/>
          </w:tcPr>
          <w:p>
            <w:r>
              <w:rPr>
                <w:sz w:val="19"/>
              </w:rPr>
            </w:r>
            <w:r>
              <w:rPr>
                <w:sz w:val="19"/>
              </w:rPr>
              <w:t>as stated on the Canvas file</w:t>
            </w:r>
          </w:p>
        </w:tc>
      </w:tr>
      <w:tr>
        <w:tc>
          <w:tcPr>
            <w:tcW w:type="dxa" w:w="3312"/>
          </w:tcPr>
          <w:p>
            <w:r>
              <w:rPr>
                <w:sz w:val="19"/>
              </w:rPr>
            </w:r>
            <w:r>
              <w:rPr>
                <w:sz w:val="19"/>
              </w:rPr>
              <w:t>Geography</w:t>
            </w:r>
          </w:p>
        </w:tc>
        <w:tc>
          <w:tcPr>
            <w:tcW w:type="dxa" w:w="3312"/>
          </w:tcPr>
          <w:p>
            <w:r>
              <w:rPr>
                <w:sz w:val="19"/>
              </w:rPr>
            </w:r>
            <w:r>
              <w:rPr>
                <w:sz w:val="19"/>
              </w:rPr>
              <w:t>National US</w:t>
            </w:r>
          </w:p>
        </w:tc>
        <w:tc>
          <w:tcPr>
            <w:tcW w:type="dxa" w:w="3312"/>
          </w:tcPr>
          <w:p>
            <w:r>
              <w:rPr>
                <w:sz w:val="19"/>
              </w:rPr>
            </w:r>
            <w:r>
              <w:rPr>
                <w:sz w:val="19"/>
              </w:rPr>
              <w:t>SoCal (Inland Empire / eastern LA)</w:t>
            </w:r>
          </w:p>
        </w:tc>
      </w:tr>
      <w:tr>
        <w:tc>
          <w:tcPr>
            <w:tcW w:type="dxa" w:w="3312"/>
          </w:tcPr>
          <w:p>
            <w:r>
              <w:rPr>
                <w:sz w:val="19"/>
              </w:rPr>
            </w:r>
            <w:r>
              <w:rPr>
                <w:sz w:val="19"/>
              </w:rPr>
              <w:t>Screened for outdoor space</w:t>
            </w:r>
          </w:p>
        </w:tc>
        <w:tc>
          <w:tcPr>
            <w:tcW w:type="dxa" w:w="3312"/>
          </w:tcPr>
          <w:p>
            <w:r>
              <w:rPr>
                <w:sz w:val="19"/>
              </w:rPr>
            </w:r>
            <w:r>
              <w:rPr>
                <w:sz w:val="19"/>
              </w:rPr>
              <w:t>Yes — pre-screened</w:t>
            </w:r>
          </w:p>
        </w:tc>
        <w:tc>
          <w:tcPr>
            <w:tcW w:type="dxa" w:w="3312"/>
          </w:tcPr>
          <w:p>
            <w:r>
              <w:rPr>
                <w:sz w:val="19"/>
              </w:rPr>
            </w:r>
            <w:r>
              <w:rPr>
                <w:sz w:val="19"/>
              </w:rPr>
              <w:t>No — unscreened</w:t>
            </w:r>
          </w:p>
        </w:tc>
      </w:tr>
      <w:tr>
        <w:tc>
          <w:tcPr>
            <w:tcW w:type="dxa" w:w="3312"/>
          </w:tcPr>
          <w:p>
            <w:r>
              <w:rPr>
                <w:sz w:val="19"/>
              </w:rPr>
            </w:r>
            <w:r>
              <w:rPr>
                <w:sz w:val="19"/>
              </w:rPr>
              <w:t>Recruitment</w:t>
            </w:r>
          </w:p>
        </w:tc>
        <w:tc>
          <w:tcPr>
            <w:tcW w:type="dxa" w:w="3312"/>
          </w:tcPr>
          <w:p>
            <w:r>
              <w:rPr>
                <w:sz w:val="19"/>
              </w:rPr>
            </w:r>
            <w:r>
              <w:rPr>
                <w:sz w:val="19"/>
              </w:rPr>
              <w:t>Professional homeowner panel</w:t>
            </w:r>
          </w:p>
        </w:tc>
        <w:tc>
          <w:tcPr>
            <w:tcW w:type="dxa" w:w="3312"/>
          </w:tcPr>
          <w:p>
            <w:r>
              <w:rPr>
                <w:sz w:val="19"/>
              </w:rPr>
            </w:r>
            <w:r>
              <w:rPr>
                <w:sz w:val="19"/>
              </w:rPr>
              <w:t>Friends &amp; family who own homes or land</w:t>
            </w:r>
          </w:p>
        </w:tc>
      </w:tr>
      <w:tr>
        <w:tc>
          <w:tcPr>
            <w:tcW w:type="dxa" w:w="3312"/>
          </w:tcPr>
          <w:p>
            <w:r>
              <w:rPr>
                <w:sz w:val="19"/>
              </w:rPr>
            </w:r>
            <w:r>
              <w:rPr>
                <w:sz w:val="19"/>
              </w:rPr>
              <w:t>Racial composition</w:t>
            </w:r>
          </w:p>
        </w:tc>
        <w:tc>
          <w:tcPr>
            <w:tcW w:type="dxa" w:w="3312"/>
          </w:tcPr>
          <w:p>
            <w:r>
              <w:rPr>
                <w:sz w:val="19"/>
              </w:rPr>
            </w:r>
            <w:r>
              <w:rPr>
                <w:sz w:val="19"/>
              </w:rPr>
              <w:t>86% White</w:t>
            </w:r>
          </w:p>
        </w:tc>
        <w:tc>
          <w:tcPr>
            <w:tcW w:type="dxa" w:w="3312"/>
          </w:tcPr>
          <w:p>
            <w:r>
              <w:rPr>
                <w:sz w:val="19"/>
              </w:rPr>
            </w:r>
            <w:r>
              <w:rPr>
                <w:sz w:val="19"/>
              </w:rPr>
              <w:t>Majority Hispanic/Latino and Asian-American</w:t>
            </w:r>
          </w:p>
        </w:tc>
      </w:tr>
      <w:tr>
        <w:tc>
          <w:tcPr>
            <w:tcW w:type="dxa" w:w="3312"/>
          </w:tcPr>
          <w:p>
            <w:r>
              <w:rPr>
                <w:sz w:val="19"/>
              </w:rPr>
            </w:r>
            <w:r>
              <w:rPr>
                <w:sz w:val="19"/>
              </w:rPr>
              <w:t>Researched the product before</w:t>
            </w:r>
          </w:p>
        </w:tc>
        <w:tc>
          <w:tcPr>
            <w:tcW w:type="dxa" w:w="3312"/>
          </w:tcPr>
          <w:p>
            <w:r>
              <w:rPr>
                <w:sz w:val="19"/>
              </w:rPr>
            </w:r>
            <w:r>
              <w:rPr>
                <w:sz w:val="19"/>
              </w:rPr>
              <w:t>27%</w:t>
            </w:r>
          </w:p>
        </w:tc>
        <w:tc>
          <w:tcPr>
            <w:tcW w:type="dxa" w:w="3312"/>
          </w:tcPr>
          <w:p>
            <w:r>
              <w:rPr>
                <w:sz w:val="19"/>
              </w:rPr>
            </w:r>
            <w:r>
              <w:rPr>
                <w:sz w:val="19"/>
              </w:rPr>
              <w:t>10%</w:t>
            </w:r>
          </w:p>
        </w:tc>
      </w:tr>
    </w:tbl>
    <w:p/>
    <w:p>
      <w:r>
        <w:t>Student survey = the class survey file on Canvas (the aytm questionnaire plus demographics; prior cohort + this term's PA5.5 wave). These differences explain most of the divergences you will find — always tie your interpretation back to them.</w:t>
      </w:r>
    </w:p>
    <w:p>
      <w:pPr>
        <w:pStyle w:val="Heading2"/>
      </w:pPr>
      <w:r>
        <w:t>Steps</w:t>
      </w:r>
    </w:p>
    <w:p>
      <w:pPr>
        <w:ind w:left="432" w:hanging="432"/>
      </w:pPr>
      <w:r>
        <w:t>1.</w:t>
        <w:tab/>
      </w:r>
      <w:r>
        <w:rPr>
          <w:b/>
        </w:rPr>
        <w:t>Analyze each RQ</w:t>
      </w:r>
      <w:r>
        <w:t xml:space="preserve"> per its PA6 card and write one results block (Appendix A in the submission template): the statistic or test output, a labeled chart (charts, not just tables), and 2–4 sentences on what the answer means for the client. Descriptive RQs on the same item may share one chart.</w:t>
      </w:r>
    </w:p>
    <w:p>
      <w:pPr>
        <w:ind w:left="432" w:hanging="432"/>
      </w:pPr>
      <w:r>
        <w:t>2.</w:t>
        <w:tab/>
      </w:r>
      <w:r>
        <w:rPr>
          <w:b/>
        </w:rPr>
        <w:t>Hand-calculate one independent-samples t-test</w:t>
      </w:r>
      <w:r>
        <w:t xml:space="preserve"> on a Differences RQ: take group n, means and SDs from software, then by hand — hypotheses, standard error, t, df, p, plain-language conclusion — every step shown (checklist in Appendix A).</w:t>
      </w:r>
    </w:p>
    <w:p>
      <w:pPr>
        <w:ind w:left="432" w:hanging="432"/>
      </w:pPr>
      <w:r>
        <w:t>3.</w:t>
        <w:tab/>
      </w:r>
      <w:r>
        <w:rPr>
          <w:b/>
        </w:rPr>
        <w:t>Hand-calculate one two-way chi-square:</w:t>
      </w:r>
      <w:r>
        <w:t xml:space="preserve"> observed crosstab from software, then by hand the expected frequency per cell (E = row total × column total ÷ n), cell-by-cell (O − E)²/E, χ², df, p, conclusion. After both hand tests, you may scale the remaining analyses with AI — note which tests were manual vs. delegated.</w:t>
      </w:r>
    </w:p>
    <w:p>
      <w:pPr>
        <w:ind w:left="432" w:hanging="432"/>
      </w:pPr>
      <w:r>
        <w:t>4.</w:t>
        <w:tab/>
      </w:r>
      <w:r>
        <w:rPr>
          <w:b/>
        </w:rPr>
        <w:t>Match the columns</w:t>
      </w:r>
      <w:r>
        <w:t xml:space="preserve"> with the mapping file posted on Canvas, then compare the </w:t>
      </w:r>
      <w:r>
        <w:rPr>
          <w:b/>
        </w:rPr>
        <w:t>5 metrics</w:t>
      </w:r>
      <w:r>
        <w:t xml:space="preserve"> from your PA6 plan side by side (Appendix B in the submission template), with a Convergent? verdict per row.</w:t>
      </w:r>
    </w:p>
    <w:p>
      <w:pPr>
        <w:ind w:left="432" w:hanging="432"/>
      </w:pPr>
      <w:r>
        <w:t>5.</w:t>
        <w:tab/>
      </w:r>
      <w:r>
        <w:rPr>
          <w:b/>
        </w:rPr>
        <w:t>Chart the comparison:</w:t>
      </w:r>
      <w:r>
        <w:t xml:space="preserve"> ≥ 2 charts showing the same metric across both sources, one consistent color per source throughout (e.g., always blue = aytm, orange = student).</w:t>
      </w:r>
    </w:p>
    <w:p>
      <w:pPr>
        <w:ind w:left="432" w:hanging="432"/>
      </w:pPr>
      <w:r>
        <w:t>6.</w:t>
        <w:tab/>
      </w:r>
      <w:r>
        <w:rPr>
          <w:b/>
        </w:rPr>
        <w:t>Interpret in 1–2 pages:</w:t>
      </w:r>
      <w:r>
        <w:t xml:space="preserve"> where the sources converge (findings Neo can act on with confidence), where they diverge (explained through the samples table above), and what that says about the SoCal market vs. the national one.</w:t>
      </w:r>
    </w:p>
    <w:p>
      <w:pPr>
        <w:pStyle w:val="Heading2"/>
      </w:pPr>
      <w:r>
        <w:t>What to submit</w:t>
      </w:r>
    </w:p>
    <w:p>
      <w:pPr>
        <w:ind w:left="360"/>
      </w:pPr>
      <w:r>
        <w:rPr>
          <w:b/>
        </w:rPr>
        <w:t xml:space="preserve">☐  </w:t>
      </w:r>
      <w:r>
        <w:t xml:space="preserve">The filled </w:t>
      </w:r>
      <w:r>
        <w:rPr>
          <w:b/>
        </w:rPr>
        <w:t>submission template</w:t>
      </w:r>
      <w:r>
        <w:t>, holding everything below</w:t>
      </w:r>
    </w:p>
    <w:p>
      <w:pPr>
        <w:ind w:left="360"/>
      </w:pPr>
      <w:r>
        <w:rPr>
          <w:b/>
        </w:rPr>
        <w:t xml:space="preserve">☐  </w:t>
      </w:r>
      <w:r>
        <w:t>Results block for every RQ (Appendix A format) — pages numbered, charts labeled and consistently styled</w:t>
      </w:r>
    </w:p>
    <w:p>
      <w:pPr>
        <w:ind w:left="360"/>
      </w:pPr>
      <w:r>
        <w:rPr>
          <w:b/>
        </w:rPr>
        <w:t xml:space="preserve">☐  </w:t>
      </w:r>
      <w:r>
        <w:t>Two hand calculations (one t-test, one chi-square) with every step shown, on real data</w:t>
      </w:r>
    </w:p>
    <w:p>
      <w:pPr>
        <w:ind w:left="360"/>
      </w:pPr>
      <w:r>
        <w:rPr>
          <w:b/>
        </w:rPr>
        <w:t xml:space="preserve">☐  </w:t>
      </w:r>
      <w:r>
        <w:t>Side-by-side metrics table (Appendix B, 5 metrics) + ≥ 2 comparison charts</w:t>
      </w:r>
    </w:p>
    <w:p>
      <w:pPr>
        <w:ind w:left="360"/>
      </w:pPr>
      <w:r>
        <w:rPr>
          <w:b/>
        </w:rPr>
        <w:t xml:space="preserve">☐  </w:t>
      </w:r>
      <w:r>
        <w:t>1–2 page two-source interpretation</w:t>
      </w:r>
    </w:p>
    <w:p>
      <w:pPr>
        <w:ind w:left="360"/>
      </w:pPr>
      <w:r>
        <w:rPr>
          <w:b/>
        </w:rPr>
        <w:t xml:space="preserve">☐  </w:t>
      </w:r>
      <w:r>
        <w:t>AI reflection (below)</w:t>
      </w:r>
    </w:p>
    <w:p>
      <w:pPr>
        <w:pStyle w:val="Heading2"/>
      </w:pPr>
      <w:r>
        <w:t>How you'll be graded</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9"/>
              </w:rPr>
            </w:r>
            <w:r>
              <w:rPr>
                <w:b/>
                <w:sz w:val="19"/>
              </w:rPr>
              <w:t>Category</w:t>
            </w:r>
          </w:p>
        </w:tc>
        <w:tc>
          <w:tcPr>
            <w:tcW w:type="dxa" w:w="3312"/>
          </w:tcPr>
          <w:p>
            <w:r>
              <w:rPr>
                <w:b/>
                <w:sz w:val="19"/>
              </w:rPr>
            </w:r>
            <w:r>
              <w:rPr>
                <w:b/>
                <w:sz w:val="19"/>
              </w:rPr>
              <w:t>Weight</w:t>
            </w:r>
          </w:p>
        </w:tc>
        <w:tc>
          <w:tcPr>
            <w:tcW w:type="dxa" w:w="3312"/>
          </w:tcPr>
          <w:p>
            <w:r>
              <w:rPr>
                <w:b/>
                <w:sz w:val="19"/>
              </w:rPr>
            </w:r>
            <w:r>
              <w:rPr>
                <w:b/>
                <w:sz w:val="19"/>
              </w:rPr>
              <w:t>Strong work looks like</w:t>
            </w:r>
          </w:p>
        </w:tc>
      </w:tr>
      <w:tr>
        <w:tc>
          <w:tcPr>
            <w:tcW w:type="dxa" w:w="3312"/>
          </w:tcPr>
          <w:p>
            <w:r>
              <w:rPr>
                <w:sz w:val="19"/>
              </w:rPr>
            </w:r>
            <w:r>
              <w:rPr>
                <w:sz w:val="19"/>
              </w:rPr>
              <w:t>Per-RQ analysis</w:t>
            </w:r>
          </w:p>
        </w:tc>
        <w:tc>
          <w:tcPr>
            <w:tcW w:type="dxa" w:w="3312"/>
          </w:tcPr>
          <w:p>
            <w:r>
              <w:rPr>
                <w:sz w:val="19"/>
              </w:rPr>
            </w:r>
            <w:r>
              <w:rPr>
                <w:sz w:val="19"/>
              </w:rPr>
              <w:t>40%</w:t>
            </w:r>
          </w:p>
        </w:tc>
        <w:tc>
          <w:tcPr>
            <w:tcW w:type="dxa" w:w="3312"/>
          </w:tcPr>
          <w:p>
            <w:r>
              <w:rPr>
                <w:sz w:val="19"/>
              </w:rPr>
            </w:r>
            <w:r>
              <w:rPr>
                <w:sz w:val="19"/>
              </w:rPr>
              <w:t>Correct test per RQ type, run on the real data; a labeled chart per RQ; each finding stated as a client takeaway, not just a statistic</w:t>
            </w:r>
          </w:p>
        </w:tc>
      </w:tr>
      <w:tr>
        <w:tc>
          <w:tcPr>
            <w:tcW w:type="dxa" w:w="3312"/>
          </w:tcPr>
          <w:p>
            <w:r>
              <w:rPr>
                <w:sz w:val="19"/>
              </w:rPr>
            </w:r>
            <w:r>
              <w:rPr>
                <w:sz w:val="19"/>
              </w:rPr>
              <w:t>Hand calculations</w:t>
            </w:r>
          </w:p>
        </w:tc>
        <w:tc>
          <w:tcPr>
            <w:tcW w:type="dxa" w:w="3312"/>
          </w:tcPr>
          <w:p>
            <w:r>
              <w:rPr>
                <w:sz w:val="19"/>
              </w:rPr>
            </w:r>
            <w:r>
              <w:rPr>
                <w:sz w:val="19"/>
              </w:rPr>
              <w:t>20%</w:t>
            </w:r>
          </w:p>
        </w:tc>
        <w:tc>
          <w:tcPr>
            <w:tcW w:type="dxa" w:w="3312"/>
          </w:tcPr>
          <w:p>
            <w:r>
              <w:rPr>
                <w:sz w:val="19"/>
              </w:rPr>
            </w:r>
            <w:r>
              <w:rPr>
                <w:sz w:val="19"/>
              </w:rPr>
              <w:t>Both tests fully worked: hypotheses, all arithmetic (including the expected-frequency table and cell contributions), a numeric p, a plain-language conclusion</w:t>
            </w:r>
          </w:p>
        </w:tc>
      </w:tr>
      <w:tr>
        <w:tc>
          <w:tcPr>
            <w:tcW w:type="dxa" w:w="3312"/>
          </w:tcPr>
          <w:p>
            <w:r>
              <w:rPr>
                <w:sz w:val="19"/>
              </w:rPr>
            </w:r>
            <w:r>
              <w:rPr>
                <w:sz w:val="19"/>
              </w:rPr>
              <w:t>Two-source comparison</w:t>
            </w:r>
          </w:p>
        </w:tc>
        <w:tc>
          <w:tcPr>
            <w:tcW w:type="dxa" w:w="3312"/>
          </w:tcPr>
          <w:p>
            <w:r>
              <w:rPr>
                <w:sz w:val="19"/>
              </w:rPr>
            </w:r>
            <w:r>
              <w:rPr>
                <w:sz w:val="19"/>
              </w:rPr>
              <w:t>25%</w:t>
            </w:r>
          </w:p>
        </w:tc>
        <w:tc>
          <w:tcPr>
            <w:tcW w:type="dxa" w:w="3312"/>
          </w:tcPr>
          <w:p>
            <w:r>
              <w:rPr>
                <w:sz w:val="19"/>
              </w:rPr>
            </w:r>
            <w:r>
              <w:rPr>
                <w:sz w:val="19"/>
              </w:rPr>
              <w:t>5 metrics with actual numbers from both sources; ≥ 2 comparison charts; interpretation explains divergence through sampling differences</w:t>
            </w:r>
          </w:p>
        </w:tc>
      </w:tr>
      <w:tr>
        <w:tc>
          <w:tcPr>
            <w:tcW w:type="dxa" w:w="3312"/>
          </w:tcPr>
          <w:p>
            <w:r>
              <w:rPr>
                <w:sz w:val="19"/>
              </w:rPr>
            </w:r>
            <w:r>
              <w:rPr>
                <w:sz w:val="19"/>
              </w:rPr>
              <w:t>Presentation &amp; format</w:t>
            </w:r>
          </w:p>
        </w:tc>
        <w:tc>
          <w:tcPr>
            <w:tcW w:type="dxa" w:w="3312"/>
          </w:tcPr>
          <w:p>
            <w:r>
              <w:rPr>
                <w:sz w:val="19"/>
              </w:rPr>
            </w:r>
            <w:r>
              <w:rPr>
                <w:sz w:val="19"/>
              </w:rPr>
              <w:t>5%</w:t>
            </w:r>
          </w:p>
        </w:tc>
        <w:tc>
          <w:tcPr>
            <w:tcW w:type="dxa" w:w="3312"/>
          </w:tcPr>
          <w:p>
            <w:r>
              <w:rPr>
                <w:sz w:val="19"/>
              </w:rPr>
            </w:r>
            <w:r>
              <w:rPr>
                <w:sz w:val="19"/>
              </w:rPr>
              <w:t>Numbered pages, report organized by RQ, consistent chart styling</w:t>
            </w:r>
          </w:p>
        </w:tc>
      </w:tr>
      <w:tr>
        <w:tc>
          <w:tcPr>
            <w:tcW w:type="dxa" w:w="3312"/>
          </w:tcPr>
          <w:p>
            <w:r>
              <w:rPr>
                <w:sz w:val="19"/>
              </w:rPr>
            </w:r>
            <w:r>
              <w:rPr>
                <w:sz w:val="19"/>
              </w:rPr>
              <w:t>Process &amp; AI reflection</w:t>
            </w:r>
          </w:p>
        </w:tc>
        <w:tc>
          <w:tcPr>
            <w:tcW w:type="dxa" w:w="3312"/>
          </w:tcPr>
          <w:p>
            <w:r>
              <w:rPr>
                <w:sz w:val="19"/>
              </w:rPr>
            </w:r>
            <w:r>
              <w:rPr>
                <w:sz w:val="19"/>
              </w:rPr>
              <w:t>10%</w:t>
            </w:r>
          </w:p>
        </w:tc>
        <w:tc>
          <w:tcPr>
            <w:tcW w:type="dxa" w:w="3312"/>
          </w:tcPr>
          <w:p>
            <w:r>
              <w:rPr>
                <w:sz w:val="19"/>
              </w:rPr>
            </w:r>
            <w:r>
              <w:rPr>
                <w:sz w:val="19"/>
              </w:rPr>
              <w:t>Human-first draft documented; the four reflection prompts answered specifically, not generically</w:t>
            </w:r>
          </w:p>
        </w:tc>
      </w:tr>
    </w:tbl>
    <w:p/>
    <w:p>
      <w:pPr>
        <w:pStyle w:val="Heading2"/>
      </w:pPr>
      <w:r>
        <w:t>AI reflection (required)</w:t>
      </w:r>
    </w:p>
    <w:p>
      <w:r>
        <w:rPr>
          <w:b/>
        </w:rPr>
        <w:t>Human first.</w:t>
      </w:r>
      <w:r>
        <w:t xml:space="preserve"> Draft or plan this assignment yourselves before any AI touches it. That order is the point: it is the only way to see what AI actually adds — or quietly subtracts. Then use AI to improve your draft, and answer the four prompts below (2–4 sentences each, specific to THIS assignment):</w:t>
      </w:r>
    </w:p>
    <w:p>
      <w:r>
        <w:t>(a) The most important change we made after using AI was…</w:t>
      </w:r>
    </w:p>
    <w:p>
      <w:r>
        <w:t>(b) We accepted this change because…</w:t>
      </w:r>
    </w:p>
    <w:p>
      <w:r>
        <w:t>(c) We rejected or substantially revised the AI suggestion that…</w:t>
      </w:r>
    </w:p>
    <w:p>
      <w:r>
        <w:t>(d) One uncertainty or question that remains is…</w:t>
      </w:r>
    </w:p>
    <w:p>
      <w:r>
        <w:t>List the tools you used and for what. Generic answers ("AI helped us improve clarity") score zero on this category; name the actual change.</w:t>
      </w:r>
    </w:p>
    <w:p>
      <w:r>
        <w:t>In PA7, "human first" means the two hand tests and your own reading of each result. Once those are done, AI may run the remaining tests — say which were manual and which delegated.</w:t>
      </w:r>
    </w:p>
    <w:p>
      <w:r>
        <w:br w:type="page"/>
      </w:r>
    </w:p>
    <w:p>
      <w:pPr>
        <w:pStyle w:val="Heading2"/>
      </w:pPr>
      <w:r>
        <w:t>Appendix A — Results-block template (copy one per RQ)</w:t>
      </w:r>
    </w:p>
    <w:p>
      <w:pPr>
        <w:ind w:left="432"/>
      </w:pPr>
      <w:r>
        <w:rPr>
          <w:b/>
          <w:i/>
          <w:sz w:val="19"/>
        </w:rPr>
        <w:t>Fill this in the separate submission template, not here:</w:t>
      </w:r>
      <w:r>
        <w:rPr>
          <w:i/>
          <w:sz w:val="19"/>
        </w:rPr>
        <w:t xml:space="preserve"> download </w:t>
      </w:r>
      <w:r>
        <w:rPr>
          <w:b/>
          <w:i/>
          <w:sz w:val="19"/>
        </w:rPr>
        <w:t>PA7_Data_Analysis_Report_Template.docx</w:t>
      </w:r>
      <w:r>
        <w:rPr>
          <w:i/>
          <w:sz w:val="19"/>
        </w:rPr>
        <w:t xml:space="preserve"> (next to this brief on the Course Hub and in Canvas), fill it in, and upload that file. This document is instructions only; nothing in it is graded.</w:t>
      </w:r>
    </w:p>
    <w:p>
      <w:pPr>
        <w:pStyle w:val="Heading3"/>
      </w:pPr>
      <w:r>
        <w:t>Hand-calculation checklist — independent-samples t-test</w:t>
      </w:r>
    </w:p>
    <w:p>
      <w:pPr>
        <w:ind w:left="360"/>
      </w:pPr>
      <w:r>
        <w:rPr>
          <w:b/>
        </w:rPr>
        <w:t xml:space="preserve">☐  </w:t>
      </w:r>
      <w:r>
        <w:t>H₀ and H₁ stated; α = .05, two-tailed</w:t>
      </w:r>
    </w:p>
    <w:p>
      <w:pPr>
        <w:ind w:left="360"/>
      </w:pPr>
      <w:r>
        <w:rPr>
          <w:b/>
        </w:rPr>
        <w:t xml:space="preserve">☐  </w:t>
      </w:r>
      <w:r>
        <w:t>Group n, means and SDs for both subgroups (from software — name the tool)</w:t>
      </w:r>
    </w:p>
    <w:p>
      <w:pPr>
        <w:ind w:left="360"/>
      </w:pPr>
      <w:r>
        <w:rPr>
          <w:b/>
        </w:rPr>
        <w:t xml:space="preserve">☐  </w:t>
      </w:r>
      <w:r>
        <w:t>Standard error and t-statistic computed, formula and arithmetic shown</w:t>
      </w:r>
    </w:p>
    <w:p>
      <w:pPr>
        <w:ind w:left="360"/>
      </w:pPr>
      <w:r>
        <w:rPr>
          <w:b/>
        </w:rPr>
        <w:t xml:space="preserve">☐  </w:t>
      </w:r>
      <w:r>
        <w:t>df = n₁ + n₂ − 2</w:t>
      </w:r>
    </w:p>
    <w:p>
      <w:pPr>
        <w:ind w:left="360"/>
      </w:pPr>
      <w:r>
        <w:rPr>
          <w:b/>
        </w:rPr>
        <w:t xml:space="preserve">☐  </w:t>
      </w:r>
      <w:r>
        <w:t>Numeric p-value, compared to α</w:t>
      </w:r>
    </w:p>
    <w:p>
      <w:pPr>
        <w:ind w:left="360"/>
      </w:pPr>
      <w:r>
        <w:rPr>
          <w:b/>
        </w:rPr>
        <w:t xml:space="preserve">☐  </w:t>
      </w:r>
      <w:r>
        <w:t>Plain-language conclusion: is there a significant difference between the groups?</w:t>
      </w:r>
    </w:p>
    <w:p>
      <w:pPr>
        <w:pStyle w:val="Heading3"/>
      </w:pPr>
      <w:r>
        <w:t>Hand-calculation checklist — two-way chi-square</w:t>
      </w:r>
    </w:p>
    <w:p>
      <w:pPr>
        <w:ind w:left="360"/>
      </w:pPr>
      <w:r>
        <w:rPr>
          <w:b/>
        </w:rPr>
        <w:t xml:space="preserve">☐  </w:t>
      </w:r>
      <w:r>
        <w:t>H₀ (variables independent) and H₁ stated</w:t>
      </w:r>
    </w:p>
    <w:p>
      <w:pPr>
        <w:ind w:left="360"/>
      </w:pPr>
      <w:r>
        <w:rPr>
          <w:b/>
        </w:rPr>
        <w:t xml:space="preserve">☐  </w:t>
      </w:r>
      <w:r>
        <w:t>Observed frequency table (crosstab) built from real data</w:t>
      </w:r>
    </w:p>
    <w:p>
      <w:pPr>
        <w:ind w:left="360"/>
      </w:pPr>
      <w:r>
        <w:rPr>
          <w:b/>
        </w:rPr>
        <w:t xml:space="preserve">☐  </w:t>
      </w:r>
      <w:r>
        <w:t>Expected frequency per cell: E = (row total × column total) / n — full table shown</w:t>
      </w:r>
    </w:p>
    <w:p>
      <w:pPr>
        <w:ind w:left="360"/>
      </w:pPr>
      <w:r>
        <w:rPr>
          <w:b/>
        </w:rPr>
        <w:t xml:space="preserve">☐  </w:t>
      </w:r>
      <w:r>
        <w:t>Cell-by-cell (O − E)²/E contributions shown, summed to χ²</w:t>
      </w:r>
    </w:p>
    <w:p>
      <w:pPr>
        <w:ind w:left="360"/>
      </w:pPr>
      <w:r>
        <w:rPr>
          <w:b/>
        </w:rPr>
        <w:t xml:space="preserve">☐  </w:t>
      </w:r>
      <w:r>
        <w:t>df = (rows − 1) × (columns − 1)</w:t>
      </w:r>
    </w:p>
    <w:p>
      <w:pPr>
        <w:ind w:left="360"/>
      </w:pPr>
      <w:r>
        <w:rPr>
          <w:b/>
        </w:rPr>
        <w:t xml:space="preserve">☐  </w:t>
      </w:r>
      <w:r>
        <w:t>Numeric p-value vs. α; plain-language conclusion: associated or independent?</w:t>
      </w:r>
    </w:p>
    <w:p>
      <w:pPr>
        <w:pStyle w:val="Heading2"/>
      </w:pPr>
      <w:r>
        <w:t>Appendix B — Side-by-side metrics table (fill this out)</w:t>
      </w:r>
    </w:p>
    <w:p>
      <w:pPr>
        <w:ind w:left="432"/>
      </w:pPr>
      <w:r>
        <w:rPr>
          <w:i/>
          <w:sz w:val="19"/>
        </w:rPr>
        <w:t>In the submission template (PA7_Data_Analysis_Report_Template.docx).</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12B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5E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5E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