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PA9 — Final Written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15 (term project — graded on the /100 rubric below, scaled to 15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Finals week (Dec 7–13) — Canvas submission at the registrar's exam slot (exact date on Canvas); no sit-down meeting — fold in the instructor's Canvas comments on your Week-14 presentation, returned within a few days of your talk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</w:t>
            </w:r>
            <w:r>
              <w:rPr>
                <w:b/>
                <w:sz w:val="19"/>
              </w:rPr>
              <w:t>two .docx files in one submission</w:t>
            </w:r>
            <w:r>
              <w:rPr>
                <w:sz w:val="19"/>
              </w:rPr>
              <w:t xml:space="preserve">: the SlideDocs report and the filled </w:t>
            </w:r>
            <w:r>
              <w:rPr>
                <w:b/>
                <w:sz w:val="19"/>
              </w:rPr>
              <w:t>submission template</w:t>
            </w:r>
            <w:r>
              <w:rPr>
                <w:sz w:val="19"/>
              </w:rPr>
              <w:t xml:space="preserve"> (PA9_Assignment_Template.docx) with the skeleton checklist from Appendix A and the AI reflection. Always Word; no PDF, no links</w:t>
            </w:r>
          </w:p>
        </w:tc>
      </w:tr>
    </w:tbl>
    <w:p/>
    <w:p>
      <w:r>
        <w:rPr>
          <w:b/>
        </w:rPr>
        <w:t>Where this fits:</w:t>
      </w:r>
      <w:r>
        <w:t xml:space="preserve"> Lecture — Session 5.4 </w:t>
      </w:r>
      <w:r>
        <w:rPr>
          <w:i/>
        </w:rPr>
        <w:t>Insights &amp; Report Writing</w:t>
      </w:r>
      <w:r>
        <w:t xml:space="preserve"> (week 14) → Practice — Summit Point </w:t>
      </w:r>
      <w:r>
        <w:rPr>
          <w:b/>
        </w:rPr>
        <w:t>Round 14</w:t>
      </w:r>
      <w:r>
        <w:t xml:space="preserve"> (</w:t>
      </w:r>
      <w:r>
        <w:rPr>
          <w:i/>
        </w:rPr>
        <w:t>Build the final report</w:t>
      </w:r>
      <w:r>
        <w:t xml:space="preserve"> — Dana's House Reporting Standard) → Now the real thing: the document Neo Smart Living keeps after your team walks away.</w:t>
      </w:r>
    </w:p>
    <w:p>
      <w:r>
        <w:rPr>
          <w:b/>
        </w:rPr>
        <w:t>Files.</w:t>
      </w:r>
      <w:r>
        <w:t xml:space="preserve"> This brief is the instructions. Write the report in the SlideDocs template on Canvas. Tick the skeleton checklist and write the AI reflection only in the </w:t>
      </w:r>
      <w:r>
        <w:rPr>
          <w:b/>
        </w:rPr>
        <w:t>submission template</w:t>
      </w:r>
      <w:r>
        <w:t xml:space="preserve"> (PA9_Assignment_Template.docx).</w:t>
      </w:r>
    </w:p>
    <w:p>
      <w:pPr>
        <w:pStyle w:val="Heading2"/>
      </w:pPr>
      <w:r>
        <w:t>The gist</w:t>
      </w:r>
    </w:p>
    <w:p>
      <w:r>
        <w:t>This is the engagement's permanent artifact: a client-ready SlideDocs report (a landscape Word document, one idea per page, chart beside text; template on Canvas). Everything the project produced — RQs, instrument, fielding, analysis — either survives in this document or disappears. Done well, it stands alone: a manager who never met you can find any RQ's answer by page number, and every recommendation traces to a finding.</w:t>
      </w:r>
    </w:p>
    <w:p>
      <w:pPr>
        <w:pStyle w:val="Heading2"/>
      </w:pPr>
      <w:r>
        <w:t>Steps</w:t>
      </w:r>
    </w:p>
    <w:p>
      <w:pPr>
        <w:ind w:left="432" w:hanging="432"/>
      </w:pPr>
      <w:r>
        <w:t>1.</w:t>
        <w:tab/>
      </w:r>
      <w:r>
        <w:rPr>
          <w:b/>
        </w:rPr>
        <w:t>Assemble the skeleton first</w:t>
      </w:r>
      <w:r>
        <w:t xml:space="preserve"> (Appendix A in the submission template): title page, table of contents, separate Table of RQs with page numbers, then the sections in order. Fill the RQ ↔ Question table (Appendix B) — it fixes the Results order before you write a word.</w:t>
      </w:r>
    </w:p>
    <w:p>
      <w:pPr>
        <w:ind w:left="432" w:hanging="432"/>
      </w:pPr>
      <w:r>
        <w:t>2.</w:t>
        <w:tab/>
      </w:r>
      <w:r>
        <w:rPr>
          <w:b/>
        </w:rPr>
        <w:t>Reserve 2–3 pages for the Executive Summary — but write it LAST.</w:t>
      </w:r>
      <w:r>
        <w:t xml:space="preserve"> It must stand alone in third person: background, methods, key findings, recommendations, leading with the decision-relevant finding, not a project chronology.</w:t>
      </w:r>
    </w:p>
    <w:p>
      <w:pPr>
        <w:ind w:left="432" w:hanging="432"/>
      </w:pPr>
      <w:r>
        <w:t>3.</w:t>
        <w:tab/>
      </w:r>
      <w:r>
        <w:rPr>
          <w:b/>
        </w:rPr>
        <w:t>Write Methods as past-tense prose with the numbers:</w:t>
      </w:r>
      <w:r>
        <w:t xml:space="preserve"> the team's PA5.5 funnel summed (contacts → qualified → completes → counted), the response rate, the aytm n, demographics, and an honest representativeness assessment for both samples (aytm n = 600 and your student survey).</w:t>
      </w:r>
    </w:p>
    <w:p>
      <w:pPr>
        <w:ind w:left="432" w:hanging="432"/>
      </w:pPr>
      <w:r>
        <w:t>4.</w:t>
        <w:tab/>
      </w:r>
      <w:r>
        <w:rPr>
          <w:b/>
        </w:rPr>
        <w:t>Build Results one block per RQ:</w:t>
      </w:r>
      <w:r>
        <w:t xml:space="preserve"> a ≤5-word heading, the full RQ, the questionnaire item(s), a plain-language finding with a client takeaway, and a percent-based chart on the same or next page. At least one difference RQ with χ² or t, df, and p in a footnote.</w:t>
      </w:r>
    </w:p>
    <w:p>
      <w:pPr>
        <w:ind w:left="432" w:hanging="432"/>
      </w:pPr>
      <w:r>
        <w:t>5.</w:t>
        <w:tab/>
      </w:r>
      <w:r>
        <w:rPr>
          <w:b/>
        </w:rPr>
        <w:t>Write limitations as inference boundaries</w:t>
      </w:r>
      <w:r>
        <w:t xml:space="preserve"> — coverage, nonresponse, convenience limits, single wave — never project problems ("we ran late" is not a limitation).</w:t>
      </w:r>
    </w:p>
    <w:p>
      <w:pPr>
        <w:ind w:left="432" w:hanging="432"/>
      </w:pPr>
      <w:r>
        <w:t>6.</w:t>
        <w:tab/>
      </w:r>
      <w:r>
        <w:rPr>
          <w:b/>
        </w:rPr>
        <w:t>Tie every recommendation to evidence:</w:t>
      </w:r>
      <w:r>
        <w:t xml:space="preserve"> bullets, each with action + rationale + the finding it rests on. A recommendation no result supports doesn't belong in the report.</w:t>
      </w:r>
    </w:p>
    <w:p>
      <w:pPr>
        <w:ind w:left="432" w:hanging="432"/>
      </w:pPr>
      <w:r>
        <w:t>7.</w:t>
        <w:tab/>
      </w:r>
      <w:r>
        <w:rPr>
          <w:b/>
        </w:rPr>
        <w:t>Assemble the appendix</w:t>
      </w:r>
      <w:r>
        <w:t xml:space="preserve"> — verbatim fielded questionnaire, the RQ ↔ Question table, analysis output keyed to each RQ — then write the Executive Summary and proof the whole document against the house-rules table below.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The SlideDocs report (.docx), body font 11–13 pt, third person and past tense throughout</w:t>
      </w:r>
    </w:p>
    <w:p>
      <w:pPr>
        <w:ind w:left="360"/>
      </w:pPr>
      <w:r>
        <w:rPr>
          <w:b/>
        </w:rPr>
        <w:t xml:space="preserve">☐  </w:t>
      </w:r>
      <w:r>
        <w:t>Front matter: title page · table of contents · separate Table of RQs with page numbers</w:t>
      </w:r>
    </w:p>
    <w:p>
      <w:pPr>
        <w:ind w:left="360"/>
      </w:pPr>
      <w:r>
        <w:rPr>
          <w:b/>
        </w:rPr>
        <w:t xml:space="preserve">☐  </w:t>
      </w:r>
      <w:r>
        <w:t>Results: one block per RQ, including ≥1 difference RQ with footnoted statistics</w:t>
      </w:r>
    </w:p>
    <w:p>
      <w:pPr>
        <w:ind w:left="360"/>
      </w:pPr>
      <w:r>
        <w:rPr>
          <w:b/>
        </w:rPr>
        <w:t xml:space="preserve">☐  </w:t>
      </w:r>
      <w:r>
        <w:t>Appendix: verbatim questionnaire + filled RQ ↔ Question table (Appendix B)</w:t>
      </w:r>
    </w:p>
    <w:p>
      <w:pPr>
        <w:ind w:left="360"/>
      </w:pPr>
      <w:r>
        <w:rPr>
          <w:b/>
        </w:rPr>
        <w:t xml:space="preserve">☐  </w:t>
      </w:r>
      <w:r>
        <w:t xml:space="preserve">The filled </w:t>
      </w:r>
      <w:r>
        <w:rPr>
          <w:b/>
        </w:rPr>
        <w:t>submission template</w:t>
      </w:r>
      <w:r>
        <w:t xml:space="preserve"> (second .docx): report-skeleton checklist (Appendix A) + AI reflection (below)</w:t>
      </w:r>
    </w:p>
    <w:p>
      <w:pPr>
        <w:pStyle w:val="Heading2"/>
      </w:pPr>
      <w:r>
        <w:t>House rules (the graded mechanics)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Front matter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Separate Table of RQs, with page numbers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Executive summary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2–3 pages, standalone, third person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Methods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Past-tense prose with sample size, response rate, representativeness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Results headings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≤5 words per RQ; chart on the same or next page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Charts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No pie charts; percents, not counts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Statistics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≥1 difference RQ with χ²/t, df, p in a footnote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Limitations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Inference boundaries, not project problems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Recommendations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Each cites the finding it rests 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Appendix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Verbatim questionnaire + RQ ↔ Question table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Format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SlideDocs, 11–13-pt body font, third person</w:t>
            </w:r>
          </w:p>
        </w:tc>
      </w:tr>
    </w:tbl>
    <w:p/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Results quality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RQ: own ≤5-word heading, item identified, finding with a client takeaway, percent chart on the same/next page; difference RQ with footnoted test statistics; no pies, no count charts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Methods &amp; front matter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Front matter complete incl. Table of RQs; numbered RQ list in Results order; Methods in past-tense prose with full response-rate arithmetic and a representativeness assessment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Executive summary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2–3 pages a client could read standalone — background, methods, findings, recommendations — led by the decision-relevant finding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Limitations, findings &amp; recommendations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≥3 limitations that bound inference (not project mishaps); findings tied to objectives; every recommendation cites a finding; appendix complete and keyed to RQs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yourselves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we made after using AI was…</w:t>
      </w:r>
    </w:p>
    <w:p>
      <w:r>
        <w:t>(b) We accepted this change because…</w:t>
      </w:r>
    </w:p>
    <w:p>
      <w:r>
        <w:t>(c) We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us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Report-skeleton checklist (fill this out and submit it)</w:t>
      </w:r>
    </w:p>
    <w:p>
      <w:pPr>
        <w:ind w:left="432"/>
      </w:pPr>
      <w:r>
        <w:rPr>
          <w:b/>
          <w:i/>
          <w:sz w:val="19"/>
        </w:rPr>
        <w:t>Fill this in the separate submission template, not here:</w:t>
      </w:r>
      <w:r>
        <w:rPr>
          <w:i/>
          <w:sz w:val="19"/>
        </w:rPr>
        <w:t xml:space="preserve"> download </w:t>
      </w:r>
      <w:r>
        <w:rPr>
          <w:b/>
          <w:i/>
          <w:sz w:val="19"/>
        </w:rPr>
        <w:t>PA9_Assignment_Template.docx</w:t>
      </w:r>
      <w:r>
        <w:rPr>
          <w:i/>
          <w:sz w:val="19"/>
        </w:rPr>
        <w:t xml:space="preserve"> (next to this brief on the Course Hub and in Canvas), fill it in, and upload that file. This document is instructions only; nothing in it is graded.</w:t>
      </w:r>
    </w:p>
    <w:p>
      <w:r>
        <w:t>Work through the sections in order; every unchecked box is points. Boxes marked with a deduction are the traps graders find first.</w:t>
      </w:r>
    </w:p>
    <w:p>
      <w:pPr>
        <w:pStyle w:val="Heading2"/>
      </w:pPr>
      <w:r>
        <w:t>Appendix B — RQ ↔ Question table (fill this out in your report)</w:t>
      </w:r>
    </w:p>
    <w:p>
      <w:r>
        <w:t>One row per RQ. This table does double duty: with the page column it is your front-matter Table of RQs; in the appendix it maps every RQ to its questionnaire item(s) and test. Keep the page numbers current in the final PDF.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 #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 (≤5-word heading)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aytm Q#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 / statistic</w:t>
            </w:r>
          </w:p>
        </w:tc>
        <w:tc>
          <w:tcPr>
            <w:tcW w:type="dxa" w:w="28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Report page</w:t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  <w:tc>
          <w:tcPr>
            <w:tcW w:type="dxa" w:w="2822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