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25,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your </w:t>
      </w:r>
      <w:r>
        <w:rPr>
          <w:b/>
        </w:rPr>
        <w:t>student-collected Google Forms survey</w:t>
      </w:r>
      <w:r>
        <w:t>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continuous variables only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Number your research questions</w:t>
      </w:r>
      <w:r>
        <w:t xml:space="preserve"> (revised per PA3 feedback): ≥ 10 total, each labeled Descriptive / Differences / Association, with ≥ 1 Differences and ≥ 1 Association.</w:t>
      </w:r>
    </w:p>
    <w:p>
      <w:pPr>
        <w:pStyle w:val="ListNumber"/>
      </w:pPr>
      <w:r>
        <w:rPr>
          <w:b/>
        </w:rPr>
        <w:t>Fill one RQ card per question</w:t>
      </w:r>
      <w:r>
        <w:t xml:space="preserve"> (Appendix A): aytm Q#, variables — grouping vs. analysis separated for Differences RQs — level of measurement, the descriptive statistic OR statistical test, and the expected output.</w:t>
      </w:r>
    </w:p>
    <w:p>
      <w:pPr>
        <w:pStyle w:val="ListNumber"/>
      </w:pPr>
      <w:r>
        <w:rPr>
          <w:b/>
        </w:rPr>
        <w:t>Plan the two-source comparison</w:t>
      </w:r>
      <w:r>
        <w:t xml:space="preserve"> (Appendix B): 3–5 metrics measurable in both sources,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pStyle w:val="ListNumber"/>
      </w:pPr>
      <w:r>
        <w:rPr>
          <w:b/>
        </w:rPr>
        <w:t>State the instrument differences</w:t>
      </w:r>
      <w:r>
        <w:t xml:space="preserve"> and which RQs they touch: aytm is PII-free (no demographics), national, screened for outdoor space; your survey is convenience-based, SoCal, with wording tweaks.</w:t>
      </w:r>
    </w:p>
    <w:p>
      <w:pPr>
        <w:pStyle w:val="ListNumber"/>
      </w:pP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Differences;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continuous variables; chi-square RQs phrased as Differences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"Value-to-be" cells stay descriptive in PA6 — name the statistic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Student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