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PA9 — Final Written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100 (term-project component)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Finals week (Dec 7–13) — Canvas submission at the registrar's exam slot (exact date on Canvas); no sit-down meeting — fold in the feedback from your Week-14 presentation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one PDF (SlideDocs report) + the filled skeleton checklist from Appendix A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 5.4 </w:t>
      </w:r>
      <w:r>
        <w:rPr>
          <w:i/>
        </w:rPr>
        <w:t>Insights &amp; Report Writing</w:t>
      </w:r>
      <w:r>
        <w:t xml:space="preserve"> (week 14) → Practice — Summit Point round </w:t>
      </w:r>
      <w:r>
        <w:rPr>
          <w:b/>
        </w:rPr>
        <w:t>r12</w:t>
      </w:r>
      <w:r>
        <w:t xml:space="preserve"> (</w:t>
      </w:r>
      <w:r>
        <w:rPr>
          <w:i/>
        </w:rPr>
        <w:t>Build the final report</w:t>
      </w:r>
      <w:r>
        <w:t xml:space="preserve"> — Dana's House Reporting Standard) → Now the real thing: the document Neo Smart Living keeps after your team walks away.</w:t>
      </w:r>
    </w:p>
    <w:p>
      <w:pPr>
        <w:pStyle w:val="Heading2"/>
      </w:pPr>
      <w:r>
        <w:t>The gist</w:t>
      </w:r>
    </w:p>
    <w:p>
      <w:r>
        <w:t>This is the engagement's permanent artifact: a client-ready SlideDocs report. Everything the project produced — RQs, instrument, fielding, analysis — either survives in this document or disappears. Done well, it stands alone: a manager who never met you can find any RQ's answer by page number, and every recommendation traces to a finding.</w:t>
      </w:r>
    </w:p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Assemble the skeleton first</w:t>
      </w:r>
      <w:r>
        <w:t xml:space="preserve"> (Appendix A): title page, table of contents, separate Table of RQs with page numbers, then the sections in order. Fill the RQ ↔ Question table (Appendix B) — it fixes the Results order before you write a word.</w:t>
      </w:r>
    </w:p>
    <w:p>
      <w:pPr>
        <w:pStyle w:val="ListNumber"/>
      </w:pPr>
      <w:r>
        <w:rPr>
          <w:b/>
        </w:rPr>
        <w:t>Reserve 2–3 pages for the Executive Summary — but write it LAST.</w:t>
      </w:r>
      <w:r>
        <w:t xml:space="preserve"> It must stand alone in third person: background, methods, key findings, recommendations, leading with the decision-relevant finding, not a project chronology.</w:t>
      </w:r>
    </w:p>
    <w:p>
      <w:pPr>
        <w:pStyle w:val="ListNumber"/>
      </w:pPr>
      <w:r>
        <w:rPr>
          <w:b/>
        </w:rPr>
        <w:t>Write Methods as past-tense prose with the numbers:</w:t>
      </w:r>
      <w:r>
        <w:t xml:space="preserve"> invitations → refusals → nonqualified → final n, the response rate, demographics, and an honest representativeness assessment for both samples (aytm n = 600 and your student survey).</w:t>
      </w:r>
    </w:p>
    <w:p>
      <w:pPr>
        <w:pStyle w:val="ListNumber"/>
      </w:pPr>
      <w:r>
        <w:rPr>
          <w:b/>
        </w:rPr>
        <w:t>Build Results one block per RQ:</w:t>
      </w:r>
      <w:r>
        <w:t xml:space="preserve"> a ≤5-word heading, the full RQ, the questionnaire item(s), a plain-language finding with a client takeaway, and a percent-based chart on the same or next page. At least one difference RQ with χ² or t, df, and p in a footnote.</w:t>
      </w:r>
    </w:p>
    <w:p>
      <w:pPr>
        <w:pStyle w:val="ListNumber"/>
      </w:pPr>
      <w:r>
        <w:rPr>
          <w:b/>
        </w:rPr>
        <w:t>Write limitations as inference boundaries</w:t>
      </w:r>
      <w:r>
        <w:t xml:space="preserve"> — coverage, nonresponse, convenience limits, single wave — never project problems ("we ran late" is not a limitation).</w:t>
      </w:r>
    </w:p>
    <w:p>
      <w:pPr>
        <w:pStyle w:val="ListNumber"/>
      </w:pPr>
      <w:r>
        <w:rPr>
          <w:b/>
        </w:rPr>
        <w:t>Tie every recommendation to evidence:</w:t>
      </w:r>
      <w:r>
        <w:t xml:space="preserve"> bullets, each with action + rationale + the finding it rests on. A recommendation no result supports doesn't belong in the report.</w:t>
      </w:r>
    </w:p>
    <w:p>
      <w:pPr>
        <w:pStyle w:val="ListNumber"/>
      </w:pPr>
      <w:r>
        <w:rPr>
          <w:b/>
        </w:rPr>
        <w:t>Assemble the appendix</w:t>
      </w:r>
      <w:r>
        <w:t xml:space="preserve"> — verbatim fielded questionnaire, the RQ ↔ Question table, analysis output keyed to each RQ — then write the Executive Summary and proof the whole document against the house-rules table below.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One PDF: SlideDocs report, ≤13-pt font, third person and past tense throughout</w:t>
      </w:r>
    </w:p>
    <w:p>
      <w:pPr>
        <w:ind w:left="360"/>
      </w:pPr>
      <w:r>
        <w:rPr>
          <w:b/>
        </w:rPr>
        <w:t xml:space="preserve">☐  </w:t>
      </w:r>
      <w:r>
        <w:t>Front matter: title page · table of contents · separate Table of RQs with page numbers</w:t>
      </w:r>
    </w:p>
    <w:p>
      <w:pPr>
        <w:ind w:left="360"/>
      </w:pPr>
      <w:r>
        <w:rPr>
          <w:b/>
        </w:rPr>
        <w:t xml:space="preserve">☐  </w:t>
      </w:r>
      <w:r>
        <w:t>Results: one block per RQ, including ≥1 difference RQ with footnoted statistics</w:t>
      </w:r>
    </w:p>
    <w:p>
      <w:pPr>
        <w:ind w:left="360"/>
      </w:pPr>
      <w:r>
        <w:rPr>
          <w:b/>
        </w:rPr>
        <w:t xml:space="preserve">☐  </w:t>
      </w:r>
      <w:r>
        <w:t>Appendix: verbatim questionnaire + filled RQ ↔ Question table (Appendix B)</w:t>
      </w:r>
    </w:p>
    <w:p>
      <w:pPr>
        <w:ind w:left="360"/>
      </w:pPr>
      <w:r>
        <w:rPr>
          <w:b/>
        </w:rPr>
        <w:t xml:space="preserve">☐  </w:t>
      </w:r>
      <w:r>
        <w:t>Filled report-skeleton checklist (Appendix A)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House rules (the graded mechanics)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Area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Rule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Front matter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Separate Table of RQs, with page numbers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Executive summary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2–3 pages, standalone, third person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Methods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Past-tense prose with sample size, response rate, representativeness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Results headings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≤5 words per RQ; chart on the same or next page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Charts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No pie charts; percents, not counts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Statistics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≥1 difference RQ with χ²/t, df, p in a footnote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Limitations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Inference boundaries, not project problems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Recommendations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Each cites the finding it rests on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Appendix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Verbatim questionnaire + RQ ↔ Question table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Format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SlideDocs, ≤13-pt font, third person</w:t>
            </w:r>
          </w:p>
        </w:tc>
      </w:tr>
    </w:tbl>
    <w:p/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Results quality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RQ: own ≤5-word heading, item identified, finding with a client takeaway, percent chart on the same/next page; difference RQ with footnoted test statistics; no pies, no count charts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Methods &amp; front matter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Front matter complete incl. Table of RQs; numbered RQ list in Results order; Methods in past-tense prose with full response-rate arithmetic and a representativeness assessment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Executive summary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2–3 pages a client could read standalone — background, methods, findings, recommendations — led by the decision-relevant finding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Limitations, findings &amp; recommendations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≥3 limitations that bound inference (not project mishaps); findings tied to objectives; every recommendation cites a finding; appendix complete and keyed to RQs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Report-skeleton checklist (fill this out and submit it)</w:t>
      </w:r>
    </w:p>
    <w:p>
      <w:r>
        <w:t>Work through the sections in order; every unchecked box is points. Boxes marked with a deduction are the traps graders find first.</w:t>
      </w:r>
    </w:p>
    <w:p>
      <w:r>
        <w:rPr>
          <w:b/>
        </w:rPr>
        <w:t>Front matter</w:t>
      </w:r>
    </w:p>
    <w:p>
      <w:pPr>
        <w:ind w:left="360"/>
      </w:pPr>
      <w:r>
        <w:rPr>
          <w:b/>
        </w:rPr>
        <w:t xml:space="preserve">☐  </w:t>
      </w:r>
      <w:r>
        <w:t>Title page: report title, client, team members, date</w:t>
      </w:r>
    </w:p>
    <w:p>
      <w:pPr>
        <w:ind w:left="360"/>
      </w:pPr>
      <w:r>
        <w:rPr>
          <w:b/>
        </w:rPr>
        <w:t xml:space="preserve">☐  </w:t>
      </w:r>
      <w:r>
        <w:t>Table of contents matching the section order below</w:t>
      </w:r>
    </w:p>
    <w:p>
      <w:pPr>
        <w:ind w:left="360"/>
      </w:pPr>
      <w:r>
        <w:rPr>
          <w:b/>
        </w:rPr>
        <w:t xml:space="preserve">☐  </w:t>
      </w:r>
      <w:r>
        <w:t>Separate Table of RQs with page numbers (missing → −2)</w:t>
      </w:r>
    </w:p>
    <w:p>
      <w:r>
        <w:rPr>
          <w:b/>
        </w:rPr>
        <w:t>Executive summary (written last)</w:t>
      </w:r>
    </w:p>
    <w:p>
      <w:pPr>
        <w:ind w:left="360"/>
      </w:pPr>
      <w:r>
        <w:rPr>
          <w:b/>
        </w:rPr>
        <w:t xml:space="preserve">☐  </w:t>
      </w:r>
      <w:r>
        <w:t>2–3 pages; stands alone without the rest of the report</w:t>
      </w:r>
    </w:p>
    <w:p>
      <w:pPr>
        <w:ind w:left="360"/>
      </w:pPr>
      <w:r>
        <w:rPr>
          <w:b/>
        </w:rPr>
        <w:t xml:space="preserve">☐  </w:t>
      </w:r>
      <w:r>
        <w:t>Background · methods · key findings · recommendations all present</w:t>
      </w:r>
    </w:p>
    <w:p>
      <w:pPr>
        <w:ind w:left="360"/>
      </w:pPr>
      <w:r>
        <w:rPr>
          <w:b/>
        </w:rPr>
        <w:t xml:space="preserve">☐  </w:t>
      </w:r>
      <w:r>
        <w:t>Third person — recurring "we/I" anywhere in the report → −2</w:t>
      </w:r>
    </w:p>
    <w:p>
      <w:r>
        <w:rPr>
          <w:b/>
        </w:rPr>
        <w:t>Background &amp; objectives</w:t>
      </w:r>
    </w:p>
    <w:p>
      <w:pPr>
        <w:ind w:left="360"/>
      </w:pPr>
      <w:r>
        <w:rPr>
          <w:b/>
        </w:rPr>
        <w:t xml:space="preserve">☐  </w:t>
      </w:r>
      <w:r>
        <w:t>Client context + interview summary</w:t>
      </w:r>
    </w:p>
    <w:p>
      <w:pPr>
        <w:ind w:left="360"/>
      </w:pPr>
      <w:r>
        <w:rPr>
          <w:b/>
        </w:rPr>
        <w:t xml:space="preserve">☐  </w:t>
      </w:r>
      <w:r>
        <w:t>Project objectives + numbered RQ list, same order as Results</w:t>
      </w:r>
    </w:p>
    <w:p>
      <w:r>
        <w:rPr>
          <w:b/>
        </w:rPr>
        <w:t>Methods</w:t>
      </w:r>
    </w:p>
    <w:p>
      <w:pPr>
        <w:ind w:left="360"/>
      </w:pPr>
      <w:r>
        <w:rPr>
          <w:b/>
        </w:rPr>
        <w:t xml:space="preserve">☐  </w:t>
      </w:r>
      <w:r>
        <w:t>Past-tense prose, no bullet fragments (present tense → −1)</w:t>
      </w:r>
    </w:p>
    <w:p>
      <w:pPr>
        <w:ind w:left="360"/>
      </w:pPr>
      <w:r>
        <w:rPr>
          <w:b/>
        </w:rPr>
        <w:t xml:space="preserve">☐  </w:t>
      </w:r>
      <w:r>
        <w:t>Questionnaire development + content overview + physical description</w:t>
      </w:r>
    </w:p>
    <w:p>
      <w:pPr>
        <w:ind w:left="360"/>
      </w:pPr>
      <w:r>
        <w:rPr>
          <w:b/>
        </w:rPr>
        <w:t xml:space="preserve">☐  </w:t>
      </w:r>
      <w:r>
        <w:t>Data-collection method + sampling plan with location rationale</w:t>
      </w:r>
    </w:p>
    <w:p>
      <w:pPr>
        <w:ind w:left="360"/>
      </w:pPr>
      <w:r>
        <w:rPr>
          <w:b/>
        </w:rPr>
        <w:t xml:space="preserve">☐  </w:t>
      </w:r>
      <w:r>
        <w:t>Sample arithmetic: invitations → refusals → nonqualified → final n, response rate</w:t>
      </w:r>
    </w:p>
    <w:p>
      <w:pPr>
        <w:ind w:left="360"/>
      </w:pPr>
      <w:r>
        <w:rPr>
          <w:b/>
        </w:rPr>
        <w:t xml:space="preserve">☐  </w:t>
      </w:r>
      <w:r>
        <w:t>Representativeness honestly assessed for both samples</w:t>
      </w:r>
    </w:p>
    <w:p>
      <w:r>
        <w:rPr>
          <w:b/>
        </w:rPr>
        <w:t>Results</w:t>
      </w:r>
    </w:p>
    <w:p>
      <w:pPr>
        <w:ind w:left="360"/>
      </w:pPr>
      <w:r>
        <w:rPr>
          <w:b/>
        </w:rPr>
        <w:t xml:space="preserve">☐  </w:t>
      </w:r>
      <w:r>
        <w:t>One block per RQ: ≤5-word heading, no "Research Question" in it</w:t>
      </w:r>
    </w:p>
    <w:p>
      <w:pPr>
        <w:ind w:left="360"/>
      </w:pPr>
      <w:r>
        <w:rPr>
          <w:b/>
        </w:rPr>
        <w:t xml:space="preserve">☐  </w:t>
      </w:r>
      <w:r>
        <w:t>Full RQ + questionnaire item(s) stated in each block</w:t>
      </w:r>
    </w:p>
    <w:p>
      <w:pPr>
        <w:ind w:left="360"/>
      </w:pPr>
      <w:r>
        <w:rPr>
          <w:b/>
        </w:rPr>
        <w:t xml:space="preserve">☐  </w:t>
      </w:r>
      <w:r>
        <w:t>Chart on same/next page; percents (count chart → −1 each); no pies (→ −2 each)</w:t>
      </w:r>
    </w:p>
    <w:p>
      <w:pPr>
        <w:ind w:left="360"/>
      </w:pPr>
      <w:r>
        <w:rPr>
          <w:b/>
        </w:rPr>
        <w:t xml:space="preserve">☐  </w:t>
      </w:r>
      <w:r>
        <w:t>≥1 difference RQ (missing → −5) with χ²/t, df, p in a footnote</w:t>
      </w:r>
    </w:p>
    <w:p>
      <w:pPr>
        <w:ind w:left="360"/>
      </w:pPr>
      <w:r>
        <w:rPr>
          <w:b/>
        </w:rPr>
        <w:t xml:space="preserve">☐  </w:t>
      </w:r>
      <w:r>
        <w:t>Sample sizes reported with each result</w:t>
      </w:r>
    </w:p>
    <w:p>
      <w:r>
        <w:rPr>
          <w:b/>
        </w:rPr>
        <w:t>Limitations, findings, recommendations</w:t>
      </w:r>
    </w:p>
    <w:p>
      <w:pPr>
        <w:ind w:left="360"/>
      </w:pPr>
      <w:r>
        <w:rPr>
          <w:b/>
        </w:rPr>
        <w:t xml:space="preserve">☐  </w:t>
      </w:r>
      <w:r>
        <w:t>≥3 limitations that bound inference; none is a project mishap</w:t>
      </w:r>
    </w:p>
    <w:p>
      <w:pPr>
        <w:ind w:left="360"/>
      </w:pPr>
      <w:r>
        <w:rPr>
          <w:b/>
        </w:rPr>
        <w:t xml:space="preserve">☐  </w:t>
      </w:r>
      <w:r>
        <w:t>Key findings tied back to the objectives</w:t>
      </w:r>
    </w:p>
    <w:p>
      <w:pPr>
        <w:ind w:left="360"/>
      </w:pPr>
      <w:r>
        <w:rPr>
          <w:b/>
        </w:rPr>
        <w:t xml:space="preserve">☐  </w:t>
      </w:r>
      <w:r>
        <w:t>Every recommendation: action + rationale + cited finding</w:t>
      </w:r>
    </w:p>
    <w:p>
      <w:r>
        <w:rPr>
          <w:b/>
        </w:rPr>
        <w:t>Appendix</w:t>
      </w:r>
    </w:p>
    <w:p>
      <w:pPr>
        <w:ind w:left="360"/>
      </w:pPr>
      <w:r>
        <w:rPr>
          <w:b/>
        </w:rPr>
        <w:t xml:space="preserve">☐  </w:t>
      </w:r>
      <w:r>
        <w:t>Verbatim fielded questionnaire — full copy, not a summary or link (missing → −5)</w:t>
      </w:r>
    </w:p>
    <w:p>
      <w:pPr>
        <w:ind w:left="360"/>
      </w:pPr>
      <w:r>
        <w:rPr>
          <w:b/>
        </w:rPr>
        <w:t xml:space="preserve">☐  </w:t>
      </w:r>
      <w:r>
        <w:t>RQ ↔ Question table (Appendix B), matching the final RQ list (missing → −2)</w:t>
      </w:r>
    </w:p>
    <w:p>
      <w:pPr>
        <w:ind w:left="360"/>
      </w:pPr>
      <w:r>
        <w:rPr>
          <w:b/>
        </w:rPr>
        <w:t xml:space="preserve">☐  </w:t>
      </w:r>
      <w:r>
        <w:t>Analysis output keyed to each RQ, in RQ order</w:t>
      </w:r>
    </w:p>
    <w:p>
      <w:r>
        <w:rPr>
          <w:b/>
        </w:rPr>
        <w:t>Format</w:t>
      </w:r>
    </w:p>
    <w:p>
      <w:pPr>
        <w:ind w:left="360"/>
      </w:pPr>
      <w:r>
        <w:rPr>
          <w:b/>
        </w:rPr>
        <w:t xml:space="preserve">☐  </w:t>
      </w:r>
      <w:r>
        <w:t>SlideDocs template; font ≤13 pt; body text left-aligned</w:t>
      </w:r>
    </w:p>
    <w:p>
      <w:pPr>
        <w:ind w:left="360"/>
      </w:pPr>
      <w:r>
        <w:rPr>
          <w:b/>
        </w:rPr>
        <w:t xml:space="preserve">☐  </w:t>
      </w:r>
      <w:r>
        <w:t>Third person, past tense, client addressed as Mr./Ms.</w:t>
      </w:r>
    </w:p>
    <w:p>
      <w:pPr>
        <w:pStyle w:val="Heading2"/>
      </w:pPr>
      <w:r>
        <w:t>Appendix B — RQ ↔ Question table (fill this out)</w:t>
      </w:r>
    </w:p>
    <w:p>
      <w:r>
        <w:t>One row per RQ. This table does double duty: with the page column it is your front-matter Table of RQs; in the appendix it maps every RQ to its questionnaire item(s) and test. Keep the page numbers current in the final PDF.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 #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 (≤5-word heading)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Q#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Test / statistic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Report page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