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PA2 — Secondary Research &amp; Source Audit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5 (term project — graded on the /100 rubric below, scaled to 5 pts)</w:t>
            </w:r>
          </w:p>
        </w:tc>
      </w:tr>
      <w:tr>
        <w:tc>
          <w:tcPr>
            <w:tcW w:type="dxa" w:w="4968"/>
          </w:tcPr>
          <w:p>
            <w:r>
              <w:rPr>
                <w:sz w:val="19"/>
              </w:rPr>
            </w:r>
            <w:r>
              <w:rPr>
                <w:sz w:val="19"/>
              </w:rPr>
              <w:t>Due</w:t>
            </w:r>
          </w:p>
        </w:tc>
        <w:tc>
          <w:tcPr>
            <w:tcW w:type="dxa" w:w="4968"/>
          </w:tcPr>
          <w:p>
            <w:r>
              <w:rPr>
                <w:sz w:val="19"/>
              </w:rPr>
            </w:r>
            <w:r>
              <w:rPr>
                <w:sz w:val="19"/>
              </w:rPr>
              <w:t>Sunday Sep 13,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PDF (memo, ≤ 6 pages) + the filled Source Audit Form from Appendix A</w:t>
            </w:r>
          </w:p>
        </w:tc>
      </w:tr>
    </w:tbl>
    <w:p/>
    <w:p>
      <w:r>
        <w:rPr>
          <w:b/>
        </w:rPr>
        <w:t>Where this fits:</w:t>
      </w:r>
      <w:r>
        <w:t xml:space="preserve"> Lecture — Session 2.1 </w:t>
      </w:r>
      <w:r>
        <w:rPr>
          <w:i/>
        </w:rPr>
        <w:t>Secondary Research</w:t>
      </w:r>
      <w:r>
        <w:t xml:space="preserve"> (week 2) + the librarian guest visit Wednesday Sep 2 → Practice — Summit Point </w:t>
      </w:r>
      <w:r>
        <w:rPr>
          <w:b/>
        </w:rPr>
        <w:t>Round 3</w:t>
      </w:r>
      <w:r>
        <w:t xml:space="preserve"> (</w:t>
      </w:r>
      <w:r>
        <w:rPr>
          <w:i/>
        </w:rPr>
        <w:t>Neo RFP</w:t>
      </w:r>
      <w:r>
        <w:t xml:space="preserve">) and </w:t>
      </w:r>
      <w:r>
        <w:rPr>
          <w:b/>
        </w:rPr>
        <w:t>Round 4</w:t>
      </w:r>
      <w:r>
        <w:t xml:space="preserve"> (</w:t>
      </w:r>
      <w:r>
        <w:rPr>
          <w:i/>
        </w:rPr>
        <w:t>Analyze secondary research</w:t>
      </w:r>
      <w:r>
        <w:t>) → Now the real thing: the desk-research memo that precedes the PA3 client interview. Professionals never walk into a client conversation cold.</w:t>
      </w:r>
    </w:p>
    <w:p>
      <w:pPr>
        <w:pStyle w:val="Heading2"/>
      </w:pPr>
      <w:r>
        <w:t>The gist</w:t>
      </w:r>
    </w:p>
    <w:p>
      <w:r>
        <w:t xml:space="preserve">Neo Smart Living is launching the </w:t>
      </w:r>
      <w:r>
        <w:rPr>
          <w:b/>
        </w:rPr>
        <w:t>Tahoe Mini</w:t>
      </w:r>
      <w:r>
        <w:t xml:space="preserve">, a prefab backyard studio at roughly </w:t>
      </w:r>
      <w:r>
        <w:rPr>
          <w:b/>
        </w:rPr>
        <w:t>$23,000 installed</w:t>
      </w:r>
      <w:r>
        <w:t>. Before anyone designs a survey or talks to the founder, your team builds the picture the public record already holds: what the category is, who competes, what substitutes, where $23K sits, and what California lets you put in a backyard. You do it the modern way (AI deep research), the traditional way (a licensed library report), and then run the source audit that decides which claims are safe to put in front of a client.</w:t>
      </w:r>
    </w:p>
    <w:p>
      <w:pPr>
        <w:pStyle w:val="Heading2"/>
      </w:pPr>
      <w:r>
        <w:t>Steps</w:t>
      </w:r>
    </w:p>
    <w:p>
      <w:pPr>
        <w:pStyle w:val="ListNumber"/>
      </w:pPr>
      <w:r>
        <w:rPr>
          <w:b/>
        </w:rPr>
        <w:t>Run Part A — AI deep research.</w:t>
      </w:r>
      <w:r>
        <w:t xml:space="preserve"> Use a deep-research-capable tool with at least two scoped prompts (samples in Appendix B); keep full transcripts and links. Iterate — demand a citation for every claim, and treat every output as </w:t>
      </w:r>
      <w:r>
        <w:rPr>
          <w:i/>
        </w:rPr>
        <w:t>unverified draft</w:t>
      </w:r>
      <w:r>
        <w:t xml:space="preserve"> until Part C.</w:t>
      </w:r>
    </w:p>
    <w:p>
      <w:pPr>
        <w:pStyle w:val="ListNumber"/>
      </w:pPr>
      <w:r>
        <w:rPr>
          <w:b/>
        </w:rPr>
        <w:t>Write the memo</w:t>
      </w:r>
      <w:r>
        <w:t xml:space="preserve"> (≤ 6 pages incl. tables): category definition &amp; size (studio pod vs. ADU vs. tiny home vs. shed — and why); a California regulatory snapshot (when a permit is required, what the under-120-sq-ft exemption actually exempts, why "no plumbing" matters); ≥ 4 direct competitors with advertised price </w:t>
      </w:r>
      <w:r>
        <w:rPr>
          <w:b/>
        </w:rPr>
        <w:t>and what it excludes</w:t>
      </w:r>
      <w:r>
        <w:t xml:space="preserve">; substitutes with at least one price trap; customer evidence (vendor claims vs. independent); and where $23K sits among </w:t>
      </w:r>
      <w:r>
        <w:rPr>
          <w:i/>
        </w:rPr>
        <w:t>completed costs</w:t>
      </w:r>
      <w:r>
        <w:t>, not headlines.</w:t>
      </w:r>
    </w:p>
    <w:p>
      <w:pPr>
        <w:pStyle w:val="ListNumber"/>
      </w:pPr>
      <w:r>
        <w:rPr>
          <w:b/>
        </w:rPr>
        <w:t>Do Part B — the library pass.</w:t>
      </w:r>
      <w:r>
        <w:t xml:space="preserve"> Through the CPP Library database portal (not Google), retrieve one licensed industry report — Mintel, IBISWorld, or Statista; ask a librarian if unsure which fits. Extract </w:t>
      </w:r>
      <w:r>
        <w:rPr>
          <w:b/>
        </w:rPr>
        <w:t>three findings that appeared nowhere in your AI pass</w:t>
      </w:r>
      <w:r>
        <w:t>.</w:t>
      </w:r>
    </w:p>
    <w:p>
      <w:pPr>
        <w:pStyle w:val="ListNumber"/>
      </w:pPr>
      <w:r>
        <w:rPr>
          <w:b/>
        </w:rPr>
        <w:t>Write the AI-vs-library comparison</w:t>
      </w:r>
      <w:r>
        <w:t xml:space="preserve"> (half a page): what the licensed report had that the open web didn't, where the two </w:t>
      </w:r>
      <w:r>
        <w:rPr>
          <w:i/>
        </w:rPr>
        <w:t>disagreed</w:t>
      </w:r>
      <w:r>
        <w:t>, which you trust for what — plus one line on your search path (databases tried, librarian consulted).</w:t>
      </w:r>
    </w:p>
    <w:p>
      <w:pPr>
        <w:pStyle w:val="ListNumber"/>
      </w:pPr>
      <w:r>
        <w:rPr>
          <w:b/>
        </w:rPr>
        <w:t>Audit every number — Part C.</w:t>
      </w:r>
      <w:r>
        <w:t xml:space="preserve"> Fill the Source Audit Form (Appendix A) for ≥ 12 claims, including </w:t>
      </w:r>
      <w:r>
        <w:rPr>
          <w:b/>
        </w:rPr>
        <w:t>every number in the memo</w:t>
      </w:r>
      <w:r>
        <w:t>: publisher type, date, who collected it and why, the method behind the number, corroboration, verdict, action taken.</w:t>
      </w:r>
    </w:p>
    <w:p>
      <w:pPr>
        <w:pStyle w:val="ListNumber"/>
      </w:pPr>
      <w:r>
        <w:rPr>
          <w:b/>
        </w:rPr>
        <w:t>Push until something breaks.</w:t>
      </w:r>
      <w:r>
        <w:t xml:space="preserve"> A clean audit is a failed audit: we expect </w:t>
      </w:r>
      <w:r>
        <w:rPr>
          <w:b/>
        </w:rPr>
        <w:t>≥ 2 rows rated Unverified or Contradicted</w:t>
      </w:r>
      <w:r>
        <w:t>, each with a real action (claim cut, ranged, or downgraded to "vendor-claimed"). If everything verified cleanly, you didn't push hard enough.</w:t>
      </w:r>
    </w:p>
    <w:p>
      <w:pPr>
        <w:pStyle w:val="ListNumber"/>
      </w:pPr>
      <w:r>
        <w:rPr>
          <w:b/>
        </w:rPr>
        <w:t>Build the interview bridge.</w:t>
      </w:r>
      <w:r>
        <w:t xml:space="preserve"> Close the memo with </w:t>
      </w:r>
      <w:r>
        <w:rPr>
          <w:b/>
        </w:rPr>
        <w:t>five founder questions secondary research cannot answer</w:t>
      </w:r>
      <w:r>
        <w:t xml:space="preserve"> and </w:t>
      </w:r>
      <w:r>
        <w:rPr>
          <w:b/>
        </w:rPr>
        <w:t>three hypotheses</w:t>
      </w:r>
      <w:r>
        <w:t xml:space="preserve"> for your primary research — each citing the section that motivated it. This is your PA3 interview prep.</w:t>
      </w:r>
    </w:p>
    <w:p>
      <w:pPr>
        <w:pStyle w:val="Heading2"/>
      </w:pPr>
      <w:r>
        <w:t>What to submit</w:t>
      </w:r>
    </w:p>
    <w:p>
      <w:pPr>
        <w:ind w:left="360"/>
      </w:pPr>
      <w:r>
        <w:rPr>
          <w:b/>
        </w:rPr>
        <w:t xml:space="preserve">☐  </w:t>
      </w:r>
      <w:r>
        <w:t>Secondary research memo (≤ 6 pages): every factual claim cited (source name + link); every less-than-Verified number flagged in the text</w:t>
      </w:r>
    </w:p>
    <w:p>
      <w:pPr>
        <w:ind w:left="360"/>
      </w:pPr>
      <w:r>
        <w:rPr>
          <w:b/>
        </w:rPr>
        <w:t xml:space="preserve">☐  </w:t>
      </w:r>
      <w:r>
        <w:t>Library block inside the memo: full report citation (database, title, publisher, date) + three findings + comparison paragraph + search path</w:t>
      </w:r>
    </w:p>
    <w:p>
      <w:pPr>
        <w:ind w:left="360"/>
      </w:pPr>
      <w:r>
        <w:rPr>
          <w:b/>
        </w:rPr>
        <w:t xml:space="preserve">☐  </w:t>
      </w:r>
      <w:r>
        <w:t>Filled Source Audit Form (Appendix A): ≥ 12 rows, ≥ 2 Unverified/Contradicted with actions</w:t>
      </w:r>
    </w:p>
    <w:p>
      <w:pPr>
        <w:ind w:left="360"/>
      </w:pPr>
      <w:r>
        <w:rPr>
          <w:b/>
        </w:rPr>
        <w:t xml:space="preserve">☐  </w:t>
      </w:r>
      <w:r>
        <w:t>Interview bridge: 5 founder questions + 3 hypotheses, each traced to its section</w:t>
      </w:r>
    </w:p>
    <w:p>
      <w:pPr>
        <w:ind w:left="360"/>
      </w:pPr>
      <w:r>
        <w:rPr>
          <w:b/>
        </w:rPr>
        <w:t xml:space="preserve">☐  </w:t>
      </w:r>
      <w:r>
        <w:t>AI reflection (below), with tools, actual prompts, and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Category &amp; regulatory picture</w:t>
            </w:r>
          </w:p>
        </w:tc>
        <w:tc>
          <w:tcPr>
            <w:tcW w:type="dxa" w:w="3312"/>
          </w:tcPr>
          <w:p>
            <w:r>
              <w:rPr>
                <w:sz w:val="19"/>
              </w:rPr>
            </w:r>
            <w:r>
              <w:rPr>
                <w:sz w:val="19"/>
              </w:rPr>
              <w:t>25%</w:t>
            </w:r>
          </w:p>
        </w:tc>
        <w:tc>
          <w:tcPr>
            <w:tcW w:type="dxa" w:w="3312"/>
          </w:tcPr>
          <w:p>
            <w:r>
              <w:rPr>
                <w:sz w:val="19"/>
              </w:rPr>
            </w:r>
            <w:r>
              <w:rPr>
                <w:sz w:val="19"/>
              </w:rPr>
              <w:t xml:space="preserve">Category line drawn correctly (studio pod ≠ ADU ≠ tiny home ≠ shed, with the plumbing/permit/foundation logic); the 120-sq-ft exemption stated </w:t>
            </w:r>
            <w:r>
              <w:rPr>
                <w:b/>
                <w:sz w:val="19"/>
              </w:rPr>
              <w:t>with</w:t>
            </w:r>
            <w:r>
              <w:rPr>
                <w:sz w:val="19"/>
              </w:rPr>
              <w:t xml:space="preserve"> its electrical-permit caveat; every market-size number carries publisher + year + verdict</w:t>
            </w:r>
          </w:p>
        </w:tc>
      </w:tr>
      <w:tr>
        <w:tc>
          <w:tcPr>
            <w:tcW w:type="dxa" w:w="3312"/>
          </w:tcPr>
          <w:p>
            <w:r>
              <w:rPr>
                <w:sz w:val="19"/>
              </w:rPr>
            </w:r>
            <w:r>
              <w:rPr>
                <w:sz w:val="19"/>
              </w:rPr>
              <w:t>Competitors, substitutes &amp; interview bridge</w:t>
            </w:r>
          </w:p>
        </w:tc>
        <w:tc>
          <w:tcPr>
            <w:tcW w:type="dxa" w:w="3312"/>
          </w:tcPr>
          <w:p>
            <w:r>
              <w:rPr>
                <w:sz w:val="19"/>
              </w:rPr>
            </w:r>
            <w:r>
              <w:rPr>
                <w:sz w:val="19"/>
              </w:rPr>
              <w:t>25%</w:t>
            </w:r>
          </w:p>
        </w:tc>
        <w:tc>
          <w:tcPr>
            <w:tcW w:type="dxa" w:w="3312"/>
          </w:tcPr>
          <w:p>
            <w:r>
              <w:rPr>
                <w:sz w:val="19"/>
              </w:rPr>
            </w:r>
            <w:r>
              <w:rPr>
                <w:sz w:val="19"/>
              </w:rPr>
              <w:t>≥ 4 competitors with advertised prices and stated exclusions; ≥ 1 price trap correctly placed in substitutes with the category logic; five founder questions a web search demonstrably cannot answer</w:t>
            </w:r>
          </w:p>
        </w:tc>
      </w:tr>
      <w:tr>
        <w:tc>
          <w:tcPr>
            <w:tcW w:type="dxa" w:w="3312"/>
          </w:tcPr>
          <w:p>
            <w:r>
              <w:rPr>
                <w:sz w:val="19"/>
              </w:rPr>
            </w:r>
            <w:r>
              <w:rPr>
                <w:sz w:val="19"/>
              </w:rPr>
              <w:t>Source audit</w:t>
            </w:r>
          </w:p>
        </w:tc>
        <w:tc>
          <w:tcPr>
            <w:tcW w:type="dxa" w:w="3312"/>
          </w:tcPr>
          <w:p>
            <w:r>
              <w:rPr>
                <w:sz w:val="19"/>
              </w:rPr>
            </w:r>
            <w:r>
              <w:rPr>
                <w:sz w:val="19"/>
              </w:rPr>
              <w:t>25%</w:t>
            </w:r>
          </w:p>
        </w:tc>
        <w:tc>
          <w:tcPr>
            <w:tcW w:type="dxa" w:w="3312"/>
          </w:tcPr>
          <w:p>
            <w:r>
              <w:rPr>
                <w:sz w:val="19"/>
              </w:rPr>
            </w:r>
            <w:r>
              <w:rPr>
                <w:sz w:val="19"/>
              </w:rPr>
              <w:t>Every memo number has a row; verdicts justified by the who/why/when/how columns, not decorative; ≥ 2 Unverified/Contradicted rows with actions visible in the memo — a clean audit is a failed audit</w:t>
            </w:r>
          </w:p>
        </w:tc>
      </w:tr>
      <w:tr>
        <w:tc>
          <w:tcPr>
            <w:tcW w:type="dxa" w:w="3312"/>
          </w:tcPr>
          <w:p>
            <w:r>
              <w:rPr>
                <w:sz w:val="19"/>
              </w:rPr>
            </w:r>
            <w:r>
              <w:rPr>
                <w:sz w:val="19"/>
              </w:rPr>
              <w:t>Library pass &amp; comparison</w:t>
            </w:r>
          </w:p>
        </w:tc>
        <w:tc>
          <w:tcPr>
            <w:tcW w:type="dxa" w:w="3312"/>
          </w:tcPr>
          <w:p>
            <w:r>
              <w:rPr>
                <w:sz w:val="19"/>
              </w:rPr>
            </w:r>
            <w:r>
              <w:rPr>
                <w:sz w:val="19"/>
              </w:rPr>
              <w:t>15%</w:t>
            </w:r>
          </w:p>
        </w:tc>
        <w:tc>
          <w:tcPr>
            <w:tcW w:type="dxa" w:w="3312"/>
          </w:tcPr>
          <w:p>
            <w:r>
              <w:rPr>
                <w:sz w:val="19"/>
              </w:rPr>
            </w:r>
            <w:r>
              <w:rPr>
                <w:sz w:val="19"/>
              </w:rPr>
              <w:t>Licensed report properly cited; 3 findings genuinely absent from the AI pass; comparison names a disagreement or capability difference, not "both were useful"</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question list and outline documented; the four reflection prompts answered specifically, not generically</w:t>
            </w:r>
          </w:p>
        </w:tc>
      </w:tr>
    </w:tbl>
    <w:p/>
    <w:p>
      <w:pPr>
        <w:pStyle w:val="Heading2"/>
      </w:pPr>
      <w:r>
        <w:t>AI reflection (required)</w:t>
      </w:r>
    </w:p>
    <w:p>
      <w:r>
        <w:rPr>
          <w:b/>
        </w:rPr>
        <w:t>Human first.</w:t>
      </w:r>
      <w:r>
        <w:t xml:space="preserve"> In PA2 the AI use </w:t>
      </w:r>
      <w:r>
        <w:rPr>
          <w:i/>
        </w:rPr>
        <w:t>is</w:t>
      </w:r>
      <w:r>
        <w:t xml:space="preserve"> the assignment — so your human-first artifact is your own question list and section outline, written BEFORE you run any deep research. That order is the point: it is the only way to see what AI actually adds — or quietly subtracts. Then run and iterate your prompts,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Source Audit Form (fill this out)</w:t>
      </w:r>
    </w:p>
    <w:p>
      <w:r>
        <w:t xml:space="preserve">One row per audited claim; </w:t>
      </w:r>
      <w:r>
        <w:rPr>
          <w:b/>
        </w:rPr>
        <w:t>every number in your memo needs a row</w:t>
      </w:r>
      <w:r>
        <w:t xml:space="preserve">; minimum 12. The verdict vocabulary is fixed — use exactly these four: </w:t>
      </w:r>
      <w:r>
        <w:rPr>
          <w:b/>
        </w:rPr>
        <w:t>Verified</w:t>
      </w:r>
      <w:r>
        <w:t xml:space="preserve"> (two independent sources agree, method visible) · </w:t>
      </w:r>
      <w:r>
        <w:rPr>
          <w:b/>
        </w:rPr>
        <w:t>Partially verified</w:t>
      </w:r>
      <w:r>
        <w:t xml:space="preserve"> (one credible source, or agreement with caveats) · </w:t>
      </w:r>
      <w:r>
        <w:rPr>
          <w:b/>
        </w:rPr>
        <w:t>Unverified</w:t>
      </w:r>
      <w:r>
        <w:t xml:space="preserve"> (single source, method invisible, or the AI could not produce a checkable source) · </w:t>
      </w:r>
      <w:r>
        <w:rPr>
          <w:b/>
        </w:rPr>
        <w:t>Contradicted</w:t>
      </w:r>
      <w:r>
        <w:t xml:space="preserve"> (credible sources disagree, or the claim collapsed on inspection). An AI summary is not a source — audit whatever it cites.</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 (as used in memo)</w:t>
            </w:r>
          </w:p>
        </w:tc>
        <w:tc>
          <w:tcPr>
            <w:tcW w:type="dxa" w:w="1411"/>
          </w:tcPr>
          <w:p>
            <w:r>
              <w:rPr>
                <w:b/>
                <w:sz w:val="18"/>
              </w:rPr>
            </w:r>
            <w:r>
              <w:rPr>
                <w:b/>
                <w:sz w:val="18"/>
              </w:rPr>
              <w:t>Source (name + URL)</w:t>
            </w:r>
          </w:p>
        </w:tc>
        <w:tc>
          <w:tcPr>
            <w:tcW w:type="dxa" w:w="1411"/>
          </w:tcPr>
          <w:p>
            <w:r>
              <w:rPr>
                <w:b/>
                <w:sz w:val="18"/>
              </w:rPr>
            </w:r>
            <w:r>
              <w:rPr>
                <w:b/>
                <w:sz w:val="18"/>
              </w:rPr>
              <w:t>Publisher type (gov / trade assoc. / research firm / vendor / news / blog)</w:t>
            </w:r>
          </w:p>
        </w:tc>
        <w:tc>
          <w:tcPr>
            <w:tcW w:type="dxa" w:w="1411"/>
          </w:tcPr>
          <w:p>
            <w:r>
              <w:rPr>
                <w:b/>
                <w:sz w:val="18"/>
              </w:rPr>
            </w:r>
            <w:r>
              <w:rPr>
                <w:b/>
                <w:sz w:val="18"/>
              </w:rPr>
              <w:t>Date</w:t>
            </w:r>
          </w:p>
        </w:tc>
        <w:tc>
          <w:tcPr>
            <w:tcW w:type="dxa" w:w="1411"/>
          </w:tcPr>
          <w:p>
            <w:r>
              <w:rPr>
                <w:b/>
                <w:sz w:val="18"/>
              </w:rPr>
            </w:r>
            <w:r>
              <w:rPr>
                <w:b/>
                <w:sz w:val="18"/>
              </w:rPr>
              <w:t>Who collected it &amp; why (their incentive)</w:t>
            </w:r>
          </w:p>
        </w:tc>
        <w:tc>
          <w:tcPr>
            <w:tcW w:type="dxa" w:w="1411"/>
          </w:tcPr>
          <w:p>
            <w:r>
              <w:rPr>
                <w:b/>
                <w:sz w:val="18"/>
              </w:rPr>
            </w:r>
            <w:r>
              <w:rPr>
                <w:b/>
                <w:sz w:val="18"/>
              </w:rPr>
              <w:t>Method behind the number</w:t>
            </w:r>
          </w:p>
        </w:tc>
        <w:tc>
          <w:tcPr>
            <w:tcW w:type="dxa" w:w="1411"/>
          </w:tcPr>
          <w:p>
            <w:r>
              <w:rPr>
                <w:b/>
                <w:sz w:val="18"/>
              </w:rPr>
            </w:r>
            <w:r>
              <w:rPr>
                <w:b/>
                <w:sz w:val="18"/>
              </w:rPr>
              <w:t>Corroborating source (or "none found")</w:t>
            </w:r>
          </w:p>
        </w:tc>
        <w:tc>
          <w:tcPr>
            <w:tcW w:type="dxa" w:w="1411"/>
          </w:tcPr>
          <w:p>
            <w:r>
              <w:rPr>
                <w:b/>
                <w:sz w:val="18"/>
              </w:rPr>
            </w:r>
            <w:r>
              <w:rPr>
                <w:b/>
                <w:sz w:val="18"/>
              </w:rPr>
              <w:t>Verdict</w:t>
            </w:r>
          </w:p>
        </w:tc>
        <w:tc>
          <w:tcPr>
            <w:tcW w:type="dxa" w:w="1411"/>
          </w:tcPr>
          <w:p>
            <w:r>
              <w:rPr>
                <w:b/>
                <w:sz w:val="18"/>
              </w:rPr>
            </w:r>
            <w:r>
              <w:rPr>
                <w:b/>
                <w:sz w:val="18"/>
              </w:rPr>
              <w:t>Action taken in memo</w:t>
            </w:r>
          </w:p>
        </w:tc>
      </w:tr>
    </w:tbl>
    <w:p/>
    <w:p>
      <w:r>
        <w:rPr>
          <w:b/>
        </w:rPr>
        <w:t>Worked row — audit your claims to this standard:</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w:t>
            </w:r>
          </w:p>
        </w:tc>
        <w:tc>
          <w:tcPr>
            <w:tcW w:type="dxa" w:w="1411"/>
          </w:tcPr>
          <w:p>
            <w:r>
              <w:rPr>
                <w:b/>
                <w:sz w:val="18"/>
              </w:rPr>
            </w:r>
            <w:r>
              <w:rPr>
                <w:b/>
                <w:sz w:val="18"/>
              </w:rPr>
              <w:t>Source</w:t>
            </w:r>
          </w:p>
        </w:tc>
        <w:tc>
          <w:tcPr>
            <w:tcW w:type="dxa" w:w="1411"/>
          </w:tcPr>
          <w:p>
            <w:r>
              <w:rPr>
                <w:b/>
                <w:sz w:val="18"/>
              </w:rPr>
            </w:r>
            <w:r>
              <w:rPr>
                <w:b/>
                <w:sz w:val="18"/>
              </w:rPr>
              <w:t>Publisher type</w:t>
            </w:r>
          </w:p>
        </w:tc>
        <w:tc>
          <w:tcPr>
            <w:tcW w:type="dxa" w:w="1411"/>
          </w:tcPr>
          <w:p>
            <w:r>
              <w:rPr>
                <w:b/>
                <w:sz w:val="18"/>
              </w:rPr>
            </w:r>
            <w:r>
              <w:rPr>
                <w:b/>
                <w:sz w:val="18"/>
              </w:rPr>
              <w:t>Date</w:t>
            </w:r>
          </w:p>
        </w:tc>
        <w:tc>
          <w:tcPr>
            <w:tcW w:type="dxa" w:w="1411"/>
          </w:tcPr>
          <w:p>
            <w:r>
              <w:rPr>
                <w:b/>
                <w:sz w:val="18"/>
              </w:rPr>
            </w:r>
            <w:r>
              <w:rPr>
                <w:b/>
                <w:sz w:val="18"/>
              </w:rPr>
              <w:t>Who &amp; why</w:t>
            </w:r>
          </w:p>
        </w:tc>
        <w:tc>
          <w:tcPr>
            <w:tcW w:type="dxa" w:w="1411"/>
          </w:tcPr>
          <w:p>
            <w:r>
              <w:rPr>
                <w:b/>
                <w:sz w:val="18"/>
              </w:rPr>
            </w:r>
            <w:r>
              <w:rPr>
                <w:b/>
                <w:sz w:val="18"/>
              </w:rPr>
              <w:t>Method</w:t>
            </w:r>
          </w:p>
        </w:tc>
        <w:tc>
          <w:tcPr>
            <w:tcW w:type="dxa" w:w="1411"/>
          </w:tcPr>
          <w:p>
            <w:r>
              <w:rPr>
                <w:b/>
                <w:sz w:val="18"/>
              </w:rPr>
            </w:r>
            <w:r>
              <w:rPr>
                <w:b/>
                <w:sz w:val="18"/>
              </w:rPr>
              <w:t>Corroboration</w:t>
            </w:r>
          </w:p>
        </w:tc>
        <w:tc>
          <w:tcPr>
            <w:tcW w:type="dxa" w:w="1411"/>
          </w:tcPr>
          <w:p>
            <w:r>
              <w:rPr>
                <w:b/>
                <w:sz w:val="18"/>
              </w:rPr>
            </w:r>
            <w:r>
              <w:rPr>
                <w:b/>
                <w:sz w:val="18"/>
              </w:rPr>
              <w:t>Verdict</w:t>
            </w:r>
          </w:p>
        </w:tc>
        <w:tc>
          <w:tcPr>
            <w:tcW w:type="dxa" w:w="1411"/>
          </w:tcPr>
          <w:p>
            <w:r>
              <w:rPr>
                <w:b/>
                <w:sz w:val="18"/>
              </w:rPr>
            </w:r>
            <w:r>
              <w:rPr>
                <w:b/>
                <w:sz w:val="18"/>
              </w:rPr>
              <w:t>Action</w:t>
            </w:r>
          </w:p>
        </w:tc>
      </w:tr>
      <w:tr>
        <w:tc>
          <w:tcPr>
            <w:tcW w:type="dxa" w:w="1411"/>
          </w:tcPr>
          <w:p>
            <w:r>
              <w:rPr>
                <w:sz w:val="18"/>
              </w:rPr>
            </w:r>
            <w:r>
              <w:rPr>
                <w:sz w:val="18"/>
              </w:rPr>
              <w:t>E1</w:t>
            </w:r>
          </w:p>
        </w:tc>
        <w:tc>
          <w:tcPr>
            <w:tcW w:type="dxa" w:w="1411"/>
          </w:tcPr>
          <w:p>
            <w:r>
              <w:rPr>
                <w:sz w:val="18"/>
              </w:rPr>
            </w:r>
            <w:r>
              <w:rPr>
                <w:sz w:val="18"/>
              </w:rPr>
              <w:t>"Kanga Modern Kwik Room 10×12 costs $18,900"</w:t>
            </w:r>
          </w:p>
        </w:tc>
        <w:tc>
          <w:tcPr>
            <w:tcW w:type="dxa" w:w="1411"/>
          </w:tcPr>
          <w:p>
            <w:r>
              <w:rPr>
                <w:sz w:val="18"/>
              </w:rPr>
            </w:r>
            <w:r>
              <w:rPr>
                <w:sz w:val="18"/>
              </w:rPr>
              <w:t>Kanga Room Systems product page</w:t>
            </w:r>
          </w:p>
        </w:tc>
        <w:tc>
          <w:tcPr>
            <w:tcW w:type="dxa" w:w="1411"/>
          </w:tcPr>
          <w:p>
            <w:r>
              <w:rPr>
                <w:sz w:val="18"/>
              </w:rPr>
            </w:r>
            <w:r>
              <w:rPr>
                <w:b/>
                <w:sz w:val="18"/>
              </w:rPr>
              <w:t>Vendor</w:t>
            </w:r>
          </w:p>
        </w:tc>
        <w:tc>
          <w:tcPr>
            <w:tcW w:type="dxa" w:w="1411"/>
          </w:tcPr>
          <w:p>
            <w:r>
              <w:rPr>
                <w:sz w:val="18"/>
              </w:rPr>
            </w:r>
            <w:r>
              <w:rPr>
                <w:sz w:val="18"/>
              </w:rPr>
              <w:t>current</w:t>
            </w:r>
          </w:p>
        </w:tc>
        <w:tc>
          <w:tcPr>
            <w:tcW w:type="dxa" w:w="1411"/>
          </w:tcPr>
          <w:p>
            <w:r>
              <w:rPr>
                <w:sz w:val="18"/>
              </w:rPr>
            </w:r>
            <w:r>
              <w:rPr>
                <w:sz w:val="18"/>
              </w:rPr>
              <w:t>Manufacturer pricing its own product — incentive to headline the lowest number</w:t>
            </w:r>
          </w:p>
        </w:tc>
        <w:tc>
          <w:tcPr>
            <w:tcW w:type="dxa" w:w="1411"/>
          </w:tcPr>
          <w:p>
            <w:r>
              <w:rPr>
                <w:sz w:val="18"/>
              </w:rPr>
            </w:r>
            <w:r>
              <w:rPr>
                <w:sz w:val="18"/>
              </w:rPr>
              <w:t xml:space="preserve">Advertised price. Reading the page: $18,900 is the </w:t>
            </w:r>
            <w:r>
              <w:rPr>
                <w:b/>
                <w:sz w:val="18"/>
              </w:rPr>
              <w:t>shell kit only</w:t>
            </w:r>
            <w:r>
              <w:rPr>
                <w:sz w:val="18"/>
              </w:rPr>
              <w:t xml:space="preserve">; installed shell ≈ $24,700; </w:t>
            </w:r>
            <w:r>
              <w:rPr>
                <w:b/>
                <w:sz w:val="18"/>
              </w:rPr>
              <w:t>turnkey ≈ $40,600, offered in Texas only</w:t>
            </w:r>
            <w:r>
              <w:rPr>
                <w:sz w:val="18"/>
              </w:rPr>
              <w:t>; foundation, electrical, and interior finish excluded from the headline</w:t>
            </w:r>
          </w:p>
        </w:tc>
        <w:tc>
          <w:tcPr>
            <w:tcW w:type="dxa" w:w="1411"/>
          </w:tcPr>
          <w:p>
            <w:r>
              <w:rPr>
                <w:sz w:val="18"/>
              </w:rPr>
            </w:r>
            <w:r>
              <w:rPr>
                <w:sz w:val="18"/>
              </w:rPr>
              <w:t>Independent prefab-buyer's-guide article listing completed costs</w:t>
            </w:r>
          </w:p>
        </w:tc>
        <w:tc>
          <w:tcPr>
            <w:tcW w:type="dxa" w:w="1411"/>
          </w:tcPr>
          <w:p>
            <w:r>
              <w:rPr>
                <w:sz w:val="18"/>
              </w:rPr>
            </w:r>
            <w:r>
              <w:rPr>
                <w:b/>
                <w:sz w:val="18"/>
              </w:rPr>
              <w:t>Partially verified</w:t>
            </w:r>
          </w:p>
        </w:tc>
        <w:tc>
          <w:tcPr>
            <w:tcW w:type="dxa" w:w="1411"/>
          </w:tcPr>
          <w:p>
            <w:r>
              <w:rPr>
                <w:sz w:val="18"/>
              </w:rPr>
            </w:r>
            <w:r>
              <w:rPr>
                <w:sz w:val="18"/>
              </w:rPr>
              <w:t xml:space="preserve">Memo reports the </w:t>
            </w:r>
            <w:r>
              <w:rPr>
                <w:i/>
                <w:sz w:val="18"/>
              </w:rPr>
              <w:t>range</w:t>
            </w:r>
            <w:r>
              <w:rPr>
                <w:sz w:val="18"/>
              </w:rPr>
              <w:t xml:space="preserve"> ("$18.9K shell → ~$40.6K turnkey, TX") and never uses the bare $18,900 as a comparable to Tahoe's installed price</w:t>
            </w:r>
          </w:p>
        </w:tc>
      </w:tr>
    </w:tbl>
    <w:p/>
    <w:p>
      <w:pPr>
        <w:sectPr>
          <w:pgSz w:w="15840" w:h="12240" w:orient="landscape"/>
          <w:pgMar w:top="1008" w:right="864" w:bottom="1008" w:left="864" w:header="720" w:footer="720" w:gutter="0"/>
          <w:cols w:space="720"/>
          <w:docGrid w:linePitch="360"/>
        </w:sectPr>
      </w:pPr>
    </w:p>
    <w:p>
      <w:r>
        <w:t>The lesson in E1: advertised price ≠ completed cost — always ask what the headline excludes, and compare only inside the category.</w:t>
      </w:r>
    </w:p>
    <w:p>
      <w:pPr>
        <w:pStyle w:val="Heading2"/>
      </w:pPr>
      <w:r>
        <w:t>Appendix B — Sample deep-research prompts (adapt, don't copy blindly)</w:t>
      </w:r>
    </w:p>
    <w:p>
      <w:r>
        <w:rPr>
          <w:b/>
        </w:rPr>
        <w:t>Prompt 1 — category scan:</w:t>
      </w:r>
    </w:p>
    <w:p>
      <w:pPr>
        <w:ind w:left="432"/>
      </w:pPr>
      <w:r>
        <w:rPr>
          <w:i/>
          <w:sz w:val="19"/>
        </w:rPr>
        <w:t xml:space="preserve">You are a marketing research analyst preparing a secondary-research memo for a client that sells a prefab backyard studio (~100 sq ft, no plumbing, ~$23,000 installed) in Southern California. Produce a structured brief covering: (1) how this product category is defined and how it differs from ADUs, tiny homes, and sheds; (2) any available estimates of category size or growth in the US and California, </w:t>
      </w:r>
      <w:r>
        <w:rPr>
          <w:b/>
          <w:i/>
          <w:sz w:val="19"/>
        </w:rPr>
        <w:t>with the publisher and year of every estimate</w:t>
      </w:r>
      <w:r>
        <w:rPr>
          <w:i/>
          <w:sz w:val="19"/>
        </w:rPr>
        <w:t xml:space="preserve">; (3) California permitting rules for detached accessory structures under 120 sq ft vs. ADUs, citing the actual code or a government source. Rules: cite a source (name + URL) for </w:t>
      </w:r>
      <w:r>
        <w:rPr>
          <w:b/>
          <w:i/>
          <w:sz w:val="19"/>
        </w:rPr>
        <w:t>every factual claim</w:t>
      </w:r>
      <w:r>
        <w:rPr>
          <w:i/>
          <w:sz w:val="19"/>
        </w:rPr>
        <w:t>; if you cannot find a verifiable source, say "no reliable source found" instead of estimating; flag any source older than 3 years; do not use vendor blogs as evidence for market-level claims.</w:t>
      </w:r>
    </w:p>
    <w:p>
      <w:r>
        <w:rPr>
          <w:b/>
        </w:rPr>
        <w:t>Prompt 2 — competitor &amp; pricing matrix:</w:t>
      </w:r>
    </w:p>
    <w:p>
      <w:pPr>
        <w:ind w:left="432"/>
      </w:pPr>
      <w:r>
        <w:rPr>
          <w:i/>
          <w:sz w:val="19"/>
        </w:rPr>
        <w:t xml:space="preserve">Build a comparison table of companies selling prefab backyard studios / office pods in the US (no plumbing, roughly 90–200 sq ft). Columns: company, product, floor area, </w:t>
      </w:r>
      <w:r>
        <w:rPr>
          <w:b/>
          <w:i/>
          <w:sz w:val="19"/>
        </w:rPr>
        <w:t>advertised base price</w:t>
      </w:r>
      <w:r>
        <w:rPr>
          <w:i/>
          <w:sz w:val="19"/>
        </w:rPr>
        <w:t xml:space="preserve">, what that price excludes (delivery, foundation, electrical, installation), estimated completed cost if reported anywhere, buying model, and warranty. Separate a second table for </w:t>
      </w:r>
      <w:r>
        <w:rPr>
          <w:i/>
          <w:sz w:val="19"/>
        </w:rPr>
        <w:t>adjacent</w:t>
      </w:r>
      <w:r>
        <w:rPr>
          <w:i/>
          <w:sz w:val="19"/>
        </w:rPr>
        <w:t xml:space="preserve"> products that look price-comparable but are a different category (expandable container homes, foldable ADUs, travel trailers). Cite the specific product page or article for every price, with the date you accessed it. Where prices conflict between sources, show both and note the conflict.</w:t>
      </w:r>
    </w:p>
    <w:p>
      <w:r>
        <w:t>The first output will miss exclusions and mix categories — good AI use here means you iterate, demand per-claim citations, and treat everything as unverified draft until it survives your audit.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