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PA3 — Define the Research Problem &amp; Research Questions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(term project — graded on the /100 rubric below, scaled to 5 pts)</w:t>
            </w:r>
          </w:p>
        </w:tc>
      </w:tr>
      <w:tr>
        <w:tc>
          <w:tcPr>
            <w:tcW w:type="dxa" w:w="4968"/>
          </w:tcPr>
          <w:p>
            <w:r>
              <w:rPr>
                <w:sz w:val="19"/>
              </w:rPr>
            </w:r>
            <w:r>
              <w:rPr>
                <w:sz w:val="19"/>
              </w:rPr>
              <w:t>Due</w:t>
            </w:r>
          </w:p>
        </w:tc>
        <w:tc>
          <w:tcPr>
            <w:tcW w:type="dxa" w:w="4968"/>
          </w:tcPr>
          <w:p>
            <w:r>
              <w:rPr>
                <w:sz w:val="19"/>
              </w:rPr>
            </w:r>
            <w:r>
              <w:rPr>
                <w:sz w:val="19"/>
              </w:rPr>
              <w:t>Sunday Sep 20,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 xml:space="preserve">Canvas — one </w:t>
            </w:r>
            <w:r>
              <w:rPr>
                <w:b/>
                <w:sz w:val="19"/>
              </w:rPr>
              <w:t>.docx</w:t>
            </w:r>
            <w:r>
              <w:rPr>
                <w:sz w:val="19"/>
              </w:rPr>
              <w:t>: cascade + objectives + typed RQ list (Appendix A) + the interview log (Appendix B). The PA and any AI transcript are always Word; no links</w:t>
            </w:r>
          </w:p>
        </w:tc>
      </w:tr>
    </w:tbl>
    <w:p/>
    <w:p>
      <w:r>
        <w:rPr>
          <w:b/>
        </w:rPr>
        <w:t>Where this fits:</w:t>
      </w:r>
      <w:r>
        <w:t xml:space="preserve"> Lecture — Session 1.2 </w:t>
      </w:r>
      <w:r>
        <w:rPr>
          <w:i/>
        </w:rPr>
        <w:t>Problem Definition &amp; the Research Process</w:t>
      </w:r>
      <w:r>
        <w:t xml:space="preserve"> (week 3) → Practice — Summit Point </w:t>
      </w:r>
      <w:r>
        <w:rPr>
          <w:b/>
        </w:rPr>
        <w:t>Round 5</w:t>
      </w:r>
      <w:r>
        <w:t xml:space="preserve"> (</w:t>
      </w:r>
      <w:r>
        <w:rPr>
          <w:i/>
        </w:rPr>
        <w:t>Define the Research Problem</w:t>
      </w:r>
      <w:r>
        <w:t xml:space="preserve"> — you turned Dana's discovery-call notes into objectives and RQs for a fictional client) → Now the real thing: Neo Smart Living's recorded client visit.</w:t>
      </w:r>
    </w:p>
    <w:p>
      <w:pPr>
        <w:pStyle w:val="Heading2"/>
      </w:pPr>
      <w:r>
        <w:t>The gist</w:t>
      </w:r>
    </w:p>
    <w:p>
      <w:r>
        <w:t>You translate Neo Smart Living's situation into a researchable design: the problem cascade, at least two research objectives, and at least ten typed research questions your survey will answer. The recorded client visit and the Client Background document feed it. Done well, PA4's questionnaire writes itself: every item will trace back to an RQ you number here.</w:t>
      </w:r>
    </w:p>
    <w:p>
      <w:pPr>
        <w:pStyle w:val="Heading2"/>
      </w:pPr>
      <w:r>
        <w:t>Steps</w:t>
      </w:r>
    </w:p>
    <w:p>
      <w:pPr>
        <w:ind w:left="432" w:hanging="432"/>
      </w:pPr>
      <w:r>
        <w:t>1.</w:t>
        <w:tab/>
      </w:r>
      <w:r>
        <w:rPr>
          <w:b/>
        </w:rPr>
        <w:t>Work the cascade</w:t>
      </w:r>
      <w:r>
        <w:t xml:space="preserve"> (Appendix A): symptom → underlying problem → decision alternatives → information needs. Pick ONE decision to serve: a target-market concept from Client Background §5 or the sponsorship alternative in §6 — everything else in the cascade follows from that choice.</w:t>
      </w:r>
    </w:p>
    <w:p>
      <w:pPr>
        <w:ind w:left="432" w:hanging="432"/>
      </w:pPr>
      <w:r>
        <w:t>2.</w:t>
        <w:tab/>
      </w:r>
      <w:r>
        <w:rPr>
          <w:b/>
        </w:rPr>
        <w:t>Write ≥ 2 research objectives.</w:t>
      </w:r>
      <w:r>
        <w:t xml:space="preserve"> Managerial objectives are the client's hoped-for results ("increase showroom visits"); research objectives </w:t>
      </w:r>
      <w:r>
        <w:rPr>
          <w:i/>
        </w:rPr>
        <w:t>provide information</w:t>
      </w:r>
      <w:r>
        <w:t xml:space="preserve"> toward them ("determine which media most influence the target market's purchase behavior"). State both, clearly separated. Between them the objectives should touch demand (will they buy), segments (who), and positioning (why us).</w:t>
      </w:r>
    </w:p>
    <w:p>
      <w:pPr>
        <w:ind w:left="432" w:hanging="432"/>
      </w:pPr>
      <w:r>
        <w:t>3.</w:t>
        <w:tab/>
      </w:r>
      <w:r>
        <w:rPr>
          <w:b/>
        </w:rPr>
        <w:t>Draft ≥ 10 research questions</w:t>
      </w:r>
      <w:r>
        <w:t xml:space="preserve">, numbered and grouped under the objective each serves — third person, survey-answerable, specific to the Tahoe Mini ($23K, 117 sq ft, permit-light). RQs are the </w:t>
      </w:r>
      <w:r>
        <w:rPr>
          <w:i/>
        </w:rPr>
        <w:t>manager's</w:t>
      </w:r>
      <w:r>
        <w:t xml:space="preserve"> questions, not questionnaire questions.</w:t>
      </w:r>
    </w:p>
    <w:p>
      <w:pPr>
        <w:ind w:left="432" w:hanging="432"/>
      </w:pPr>
      <w:r>
        <w:t>4.</w:t>
        <w:tab/>
      </w:r>
      <w:r>
        <w:rPr>
          <w:b/>
        </w:rPr>
        <w:t>Label every RQ's type</w:t>
      </w:r>
      <w:r>
        <w:t xml:space="preserve"> — Descriptive (one variable), Differences (a grouping variable + an analysis variable, one comparison per question), or Association (two measured, interval-level variables — rating scales with 5+ points count). At least one Differences and one Association; Appendix C shows the bar, and the </w:t>
      </w:r>
      <w:r>
        <w:rPr>
          <w:i/>
        </w:rPr>
        <w:t>Research Question Types</w:t>
      </w:r>
      <w:r>
        <w:t xml:space="preserve"> handout on Canvas has the full decision rule.</w:t>
      </w:r>
    </w:p>
    <w:p>
      <w:pPr>
        <w:ind w:left="432" w:hanging="432"/>
      </w:pPr>
      <w:r>
        <w:t>5.</w:t>
        <w:tab/>
      </w:r>
      <w:r>
        <w:rPr>
          <w:b/>
        </w:rPr>
        <w:t>Interview the recording and the background document.</w:t>
      </w:r>
      <w:r>
        <w:t xml:space="preserve"> Write your question list </w:t>
      </w:r>
      <w:r>
        <w:rPr>
          <w:i/>
        </w:rPr>
        <w:t>first</w:t>
      </w:r>
      <w:r>
        <w:t xml:space="preserve"> (start from PA2's interview bridge), then find each answer: a timestamp in the client-visit video or transcript, a section number in the Client Background PDF, or the Round 5 briefing. Log it in Appendix B. Questions nothing answers are your best RQ candidates — say which RQ each became.</w:t>
      </w:r>
    </w:p>
    <w:p>
      <w:pPr>
        <w:ind w:left="432" w:hanging="432"/>
      </w:pPr>
      <w:r>
        <w:t>6.</w:t>
        <w:tab/>
      </w:r>
      <w:r>
        <w:rPr>
          <w:b/>
        </w:rPr>
        <w:t>Assemble and submit:</w:t>
      </w:r>
      <w:r>
        <w:t xml:space="preserve"> cascade + objectives + typed RQ list in the body; the interview log (Appendix B) at the end.</w:t>
      </w:r>
    </w:p>
    <w:p>
      <w:pPr>
        <w:pStyle w:val="Heading2"/>
      </w:pPr>
      <w:r>
        <w:t>What to submit</w:t>
      </w:r>
    </w:p>
    <w:p>
      <w:pPr>
        <w:ind w:left="360"/>
      </w:pPr>
      <w:r>
        <w:rPr>
          <w:b/>
        </w:rPr>
        <w:t xml:space="preserve">☐  </w:t>
      </w:r>
      <w:r>
        <w:t>Filled cascade (Appendix A) with ONE decision target chosen</w:t>
      </w:r>
    </w:p>
    <w:p>
      <w:pPr>
        <w:ind w:left="360"/>
      </w:pPr>
      <w:r>
        <w:rPr>
          <w:b/>
        </w:rPr>
        <w:t xml:space="preserve">☐  </w:t>
      </w:r>
      <w:r>
        <w:t>≥ 2 research objectives, each followed by its numbered RQs</w:t>
      </w:r>
    </w:p>
    <w:p>
      <w:pPr>
        <w:ind w:left="360"/>
      </w:pPr>
      <w:r>
        <w:rPr>
          <w:b/>
        </w:rPr>
        <w:t xml:space="preserve">☐  </w:t>
      </w:r>
      <w:r>
        <w:t>≥ 10 RQs, every one type-labeled; ≥ 1 Differences and ≥ 1 Association</w:t>
      </w:r>
    </w:p>
    <w:p>
      <w:pPr>
        <w:ind w:left="360"/>
      </w:pPr>
      <w:r>
        <w:rPr>
          <w:b/>
        </w:rPr>
        <w:t xml:space="preserve">☐  </w:t>
      </w:r>
      <w:r>
        <w:t>Interview log (Appendix B): question list drafted first, where each was answered, unanswered questions and the RQ each became</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Research objectives</w:t>
            </w:r>
          </w:p>
        </w:tc>
        <w:tc>
          <w:tcPr>
            <w:tcW w:type="dxa" w:w="3312"/>
          </w:tcPr>
          <w:p>
            <w:r>
              <w:rPr>
                <w:sz w:val="19"/>
              </w:rPr>
            </w:r>
            <w:r>
              <w:rPr>
                <w:sz w:val="19"/>
              </w:rPr>
              <w:t>20%</w:t>
            </w:r>
          </w:p>
        </w:tc>
        <w:tc>
          <w:tcPr>
            <w:tcW w:type="dxa" w:w="3312"/>
          </w:tcPr>
          <w:p>
            <w:r>
              <w:rPr>
                <w:sz w:val="19"/>
              </w:rPr>
            </w:r>
            <w:r>
              <w:rPr>
                <w:sz w:val="19"/>
              </w:rPr>
              <w:t>≥ 2 clear, specific, information-providing objectives that together cover demand, segments, and positioning — none generic, none merged into one unwieldy objective</w:t>
            </w:r>
          </w:p>
        </w:tc>
      </w:tr>
      <w:tr>
        <w:tc>
          <w:tcPr>
            <w:tcW w:type="dxa" w:w="3312"/>
          </w:tcPr>
          <w:p>
            <w:r>
              <w:rPr>
                <w:sz w:val="19"/>
              </w:rPr>
            </w:r>
            <w:r>
              <w:rPr>
                <w:sz w:val="19"/>
              </w:rPr>
              <w:t>RQ formation &amp; alignment</w:t>
            </w:r>
          </w:p>
        </w:tc>
        <w:tc>
          <w:tcPr>
            <w:tcW w:type="dxa" w:w="3312"/>
          </w:tcPr>
          <w:p>
            <w:r>
              <w:rPr>
                <w:sz w:val="19"/>
              </w:rPr>
            </w:r>
            <w:r>
              <w:rPr>
                <w:sz w:val="19"/>
              </w:rPr>
              <w:t>30%</w:t>
            </w:r>
          </w:p>
        </w:tc>
        <w:tc>
          <w:tcPr>
            <w:tcW w:type="dxa" w:w="3312"/>
          </w:tcPr>
          <w:p>
            <w:r>
              <w:rPr>
                <w:sz w:val="19"/>
              </w:rPr>
            </w:r>
            <w:r>
              <w:rPr>
                <w:sz w:val="19"/>
              </w:rPr>
              <w:t>Every RQ a genuine question (not an "Identify…" directive), third person, one comparison per question, answerable in one survey, and sitting under the objective it serves</w:t>
            </w:r>
          </w:p>
        </w:tc>
      </w:tr>
      <w:tr>
        <w:tc>
          <w:tcPr>
            <w:tcW w:type="dxa" w:w="3312"/>
          </w:tcPr>
          <w:p>
            <w:r>
              <w:rPr>
                <w:sz w:val="19"/>
              </w:rPr>
            </w:r>
            <w:r>
              <w:rPr>
                <w:sz w:val="19"/>
              </w:rPr>
              <w:t>Type diversity &amp; labeling</w:t>
            </w:r>
          </w:p>
        </w:tc>
        <w:tc>
          <w:tcPr>
            <w:tcW w:type="dxa" w:w="3312"/>
          </w:tcPr>
          <w:p>
            <w:r>
              <w:rPr>
                <w:sz w:val="19"/>
              </w:rPr>
            </w:r>
            <w:r>
              <w:rPr>
                <w:sz w:val="19"/>
              </w:rPr>
              <w:t>25%</w:t>
            </w:r>
          </w:p>
        </w:tc>
        <w:tc>
          <w:tcPr>
            <w:tcW w:type="dxa" w:w="3312"/>
          </w:tcPr>
          <w:p>
            <w:r>
              <w:rPr>
                <w:sz w:val="19"/>
              </w:rPr>
            </w:r>
            <w:r>
              <w:rPr>
                <w:sz w:val="19"/>
              </w:rPr>
              <w:t>All three types present and every RQ explicitly, accurately labeled; the Differences RQ names its grouping variable, the Association RQ its two measured (interval-level) variables</w:t>
            </w:r>
          </w:p>
        </w:tc>
      </w:tr>
      <w:tr>
        <w:tc>
          <w:tcPr>
            <w:tcW w:type="dxa" w:w="3312"/>
          </w:tcPr>
          <w:p>
            <w:r>
              <w:rPr>
                <w:sz w:val="19"/>
              </w:rPr>
            </w:r>
            <w:r>
              <w:rPr>
                <w:sz w:val="19"/>
              </w:rPr>
              <w:t>Client alignment &amp; specificity</w:t>
            </w:r>
          </w:p>
        </w:tc>
        <w:tc>
          <w:tcPr>
            <w:tcW w:type="dxa" w:w="3312"/>
          </w:tcPr>
          <w:p>
            <w:r>
              <w:rPr>
                <w:sz w:val="19"/>
              </w:rPr>
            </w:r>
            <w:r>
              <w:rPr>
                <w:sz w:val="19"/>
              </w:rPr>
              <w:t>15%</w:t>
            </w:r>
          </w:p>
        </w:tc>
        <w:tc>
          <w:tcPr>
            <w:tcW w:type="dxa" w:w="3312"/>
          </w:tcPr>
          <w:p>
            <w:r>
              <w:rPr>
                <w:sz w:val="19"/>
              </w:rPr>
            </w:r>
            <w:r>
              <w:rPr>
                <w:sz w:val="19"/>
              </w:rPr>
              <w:t>RQs use the client's own decision architecture — the $23K price, 117 sq ft / permit-light sizing, named value drivers and positioning concepts; nothing that would fit any modular-home company</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Cascade → RQ template (fill this out)</w:t>
      </w:r>
    </w:p>
    <w:p>
      <w:r>
        <w:rPr>
          <w:b/>
        </w:rPr>
        <w:t>A1. Problem-definition cascade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Cascade element</w:t>
            </w:r>
          </w:p>
        </w:tc>
        <w:tc>
          <w:tcPr>
            <w:tcW w:type="dxa" w:w="4968"/>
          </w:tcPr>
          <w:p>
            <w:r>
              <w:rPr>
                <w:b/>
                <w:sz w:val="19"/>
              </w:rPr>
            </w:r>
            <w:r>
              <w:rPr>
                <w:b/>
                <w:sz w:val="19"/>
              </w:rPr>
              <w:t>Your entry</w:t>
            </w:r>
          </w:p>
        </w:tc>
      </w:tr>
      <w:tr>
        <w:tc>
          <w:tcPr>
            <w:tcW w:type="dxa" w:w="4968"/>
          </w:tcPr>
          <w:p>
            <w:r>
              <w:rPr>
                <w:sz w:val="19"/>
              </w:rPr>
            </w:r>
            <w:r>
              <w:rPr>
                <w:sz w:val="19"/>
              </w:rPr>
              <w:t>Symptom (what the client observes)</w:t>
            </w:r>
          </w:p>
        </w:tc>
        <w:tc>
          <w:tcPr>
            <w:tcW w:type="dxa" w:w="4968"/>
          </w:tcPr>
          <w:p>
            <w:r>
              <w:rPr>
                <w:sz w:val="19"/>
              </w:rPr>
            </w:r>
          </w:p>
        </w:tc>
      </w:tr>
      <w:tr>
        <w:tc>
          <w:tcPr>
            <w:tcW w:type="dxa" w:w="4968"/>
          </w:tcPr>
          <w:p>
            <w:r>
              <w:rPr>
                <w:sz w:val="19"/>
              </w:rPr>
            </w:r>
            <w:r>
              <w:rPr>
                <w:sz w:val="19"/>
              </w:rPr>
              <w:t>Underlying problem (what actually needs solving)</w:t>
            </w:r>
          </w:p>
        </w:tc>
        <w:tc>
          <w:tcPr>
            <w:tcW w:type="dxa" w:w="4968"/>
          </w:tcPr>
          <w:p>
            <w:r>
              <w:rPr>
                <w:sz w:val="19"/>
              </w:rPr>
            </w:r>
          </w:p>
        </w:tc>
      </w:tr>
      <w:tr>
        <w:tc>
          <w:tcPr>
            <w:tcW w:type="dxa" w:w="4968"/>
          </w:tcPr>
          <w:p>
            <w:r>
              <w:rPr>
                <w:sz w:val="19"/>
              </w:rPr>
            </w:r>
            <w:r>
              <w:rPr>
                <w:sz w:val="19"/>
              </w:rPr>
              <w:t>Decision served — ONE concept from Client Background §5 or the §6 alternative</w:t>
            </w:r>
          </w:p>
        </w:tc>
        <w:tc>
          <w:tcPr>
            <w:tcW w:type="dxa" w:w="4968"/>
          </w:tcPr>
          <w:p>
            <w:r>
              <w:rPr>
                <w:sz w:val="19"/>
              </w:rPr>
            </w:r>
          </w:p>
        </w:tc>
      </w:tr>
      <w:tr>
        <w:tc>
          <w:tcPr>
            <w:tcW w:type="dxa" w:w="4968"/>
          </w:tcPr>
          <w:p>
            <w:r>
              <w:rPr>
                <w:sz w:val="19"/>
              </w:rPr>
            </w:r>
            <w:r>
              <w:rPr>
                <w:sz w:val="19"/>
              </w:rPr>
              <w:t>Decision alternatives (the concrete options on the table)</w:t>
            </w:r>
          </w:p>
        </w:tc>
        <w:tc>
          <w:tcPr>
            <w:tcW w:type="dxa" w:w="4968"/>
          </w:tcPr>
          <w:p>
            <w:r>
              <w:rPr>
                <w:sz w:val="19"/>
              </w:rPr>
            </w:r>
          </w:p>
        </w:tc>
      </w:tr>
      <w:tr>
        <w:tc>
          <w:tcPr>
            <w:tcW w:type="dxa" w:w="4968"/>
          </w:tcPr>
          <w:p>
            <w:r>
              <w:rPr>
                <w:sz w:val="19"/>
              </w:rPr>
            </w:r>
            <w:r>
              <w:rPr>
                <w:sz w:val="19"/>
              </w:rPr>
              <w:t>Managerial objective(s) (what the client hopes results)</w:t>
            </w:r>
          </w:p>
        </w:tc>
        <w:tc>
          <w:tcPr>
            <w:tcW w:type="dxa" w:w="4968"/>
          </w:tcPr>
          <w:p>
            <w:r>
              <w:rPr>
                <w:sz w:val="19"/>
              </w:rPr>
            </w:r>
          </w:p>
        </w:tc>
      </w:tr>
      <w:tr>
        <w:tc>
          <w:tcPr>
            <w:tcW w:type="dxa" w:w="4968"/>
          </w:tcPr>
          <w:p>
            <w:r>
              <w:rPr>
                <w:sz w:val="19"/>
              </w:rPr>
            </w:r>
            <w:r>
              <w:rPr>
                <w:sz w:val="19"/>
              </w:rPr>
              <w:t>Information needs (what the research must supply)</w:t>
            </w:r>
          </w:p>
        </w:tc>
        <w:tc>
          <w:tcPr>
            <w:tcW w:type="dxa" w:w="4968"/>
          </w:tcPr>
          <w:p>
            <w:r>
              <w:rPr>
                <w:sz w:val="19"/>
              </w:rPr>
            </w:r>
          </w:p>
        </w:tc>
      </w:tr>
    </w:tbl>
    <w:p/>
    <w:p>
      <w:r>
        <w:rPr>
          <w:b/>
        </w:rPr>
        <w:t>A2. Research objectives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RO #</w:t>
            </w:r>
          </w:p>
        </w:tc>
        <w:tc>
          <w:tcPr>
            <w:tcW w:type="dxa" w:w="4968"/>
          </w:tcPr>
          <w:p>
            <w:r>
              <w:rPr>
                <w:b/>
                <w:sz w:val="19"/>
              </w:rPr>
            </w:r>
            <w:r>
              <w:rPr>
                <w:b/>
                <w:sz w:val="19"/>
              </w:rPr>
              <w:t>Research objective (information-providing, not managerial)</w:t>
            </w:r>
          </w:p>
        </w:tc>
      </w:tr>
      <w:tr>
        <w:tc>
          <w:tcPr>
            <w:tcW w:type="dxa" w:w="4968"/>
          </w:tcPr>
          <w:p>
            <w:r>
              <w:rPr>
                <w:sz w:val="19"/>
              </w:rPr>
            </w:r>
            <w:r>
              <w:rPr>
                <w:sz w:val="19"/>
              </w:rPr>
              <w:t>RO1</w:t>
            </w:r>
          </w:p>
        </w:tc>
        <w:tc>
          <w:tcPr>
            <w:tcW w:type="dxa" w:w="4968"/>
          </w:tcPr>
          <w:p>
            <w:r>
              <w:rPr>
                <w:sz w:val="19"/>
              </w:rPr>
            </w:r>
          </w:p>
        </w:tc>
      </w:tr>
      <w:tr>
        <w:tc>
          <w:tcPr>
            <w:tcW w:type="dxa" w:w="4968"/>
          </w:tcPr>
          <w:p>
            <w:r>
              <w:rPr>
                <w:sz w:val="19"/>
              </w:rPr>
            </w:r>
            <w:r>
              <w:rPr>
                <w:sz w:val="19"/>
              </w:rPr>
              <w:t>RO2</w:t>
            </w:r>
          </w:p>
        </w:tc>
        <w:tc>
          <w:tcPr>
            <w:tcW w:type="dxa" w:w="4968"/>
          </w:tcPr>
          <w:p>
            <w:r>
              <w:rPr>
                <w:sz w:val="19"/>
              </w:rPr>
            </w:r>
          </w:p>
        </w:tc>
      </w:tr>
      <w:tr>
        <w:tc>
          <w:tcPr>
            <w:tcW w:type="dxa" w:w="4968"/>
          </w:tcPr>
          <w:p>
            <w:r>
              <w:rPr>
                <w:sz w:val="19"/>
              </w:rPr>
            </w:r>
            <w:r>
              <w:rPr>
                <w:sz w:val="19"/>
              </w:rPr>
              <w:t>RO3 (optional)</w:t>
            </w:r>
          </w:p>
        </w:tc>
        <w:tc>
          <w:tcPr>
            <w:tcW w:type="dxa" w:w="4968"/>
          </w:tcPr>
          <w:p>
            <w:r>
              <w:rPr>
                <w:sz w:val="19"/>
              </w:rPr>
            </w:r>
          </w:p>
        </w:tc>
      </w:tr>
    </w:tbl>
    <w:p/>
    <w:p>
      <w:r>
        <w:rPr>
          <w:b/>
        </w:rPr>
        <w:t>A3. Numbered research questions</w:t>
      </w:r>
      <w:r>
        <w:t xml:space="preserve"> — group each RQ under the objective it serves; label every type.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RQ #</w:t>
            </w:r>
          </w:p>
        </w:tc>
        <w:tc>
          <w:tcPr>
            <w:tcW w:type="dxa" w:w="2484"/>
          </w:tcPr>
          <w:p>
            <w:r>
              <w:rPr>
                <w:b/>
                <w:sz w:val="19"/>
              </w:rPr>
            </w:r>
            <w:r>
              <w:rPr>
                <w:b/>
                <w:sz w:val="19"/>
              </w:rPr>
              <w:t>Serves RO #</w:t>
            </w:r>
          </w:p>
        </w:tc>
        <w:tc>
          <w:tcPr>
            <w:tcW w:type="dxa" w:w="2484"/>
          </w:tcPr>
          <w:p>
            <w:r>
              <w:rPr>
                <w:b/>
                <w:sz w:val="19"/>
              </w:rPr>
            </w:r>
            <w:r>
              <w:rPr>
                <w:b/>
                <w:sz w:val="19"/>
              </w:rPr>
              <w:t>Research question (third person, verbatim)</w:t>
            </w:r>
          </w:p>
        </w:tc>
        <w:tc>
          <w:tcPr>
            <w:tcW w:type="dxa" w:w="2484"/>
          </w:tcPr>
          <w:p>
            <w:r>
              <w:rPr>
                <w:b/>
                <w:sz w:val="19"/>
              </w:rPr>
            </w:r>
            <w:r>
              <w:rPr>
                <w:b/>
                <w:sz w:val="19"/>
              </w:rPr>
              <w:t>Type (Descriptive / Differences / Association)</w:t>
            </w:r>
          </w:p>
        </w:tc>
      </w:tr>
      <w:tr>
        <w:tc>
          <w:tcPr>
            <w:tcW w:type="dxa" w:w="2484"/>
          </w:tcPr>
          <w:p>
            <w:r>
              <w:rPr>
                <w:sz w:val="19"/>
              </w:rPr>
            </w:r>
            <w:r>
              <w:rPr>
                <w:sz w:val="19"/>
              </w:rPr>
              <w:t>1</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2</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3</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4</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5</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6</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7</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8</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9</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10</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11</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12</w:t>
            </w:r>
          </w:p>
        </w:tc>
        <w:tc>
          <w:tcPr>
            <w:tcW w:type="dxa" w:w="2484"/>
          </w:tcPr>
          <w:p>
            <w:r>
              <w:rPr>
                <w:sz w:val="19"/>
              </w:rPr>
            </w:r>
          </w:p>
        </w:tc>
        <w:tc>
          <w:tcPr>
            <w:tcW w:type="dxa" w:w="2484"/>
          </w:tcPr>
          <w:p>
            <w:r>
              <w:rPr>
                <w:sz w:val="19"/>
              </w:rPr>
            </w:r>
          </w:p>
        </w:tc>
        <w:tc>
          <w:tcPr>
            <w:tcW w:type="dxa" w:w="2484"/>
          </w:tcPr>
          <w:p>
            <w:r>
              <w:rPr>
                <w:sz w:val="19"/>
              </w:rPr>
            </w:r>
          </w:p>
        </w:tc>
      </w:tr>
    </w:tbl>
    <w:p/>
    <w:p>
      <w:pPr>
        <w:pStyle w:val="Heading2"/>
      </w:pPr>
      <w:r>
        <w:t>Appendix B — Interview log (fill this out)</w:t>
      </w:r>
    </w:p>
    <w:p>
      <w:r>
        <w:t xml:space="preserve">Draft the Question column </w:t>
      </w:r>
      <w:r>
        <w:rPr>
          <w:i/>
        </w:rPr>
        <w:t>before</w:t>
      </w:r>
      <w:r>
        <w:t xml:space="preserve"> watching. Then hunt each answer in the recording (timestamp), the Client Background PDF (section number) or the Round 5 briefing. Unanswered questions are valuable — they often become research questions.</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Question (drafted first)</w:t>
            </w:r>
          </w:p>
        </w:tc>
        <w:tc>
          <w:tcPr>
            <w:tcW w:type="dxa" w:w="3528"/>
          </w:tcPr>
          <w:p>
            <w:r>
              <w:rPr>
                <w:b/>
                <w:sz w:val="18"/>
              </w:rPr>
            </w:r>
            <w:r>
              <w:rPr>
                <w:b/>
                <w:sz w:val="18"/>
              </w:rPr>
              <w:t>Where answered (recording mm:ss / Background §# / Round 5 / not answered)</w:t>
            </w:r>
          </w:p>
        </w:tc>
        <w:tc>
          <w:tcPr>
            <w:tcW w:type="dxa" w:w="3528"/>
          </w:tcPr>
          <w:p>
            <w:r>
              <w:rPr>
                <w:b/>
                <w:sz w:val="18"/>
              </w:rPr>
            </w:r>
            <w:r>
              <w:rPr>
                <w:b/>
                <w:sz w:val="18"/>
              </w:rPr>
              <w:t>Answer in one line</w:t>
            </w:r>
          </w:p>
        </w:tc>
        <w:tc>
          <w:tcPr>
            <w:tcW w:type="dxa" w:w="3528"/>
          </w:tcPr>
          <w:p>
            <w:r>
              <w:rPr>
                <w:b/>
                <w:sz w:val="18"/>
              </w:rPr>
            </w:r>
            <w:r>
              <w:rPr>
                <w:b/>
                <w:sz w:val="18"/>
              </w:rPr>
              <w:t>If not answered → RQ # it became</w:t>
            </w:r>
          </w:p>
        </w:tc>
      </w:tr>
    </w:tbl>
    <w:p/>
    <w:p>
      <w:pPr>
        <w:sectPr>
          <w:pgSz w:w="15840" w:h="12240" w:orient="landscape"/>
          <w:pgMar w:top="1008" w:right="864" w:bottom="1008" w:left="864" w:header="720" w:footer="720" w:gutter="0"/>
          <w:cols w:space="720"/>
          <w:docGrid w:linePitch="360"/>
        </w:sectPr>
      </w:pPr>
    </w:p>
    <w:p>
      <w:pPr>
        <w:pStyle w:val="Heading2"/>
      </w:pPr>
      <w:r>
        <w:t>Appendix C — One strong RQ vs. one weak RQ</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p>
        </w:tc>
        <w:tc>
          <w:tcPr>
            <w:tcW w:type="dxa" w:w="3312"/>
          </w:tcPr>
          <w:p>
            <w:r>
              <w:rPr>
                <w:b/>
                <w:sz w:val="19"/>
              </w:rPr>
            </w:r>
            <w:r>
              <w:rPr>
                <w:b/>
                <w:sz w:val="19"/>
              </w:rPr>
              <w:t>Research question</w:t>
            </w:r>
          </w:p>
        </w:tc>
        <w:tc>
          <w:tcPr>
            <w:tcW w:type="dxa" w:w="3312"/>
          </w:tcPr>
          <w:p>
            <w:r>
              <w:rPr>
                <w:b/>
                <w:sz w:val="19"/>
              </w:rPr>
            </w:r>
            <w:r>
              <w:rPr>
                <w:b/>
                <w:sz w:val="19"/>
              </w:rPr>
              <w:t>Why</w:t>
            </w:r>
          </w:p>
        </w:tc>
      </w:tr>
      <w:tr>
        <w:tc>
          <w:tcPr>
            <w:tcW w:type="dxa" w:w="3312"/>
          </w:tcPr>
          <w:p>
            <w:r>
              <w:rPr>
                <w:sz w:val="19"/>
              </w:rPr>
            </w:r>
            <w:r>
              <w:rPr>
                <w:b/>
                <w:sz w:val="19"/>
              </w:rPr>
              <w:t>Strong</w:t>
            </w:r>
          </w:p>
        </w:tc>
        <w:tc>
          <w:tcPr>
            <w:tcW w:type="dxa" w:w="3312"/>
          </w:tcPr>
          <w:p>
            <w:r>
              <w:rPr>
                <w:sz w:val="19"/>
              </w:rPr>
            </w:r>
            <w:r>
              <w:rPr>
                <w:b/>
                <w:sz w:val="19"/>
              </w:rPr>
              <w:t>(Differences)</w:t>
            </w:r>
            <w:r>
              <w:rPr>
                <w:sz w:val="19"/>
              </w:rPr>
              <w:t xml:space="preserve"> Do homeowners who work remotely differ from non-remote workers in their purchase intention for the Tahoe Mini?</w:t>
            </w:r>
          </w:p>
        </w:tc>
        <w:tc>
          <w:tcPr>
            <w:tcW w:type="dxa" w:w="3312"/>
          </w:tcPr>
          <w:p>
            <w:r>
              <w:rPr>
                <w:sz w:val="19"/>
              </w:rPr>
            </w:r>
            <w:r>
              <w:rPr>
                <w:sz w:val="19"/>
              </w:rPr>
              <w:t>Third person; one grouping variable (remote vs. not) compared on one analysis variable (purchase intention); type-labeled; answerable in one survey; anchored to this client's product</w:t>
            </w:r>
          </w:p>
        </w:tc>
      </w:tr>
      <w:tr>
        <w:tc>
          <w:tcPr>
            <w:tcW w:type="dxa" w:w="3312"/>
          </w:tcPr>
          <w:p>
            <w:r>
              <w:rPr>
                <w:sz w:val="19"/>
              </w:rPr>
            </w:r>
            <w:r>
              <w:rPr>
                <w:b/>
                <w:sz w:val="19"/>
              </w:rPr>
              <w:t>Weak</w:t>
            </w:r>
          </w:p>
        </w:tc>
        <w:tc>
          <w:tcPr>
            <w:tcW w:type="dxa" w:w="3312"/>
          </w:tcPr>
          <w:p>
            <w:r>
              <w:rPr>
                <w:sz w:val="19"/>
              </w:rPr>
            </w:r>
            <w:r>
              <w:rPr>
                <w:sz w:val="19"/>
              </w:rPr>
              <w:t>How interested are you in our product?</w:t>
            </w:r>
          </w:p>
        </w:tc>
        <w:tc>
          <w:tcPr>
            <w:tcW w:type="dxa" w:w="3312"/>
          </w:tcPr>
          <w:p>
            <w:r>
              <w:rPr>
                <w:sz w:val="19"/>
              </w:rPr>
            </w:r>
            <w:r>
              <w:rPr>
                <w:sz w:val="19"/>
              </w:rPr>
              <w:t>Second person — that's questionnaire wording, not a manager's question; no type label; no named variables; generic enough to fit any company</w:t>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