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PA_PMap Lab — Perceptual Maps: Simulated Panel vs. Real Data</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 xml:space="preserve">Feeds PA8's </w:t>
            </w:r>
            <w:r>
              <w:rPr>
                <w:b/>
                <w:sz w:val="19"/>
              </w:rPr>
              <w:t>AI extension &amp; simulation recommendations</w:t>
            </w:r>
            <w:r>
              <w:rPr>
                <w:b/>
                <w:sz w:val="19"/>
              </w:rPr>
              <w:t xml:space="preserve"> category (25% of PA8's 17 pts) — no separate grade, no separate submission</w:t>
            </w:r>
          </w:p>
        </w:tc>
      </w:tr>
      <w:tr>
        <w:tc>
          <w:tcPr>
            <w:tcW w:type="dxa" w:w="4968"/>
          </w:tcPr>
          <w:p>
            <w:r>
              <w:rPr>
                <w:sz w:val="19"/>
              </w:rPr>
            </w:r>
            <w:r>
              <w:rPr>
                <w:sz w:val="19"/>
              </w:rPr>
              <w:t>Due</w:t>
            </w:r>
          </w:p>
        </w:tc>
        <w:tc>
          <w:tcPr>
            <w:tcW w:type="dxa" w:w="4968"/>
          </w:tcPr>
          <w:p>
            <w:r>
              <w:rPr>
                <w:sz w:val="19"/>
              </w:rPr>
            </w:r>
            <w:r>
              <w:rPr>
                <w:sz w:val="19"/>
              </w:rPr>
              <w:t>Have the workbook done by Sunday Nov 22, 11:59 PM — your presentation is Nov 23 or Nov 25</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Nothing separate — the two exhibits and the filled Audit Box go into your PA8 deck's appendix; the verdicts feed Part 2 of the talk</w:t>
            </w:r>
          </w:p>
        </w:tc>
      </w:tr>
    </w:tbl>
    <w:p/>
    <w:p>
      <w:r>
        <w:rPr>
          <w:b/>
        </w:rPr>
        <w:t>Where this fits:</w:t>
      </w:r>
      <w:r>
        <w:t xml:space="preserve"> Lecture — Session 4.4 </w:t>
      </w:r>
      <w:r>
        <w:rPr>
          <w:i/>
        </w:rPr>
        <w:t>Positioning &amp; Perceptual Maps</w:t>
      </w:r>
      <w:r>
        <w:t xml:space="preserve"> (week 12: Mon Nov 9 kickoff · Wed Nov 11 holiday — start async · Wed Nov 18 work session) → Practice — Summit Point </w:t>
      </w:r>
      <w:r>
        <w:rPr>
          <w:b/>
        </w:rPr>
        <w:t>Round 13</w:t>
      </w:r>
      <w:r>
        <w:t xml:space="preserve"> (</w:t>
      </w:r>
      <w:r>
        <w:rPr>
          <w:i/>
        </w:rPr>
        <w:t>Audit PanelForge AI's synthetic-panel pitch</w:t>
      </w:r>
      <w:r>
        <w:t>, due Mon Nov 16 — the warm-up: PanelForge's panel rated a brand that doesn't exist) → Now the real audit: this time the panel is ours.</w:t>
      </w:r>
    </w:p>
    <w:p>
      <w:pPr>
        <w:pStyle w:val="Heading2"/>
      </w:pPr>
      <w:r>
        <w:t>The gist</w:t>
      </w:r>
    </w:p>
    <w:p>
      <w:r>
        <w:t xml:space="preserve">Neo Smart Living knows </w:t>
      </w:r>
      <w:r>
        <w:rPr>
          <w:i/>
        </w:rPr>
        <w:t>whether</w:t>
      </w:r>
      <w:r>
        <w:t xml:space="preserve"> people want the Tahoe Mini; this lab answers </w:t>
      </w:r>
      <w:r>
        <w:rPr>
          <w:i/>
        </w:rPr>
        <w:t>where it sits in buyers' heads</w:t>
      </w:r>
      <w:r>
        <w:t>. The instructor pre-ran a simulated LLM panel — two models, six products, six attributes, 0–10; data pack on Canvas, no API calls. Build the map from it, then do what a researcher must before showing a client anything: audit the panel against the real aytm evidence (n = 600). Simulated data writes the first draft; real people get the final word.</w:t>
      </w:r>
    </w:p>
    <w:p>
      <w:pPr>
        <w:pStyle w:val="Heading2"/>
      </w:pPr>
      <w:r>
        <w:t>Steps</w:t>
      </w:r>
    </w:p>
    <w:p>
      <w:pPr>
        <w:ind w:left="432" w:hanging="432"/>
      </w:pPr>
      <w:r>
        <w:t>1.</w:t>
        <w:tab/>
      </w:r>
      <w:r>
        <w:rPr>
          <w:b/>
        </w:rPr>
        <w:t>Build the means matrix</w:t>
      </w:r>
      <w:r>
        <w:t xml:space="preserve"> (either path in Appendix B): GPT-4.1 rows, product × attribute means, one decimal, sorted. Check whether the second model ranks products the same on your chosen axes — agreement = reliability, not validity. Remember what the panel is: one API call = one synthetic answer; temperature makes answers vary, so a distribution of one is not data.</w:t>
      </w:r>
    </w:p>
    <w:p>
      <w:pPr>
        <w:ind w:left="432" w:hanging="432"/>
      </w:pPr>
      <w:r>
        <w:t>2.</w:t>
        <w:tab/>
      </w:r>
      <w:r>
        <w:rPr>
          <w:b/>
        </w:rPr>
        <w:t>Make the frame-of-reference call:</w:t>
      </w:r>
      <w:r>
        <w:t xml:space="preserve"> the pack holds six products but the map shows five — one is in the wrong category. Identify and exclude it in 3–5 sentences (revisit the Tahoe Mini stimulus: what is the product explicitly </w:t>
      </w:r>
      <w:r>
        <w:rPr>
          <w:i/>
        </w:rPr>
        <w:t>not</w:t>
      </w:r>
      <w:r>
        <w:t>?). The panel rated it fluently anyway — category definition is the researcher's job, not the panel's.</w:t>
      </w:r>
    </w:p>
    <w:p>
      <w:pPr>
        <w:ind w:left="432" w:hanging="432"/>
      </w:pPr>
      <w:r>
        <w:t>3.</w:t>
        <w:tab/>
      </w:r>
      <w:r>
        <w:rPr>
          <w:b/>
        </w:rPr>
        <w:t>Draw and read the map:</w:t>
      </w:r>
      <w:r>
        <w:t xml:space="preserve"> a 2-D map on a justified axis pair — axes labeled with wording + scale, all five products labeled, sourced title. Read it in attribute language (nearest rival, crowded region, open region). Justify the six attributes in two sentences, citing at least two real aytm numbers (e.g., cost = greatest barrier 59.7%; build quality = top driver 3.62 / 46.3%).</w:t>
      </w:r>
    </w:p>
    <w:p>
      <w:pPr>
        <w:ind w:left="432" w:hanging="432"/>
      </w:pPr>
      <w:r>
        <w:t>4.</w:t>
        <w:tab/>
      </w:r>
      <w:r>
        <w:rPr>
          <w:b/>
        </w:rPr>
        <w:t>Validate against reality:</w:t>
      </w:r>
      <w:r>
        <w:t xml:space="preserve"> when the real aytm map posts on Canvas (week 12), fill the Panel Audit Box (Appendix A) with computed numbers — orderings and gaps, never raw levels (sim 0–10, real 1–5); variance compression = SD ÷ scale range, both sources; the sim's Tahoe value-for-money score vs. the real barrier evidence; the decoy failures generalized into one screening rule. Report what the real data confirms and what it does not; if everything holds, say which check you trust least and why. Your PA8 Part 2 verdict and three tagged positioning recommendations — "For [whom], the Tahoe Mini is the [category] that [POD]", each </w:t>
      </w:r>
      <w:r>
        <w:rPr>
          <w:b/>
        </w:rPr>
        <w:t>[Confirmed]</w:t>
      </w:r>
      <w:r>
        <w:t xml:space="preserve">, </w:t>
      </w:r>
      <w:r>
        <w:rPr>
          <w:b/>
        </w:rPr>
        <w:t>[Sim-only — verify before acting]</w:t>
      </w:r>
      <w:r>
        <w:t xml:space="preserve"> or </w:t>
      </w:r>
      <w:r>
        <w:rPr>
          <w:b/>
        </w:rPr>
        <w:t>[Overruled]</w:t>
      </w:r>
      <w:r>
        <w:t xml:space="preserve"> with a cited cell value — come from this box.</w:t>
      </w:r>
    </w:p>
    <w:p>
      <w:pPr>
        <w:pStyle w:val="Heading2"/>
      </w:pPr>
      <w:r>
        <w:t>What to submit</w:t>
      </w:r>
    </w:p>
    <w:p>
      <w:pPr>
        <w:ind w:left="360"/>
      </w:pPr>
      <w:r>
        <w:rPr>
          <w:b/>
        </w:rPr>
        <w:t xml:space="preserve">☐  </w:t>
      </w:r>
      <w:r>
        <w:t>Exhibit: means matrix (in the PA8 deck appendix)</w:t>
      </w:r>
    </w:p>
    <w:p>
      <w:pPr>
        <w:ind w:left="360"/>
      </w:pPr>
      <w:r>
        <w:rPr>
          <w:b/>
        </w:rPr>
        <w:t xml:space="preserve">☐  </w:t>
      </w:r>
      <w:r>
        <w:t>Exhibit: labeled perceptual map — build path stated (in the PA8 deck appendix)</w:t>
      </w:r>
    </w:p>
    <w:p>
      <w:pPr>
        <w:ind w:left="360"/>
      </w:pPr>
      <w:r>
        <w:rPr>
          <w:b/>
        </w:rPr>
        <w:t xml:space="preserve">☐  </w:t>
      </w:r>
      <w:r>
        <w:t>Panel Audit Box (Appendix A), computed numbers in every row (in the PA8 deck appendix)</w:t>
      </w:r>
    </w:p>
    <w:p>
      <w:pPr>
        <w:ind w:left="360"/>
      </w:pPr>
      <w:r>
        <w:rPr>
          <w:b/>
        </w:rPr>
        <w:t xml:space="preserve">☐  </w:t>
      </w:r>
      <w:r>
        <w:t>AI reflection (below) — folded into PA8's reflection, nothing separate</w:t>
      </w:r>
    </w:p>
    <w:p>
      <w:pPr>
        <w:pStyle w:val="Heading2"/>
      </w:pPr>
      <w:r>
        <w:t>How you'll be graded</w:t>
      </w:r>
    </w:p>
    <w:p>
      <w:r>
        <w:t xml:space="preserve">This is how PA8's </w:t>
      </w:r>
      <w:r>
        <w:rPr>
          <w:i/>
        </w:rPr>
        <w:t>AI extension &amp; simulation recommendations</w:t>
      </w:r>
      <w:r>
        <w:t xml:space="preserve"> category reads your lab work.</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Explain</w:t>
            </w:r>
          </w:p>
        </w:tc>
        <w:tc>
          <w:tcPr>
            <w:tcW w:type="dxa" w:w="3312"/>
          </w:tcPr>
          <w:p>
            <w:r>
              <w:rPr>
                <w:sz w:val="19"/>
              </w:rPr>
            </w:r>
            <w:r>
              <w:rPr>
                <w:sz w:val="19"/>
              </w:rPr>
              <w:t>20%</w:t>
            </w:r>
          </w:p>
        </w:tc>
        <w:tc>
          <w:tcPr>
            <w:tcW w:type="dxa" w:w="3312"/>
          </w:tcPr>
          <w:p>
            <w:r>
              <w:rPr>
                <w:sz w:val="19"/>
              </w:rPr>
            </w:r>
            <w:r>
              <w:rPr>
                <w:sz w:val="19"/>
              </w:rPr>
              <w:t>Method a client could repeat back; simulation status plain; ≥2 attribute justifications cite real aytm numbers; decoy excluded with a category-definition argument plus the researcher-owns-the-frame point</w:t>
            </w:r>
          </w:p>
        </w:tc>
      </w:tr>
      <w:tr>
        <w:tc>
          <w:tcPr>
            <w:tcW w:type="dxa" w:w="3312"/>
          </w:tcPr>
          <w:p>
            <w:r>
              <w:rPr>
                <w:sz w:val="19"/>
              </w:rPr>
            </w:r>
            <w:r>
              <w:rPr>
                <w:sz w:val="19"/>
              </w:rPr>
              <w:t>Execute</w:t>
            </w:r>
          </w:p>
        </w:tc>
        <w:tc>
          <w:tcPr>
            <w:tcW w:type="dxa" w:w="3312"/>
          </w:tcPr>
          <w:p>
            <w:r>
              <w:rPr>
                <w:sz w:val="19"/>
              </w:rPr>
            </w:r>
            <w:r>
              <w:rPr>
                <w:sz w:val="19"/>
              </w:rPr>
              <w:t>30%</w:t>
            </w:r>
          </w:p>
        </w:tc>
        <w:tc>
          <w:tcPr>
            <w:tcW w:type="dxa" w:w="3312"/>
          </w:tcPr>
          <w:p>
            <w:r>
              <w:rPr>
                <w:sz w:val="19"/>
              </w:rPr>
            </w:r>
            <w:r>
              <w:rPr>
                <w:sz w:val="19"/>
              </w:rPr>
              <w:t>Matrix correct (right model, right five, sorted); map labeled with justified axes and sourced title; reading in attribute language, not "the empty corner"; cross-model ordering check with the reliability-not-validity caveat</w:t>
            </w:r>
          </w:p>
        </w:tc>
      </w:tr>
      <w:tr>
        <w:tc>
          <w:tcPr>
            <w:tcW w:type="dxa" w:w="3312"/>
          </w:tcPr>
          <w:p>
            <w:r>
              <w:rPr>
                <w:sz w:val="19"/>
              </w:rPr>
            </w:r>
            <w:r>
              <w:rPr>
                <w:sz w:val="19"/>
              </w:rPr>
              <w:t>Validate</w:t>
            </w:r>
          </w:p>
        </w:tc>
        <w:tc>
          <w:tcPr>
            <w:tcW w:type="dxa" w:w="3312"/>
          </w:tcPr>
          <w:p>
            <w:r>
              <w:rPr>
                <w:sz w:val="19"/>
              </w:rPr>
            </w:r>
            <w:r>
              <w:rPr>
                <w:sz w:val="19"/>
              </w:rPr>
              <w:t>30%</w:t>
            </w:r>
          </w:p>
        </w:tc>
        <w:tc>
          <w:tcPr>
            <w:tcW w:type="dxa" w:w="3312"/>
          </w:tcPr>
          <w:p>
            <w:r>
              <w:rPr>
                <w:sz w:val="19"/>
              </w:rPr>
            </w:r>
            <w:r>
              <w:rPr>
                <w:sz w:val="19"/>
              </w:rPr>
              <w:t>Audit Box numeric throughout: orderings not levels, SD ÷ range for both sources, decoy generalized to a screening rule; verdict rules, feature by feature, which source you follow and cites the number behind it</w:t>
            </w:r>
          </w:p>
        </w:tc>
      </w:tr>
      <w:tr>
        <w:tc>
          <w:tcPr>
            <w:tcW w:type="dxa" w:w="3312"/>
          </w:tcPr>
          <w:p>
            <w:r>
              <w:rPr>
                <w:sz w:val="19"/>
              </w:rPr>
            </w:r>
            <w:r>
              <w:rPr>
                <w:sz w:val="19"/>
              </w:rPr>
              <w:t>Advise</w:t>
            </w:r>
          </w:p>
        </w:tc>
        <w:tc>
          <w:tcPr>
            <w:tcW w:type="dxa" w:w="3312"/>
          </w:tcPr>
          <w:p>
            <w:r>
              <w:rPr>
                <w:sz w:val="19"/>
              </w:rPr>
            </w:r>
            <w:r>
              <w:rPr>
                <w:sz w:val="19"/>
              </w:rPr>
              <w:t>10%</w:t>
            </w:r>
          </w:p>
        </w:tc>
        <w:tc>
          <w:tcPr>
            <w:tcW w:type="dxa" w:w="3312"/>
          </w:tcPr>
          <w:p>
            <w:r>
              <w:rPr>
                <w:sz w:val="19"/>
              </w:rPr>
            </w:r>
            <w:r>
              <w:rPr>
                <w:sz w:val="19"/>
              </w:rPr>
              <w:t>Three target/frame/POD recommendations, each with cited map evidence and a tag the Audit Box numbers defend</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Human-first draft documented; the four reflection prompts answered specifically, not generically</w:t>
            </w:r>
          </w:p>
        </w:tc>
      </w:tr>
    </w:tbl>
    <w:p/>
    <w:p>
      <w:pPr>
        <w:pStyle w:val="Heading2"/>
      </w:pPr>
      <w:r>
        <w:t>AI reflection (required)</w:t>
      </w:r>
    </w:p>
    <w:p>
      <w:r>
        <w:rPr>
          <w:b/>
        </w:rPr>
        <w:t>Human first.</w:t>
      </w:r>
      <w:r>
        <w:t xml:space="preserve"> Draft or plan this assignment yourselves before any AI touches it. That order is the point: it is the only way to see what AI actually adds — or quietly subtracts. Then use AI to improve your draft, and answer the four prompts below (2–4 sentences each, specific to THIS assignment):</w:t>
      </w:r>
    </w:p>
    <w:p>
      <w:r>
        <w:t>(a) The most important change we made after using AI was…</w:t>
      </w:r>
    </w:p>
    <w:p>
      <w:r>
        <w:t>(b) We accepted this change because…</w:t>
      </w:r>
    </w:p>
    <w:p>
      <w:r>
        <w:t>(c) We rejected or substantially revised the AI suggestion that…</w:t>
      </w:r>
    </w:p>
    <w:p>
      <w:r>
        <w:t>(d) One uncertainty or question that remains is…</w:t>
      </w:r>
    </w:p>
    <w:p>
      <w:r>
        <w:t>List the tools you used and for what. Generic answers ("AI helped us improve clarity") score zero on this category; name the actual change.</w:t>
      </w:r>
    </w:p>
    <w:p>
      <w:r>
        <w:t xml:space="preserve">One twist: this lab's </w:t>
      </w:r>
      <w:r>
        <w:rPr>
          <w:i/>
        </w:rPr>
        <w:t>subject</w:t>
      </w:r>
      <w:r>
        <w:t xml:space="preserve"> is AI output — these prompts cover how you used AI to build the exhibits, not the panel data itself. Fold the answers into PA8's AI reflection; nothing is submitted separately.</w:t>
      </w:r>
    </w:p>
    <w:p>
      <w:r>
        <w:br w:type="page"/>
      </w:r>
    </w:p>
    <w:p>
      <w:pPr>
        <w:pStyle w:val="Heading2"/>
      </w:pPr>
      <w:r>
        <w:t>Appendix A — Panel Audit Box (fill this out; half a page, boxed, inside the memo)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Check</w:t>
            </w:r>
          </w:p>
        </w:tc>
        <w:tc>
          <w:tcPr>
            <w:tcW w:type="dxa" w:w="2484"/>
          </w:tcPr>
          <w:p>
            <w:r>
              <w:rPr>
                <w:b/>
                <w:sz w:val="19"/>
              </w:rPr>
            </w:r>
            <w:r>
              <w:rPr>
                <w:b/>
                <w:sz w:val="19"/>
              </w:rPr>
              <w:t>Simulated panel says</w:t>
            </w:r>
          </w:p>
        </w:tc>
        <w:tc>
          <w:tcPr>
            <w:tcW w:type="dxa" w:w="2484"/>
          </w:tcPr>
          <w:p>
            <w:r>
              <w:rPr>
                <w:b/>
                <w:sz w:val="19"/>
              </w:rPr>
            </w:r>
            <w:r>
              <w:rPr>
                <w:b/>
                <w:sz w:val="19"/>
              </w:rPr>
              <w:t>Real data says</w:t>
            </w:r>
          </w:p>
        </w:tc>
        <w:tc>
          <w:tcPr>
            <w:tcW w:type="dxa" w:w="2484"/>
          </w:tcPr>
          <w:p>
            <w:r>
              <w:rPr>
                <w:b/>
                <w:sz w:val="19"/>
              </w:rPr>
            </w:r>
            <w:r>
              <w:rPr>
                <w:b/>
                <w:sz w:val="19"/>
              </w:rPr>
              <w:t>Verdict</w:t>
            </w:r>
          </w:p>
        </w:tc>
      </w:tr>
      <w:tr>
        <w:tc>
          <w:tcPr>
            <w:tcW w:type="dxa" w:w="2484"/>
          </w:tcPr>
          <w:p>
            <w:r>
              <w:rPr>
                <w:sz w:val="19"/>
              </w:rPr>
            </w:r>
            <w:r>
              <w:rPr>
                <w:b/>
                <w:sz w:val="19"/>
              </w:rPr>
              <w:t>Levels vs. ordering</w:t>
            </w:r>
            <w:r>
              <w:rPr>
                <w:sz w:val="19"/>
              </w:rPr>
              <w:t xml:space="preserve"> — compare product orderings and gaps only (sim 0–10, real 1–5; never raw levels)</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b/>
                <w:sz w:val="19"/>
              </w:rPr>
              <w:t>Variance compression</w:t>
            </w:r>
            <w:r>
              <w:rPr>
                <w:sz w:val="19"/>
              </w:rPr>
              <w:t xml:space="preserve"> — within-cell SD ÷ 10 (sim) vs. comparable item SD ÷ 4 (real); what would compression distort (segments, top-2-box, "polarizing" attributes)?</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b/>
                <w:sz w:val="19"/>
              </w:rPr>
              <w:t>Wrong-category decoy</w:t>
            </w:r>
            <w:r>
              <w:rPr>
                <w:sz w:val="19"/>
              </w:rPr>
              <w:t xml:space="preserve"> — which product, why excluded, and what the panel's fluent rating of it proves</w:t>
            </w:r>
          </w:p>
        </w:tc>
        <w:tc>
          <w:tcPr>
            <w:tcW w:type="dxa" w:w="2484"/>
          </w:tcPr>
          <w:p>
            <w:r>
              <w:rPr>
                <w:sz w:val="19"/>
              </w:rPr>
            </w:r>
          </w:p>
        </w:tc>
        <w:tc>
          <w:tcPr>
            <w:tcW w:type="dxa" w:w="2484"/>
          </w:tcPr>
          <w:p>
            <w:r>
              <w:rPr>
                <w:sz w:val="19"/>
              </w:rPr>
            </w:r>
          </w:p>
        </w:tc>
        <w:tc>
          <w:tcPr>
            <w:tcW w:type="dxa" w:w="2484"/>
          </w:tcPr>
          <w:p>
            <w:r>
              <w:rPr>
                <w:sz w:val="19"/>
              </w:rPr>
            </w:r>
          </w:p>
        </w:tc>
      </w:tr>
      <w:tr>
        <w:tc>
          <w:tcPr>
            <w:tcW w:type="dxa" w:w="2484"/>
          </w:tcPr>
          <w:p>
            <w:r>
              <w:rPr>
                <w:sz w:val="19"/>
              </w:rPr>
            </w:r>
            <w:r>
              <w:rPr>
                <w:b/>
                <w:sz w:val="19"/>
              </w:rPr>
              <w:t>Value for money (Tahoe)</w:t>
            </w:r>
            <w:r>
              <w:rPr>
                <w:sz w:val="19"/>
              </w:rPr>
              <w:t xml:space="preserve"> — sim's Tahoe value score vs. real barrier evidence (cost greatest barrier 59.7%; "too expensive" median $20,000 vs. the $23,000 price)</w:t>
            </w:r>
          </w:p>
        </w:tc>
        <w:tc>
          <w:tcPr>
            <w:tcW w:type="dxa" w:w="2484"/>
          </w:tcPr>
          <w:p>
            <w:r>
              <w:rPr>
                <w:sz w:val="19"/>
              </w:rPr>
            </w:r>
          </w:p>
        </w:tc>
        <w:tc>
          <w:tcPr>
            <w:tcW w:type="dxa" w:w="2484"/>
          </w:tcPr>
          <w:p>
            <w:r>
              <w:rPr>
                <w:sz w:val="19"/>
              </w:rPr>
            </w:r>
          </w:p>
        </w:tc>
        <w:tc>
          <w:tcPr>
            <w:tcW w:type="dxa" w:w="2484"/>
          </w:tcPr>
          <w:p>
            <w:r>
              <w:rPr>
                <w:sz w:val="19"/>
              </w:rPr>
            </w:r>
          </w:p>
        </w:tc>
      </w:tr>
    </w:tbl>
    <w:p/>
    <w:p>
      <w:r>
        <w:rPr>
          <w:b/>
        </w:rPr>
        <w:t>Map checklist (before you export):</w:t>
      </w:r>
    </w:p>
    <w:p>
      <w:pPr>
        <w:ind w:left="360"/>
      </w:pPr>
      <w:r>
        <w:rPr>
          <w:b/>
        </w:rPr>
        <w:t xml:space="preserve">☐  </w:t>
      </w:r>
      <w:r>
        <w:t>Both axes labeled with attribute wording + 0–10 scale</w:t>
      </w:r>
    </w:p>
    <w:p>
      <w:pPr>
        <w:ind w:left="360"/>
      </w:pPr>
      <w:r>
        <w:rPr>
          <w:b/>
        </w:rPr>
        <w:t xml:space="preserve">☐  </w:t>
      </w:r>
      <w:r>
        <w:t>All five products labeled on the plot; decoy off the map, exclusion argued in the memo</w:t>
      </w:r>
    </w:p>
    <w:p>
      <w:pPr>
        <w:ind w:left="360"/>
      </w:pPr>
      <w:r>
        <w:rPr>
          <w:b/>
        </w:rPr>
        <w:t xml:space="preserve">☐  </w:t>
      </w:r>
      <w:r>
        <w:t>Axis pair justified in one sentence</w:t>
      </w:r>
    </w:p>
    <w:p>
      <w:pPr>
        <w:ind w:left="360"/>
      </w:pPr>
      <w:r>
        <w:rPr>
          <w:b/>
        </w:rPr>
        <w:t xml:space="preserve">☐  </w:t>
      </w:r>
      <w:r>
        <w:t>Title names the data source and model</w:t>
      </w:r>
    </w:p>
    <w:p>
      <w:pPr>
        <w:ind w:left="360"/>
      </w:pPr>
      <w:r>
        <w:rPr>
          <w:b/>
        </w:rPr>
        <w:t xml:space="preserve">☐  </w:t>
      </w:r>
      <w:r>
        <w:t>Verdict row rules, feature by feature, which source you follow</w:t>
      </w:r>
    </w:p>
    <w:p>
      <w:pPr>
        <w:pStyle w:val="Heading2"/>
      </w:pPr>
      <w:r>
        <w:t>Appendix B — The data pack and the two build paths</w:t>
      </w:r>
    </w:p>
    <w:p>
      <w:r>
        <w:rPr>
          <w:b/>
        </w:rPr>
        <w:t>The pack (on Canvas):</w:t>
      </w:r>
      <w:r>
        <w:t xml:space="preserve"> </w:t>
      </w:r>
      <w:r>
        <w:rPr>
          <w:rFonts w:ascii="Courier New" w:hAnsi="Courier New"/>
        </w:rPr>
        <w:t>neo_panel_ratings.csv</w:t>
      </w:r>
      <w:r>
        <w:t xml:space="preserve"> — one row per synthetic rating (columns: model </w:t>
      </w:r>
      <w:r>
        <w:rPr>
          <w:rFonts w:ascii="Courier New" w:hAnsi="Courier New"/>
        </w:rPr>
        <w:t>gpt41</w:t>
      </w:r>
      <w:r>
        <w:t>/</w:t>
      </w:r>
      <w:r>
        <w:rPr>
          <w:rFonts w:ascii="Courier New" w:hAnsi="Courier New"/>
        </w:rPr>
        <w:t>gemini25</w:t>
      </w:r>
      <w:r>
        <w:t xml:space="preserve">, brand, attribute, rating 0–10) — plus </w:t>
      </w:r>
      <w:r>
        <w:rPr>
          <w:rFonts w:ascii="Courier New" w:hAnsi="Courier New"/>
        </w:rPr>
        <w:t>neo_panel_ratings_spread.csv</w:t>
      </w:r>
      <w:r>
        <w:t xml:space="preserve"> (per-cell means and SDs, for the variance check). </w:t>
      </w:r>
      <w:r>
        <w:rPr>
          <w:b/>
        </w:rPr>
        <w:t>Six products:</w:t>
      </w:r>
      <w:r>
        <w:t xml:space="preserve"> Tahoe Mini (Neo Smart Living — our client), WorkPod (Autonomous), Signature Series (Studio Home), Modern Shed, Kwik Room (Kanga Modern), and Casita (BOXABL — careful: see Step 2). </w:t>
      </w:r>
      <w:r>
        <w:rPr>
          <w:b/>
        </w:rPr>
        <w:t>Six attributes</w:t>
      </w:r>
      <w:r>
        <w:t xml:space="preserve">, each rated as </w:t>
      </w:r>
      <w:r>
        <w:rPr>
          <w:i/>
        </w:rPr>
        <w:t>"This product is known for [attribute]"</w:t>
      </w:r>
      <w:r>
        <w:t>: solid build quality and durability · modern design and curb appeal · a comfortable, productive workspace · good value for the money · fast, hassle-free delivery and installation · being a brand buyers trust.</w:t>
      </w:r>
    </w:p>
    <w:p>
      <w:r>
        <w:rPr>
          <w:b/>
        </w:rPr>
        <w:t>Path A — Excel/Sheets (no code):</w:t>
      </w:r>
      <w:r>
        <w:t xml:space="preserve"> Insert → PivotTable on the raw CSV; Rows = brand, Columns = attribute, Values = Average of rating; filter </w:t>
      </w:r>
      <w:r>
        <w:rPr>
          <w:rFonts w:ascii="Courier New" w:hAnsi="Courier New"/>
        </w:rPr>
        <w:t>model</w:t>
      </w:r>
      <w:r>
        <w:t xml:space="preserve"> to </w:t>
      </w:r>
      <w:r>
        <w:rPr>
          <w:rFonts w:ascii="Courier New" w:hAnsi="Courier New"/>
        </w:rPr>
        <w:t>gpt41</w:t>
      </w:r>
      <w:r>
        <w:t>; delete the excluded product's row; round to one decimal. Map: copy your two axis columns to a clean range → Insert → Scatter → add data labels (Chart Elements → Data Labels → Value From Cells → brand names).</w:t>
      </w:r>
    </w:p>
    <w:p>
      <w:r>
        <w:rPr>
          <w:b/>
        </w:rPr>
        <w:t>Path B — Python (provided snippet):</w:t>
      </w:r>
    </w:p>
    <w:p>
      <w:r>
        <w:t>```python</w:t>
      </w:r>
    </w:p>
    <w:p>
      <w:r>
        <w:t>import pandas as pd, matplotlib.pyplot as plt</w:t>
      </w:r>
    </w:p>
    <w:p>
      <w:r>
        <w:t>df = pd.read_csv("neo_panel_ratings.csv")</w:t>
      </w:r>
    </w:p>
    <w:p>
      <w:r>
        <w:t>df = df[df.model == "gpt41"]</w:t>
      </w:r>
    </w:p>
    <w:p>
      <w:r>
        <w:t>df = df[df.brand != "???"]          # your Step 2 exclusion — name it and justify it in the memo</w:t>
      </w:r>
    </w:p>
    <w:p>
      <w:r>
        <w:t>m = df.pivot_table(index="brand", columns="attribute",</w:t>
      </w:r>
    </w:p>
    <w:p>
      <w:r>
        <w:t>values="rating", aggfunc="mean").round(1)</w:t>
      </w:r>
    </w:p>
    <w:p>
      <w:r>
        <w:t>print(m)                             # exhibit: means matrix</w:t>
      </w:r>
    </w:p>
    <w:p>
      <w:r>
        <w:t>x = "good value for the money"       # your justified axis pair</w:t>
      </w:r>
    </w:p>
    <w:p>
      <w:r>
        <w:t>y = "solid build quality and durability"</w:t>
      </w:r>
    </w:p>
    <w:p>
      <w:r>
        <w:t>ax = m.plot.scatter(x=x, y=y, s=60)</w:t>
      </w:r>
    </w:p>
    <w:p>
      <w:r>
        <w:t>for b, r in m.iterrows():</w:t>
      </w:r>
    </w:p>
    <w:p>
      <w:r>
        <w:t>ax.annotate(b, (r[x], r[y]), fontsize=8,</w:t>
      </w:r>
    </w:p>
    <w:p>
      <w:r>
        <w:t>xytext=(4, 4), textcoords="offset points")</w:t>
      </w:r>
    </w:p>
    <w:p>
      <w:r>
        <w:t>ax.set_title("Prefab backyard studios — simulated panel (GPT-4.1), 0–10")</w:t>
      </w:r>
    </w:p>
    <w:p>
      <w:r>
        <w:t>plt.savefig("pmap.png", dpi=200, bbox_inches="tight")</w:t>
      </w:r>
    </w:p>
    <w:p>
      <w:r>
        <w:t>```</w:t>
      </w:r>
    </w:p>
    <w:p>
      <w:r>
        <w:t xml:space="preserve">Either path earns full credit. Averaging the two models or running a PCA map instead is fine — </w:t>
      </w:r>
      <w:r>
        <w:rPr>
          <w:b/>
        </w:rPr>
        <w:t>if</w:t>
      </w:r>
      <w:r>
        <w:t xml:space="preserve"> the axes are still named and interpreted.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