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10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Write-up: Tue Sep 15, 11:59 PM Pacific (every student); Team 1 presents Wed Sep 16 in class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</w:t>
            </w:r>
            <w:r>
              <w:rPr>
                <w:b/>
                <w:sz w:val="19"/>
              </w:rPr>
              <w:t>two files in one submission</w:t>
            </w:r>
            <w:r>
              <w:rPr>
                <w:sz w:val="19"/>
              </w:rPr>
              <w:t xml:space="preserve">, one set per student: (1)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; (2) your tutor </w:t>
            </w:r>
            <w:r>
              <w:rPr>
                <w:b/>
                <w:sz w:val="19"/>
              </w:rPr>
              <w:t>transcript</w:t>
            </w:r>
            <w:r>
              <w:rPr>
                <w:sz w:val="19"/>
              </w:rPr>
              <w:t xml:space="preserve"> as a second file (</w:t>
            </w:r>
            <w:r>
              <w:rPr>
                <w:b/>
                <w:sz w:val="19"/>
              </w:rPr>
              <w:t>.docx or .pdf</w:t>
            </w:r>
            <w:r>
              <w:rPr>
                <w:sz w:val="19"/>
              </w:rPr>
              <w:t>, the whole chat pasted from the top); Team 1 uploads slides to the separate 10-point Mini-Case Presentation team assignment before class</w:t>
            </w:r>
          </w:p>
        </w:tc>
      </w:tr>
    </w:tbl>
    <w:p/>
    <w:p>
      <w:r>
        <w:rPr>
          <w:b/>
        </w:rPr>
        <w:t>Two different things each week.</w:t>
      </w:r>
      <w:r>
        <w:t xml:space="preserve"> </w:t>
      </w:r>
      <w:r>
        <w:rPr>
          <w:i/>
        </w:rPr>
        <w:t>Everyone</w:t>
      </w:r>
      <w:r>
        <w:t xml:space="preserve"> writes up </w:t>
      </w:r>
      <w:r>
        <w:rPr>
          <w:i/>
        </w:rPr>
        <w:t>this</w:t>
      </w:r>
      <w:r>
        <w:t xml:space="preserve"> case. One team presents the case named in its Canvas group ("Team N presents Case N+1"); the group name never changes which write-up is due.</w:t>
      </w:r>
    </w:p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correctly, the RQ-typing half of problem definition and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 classify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tells you which statistical test to run later; mistype it now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and the </w:t>
      </w:r>
      <w:r>
        <w:rPr>
          <w:b/>
        </w:rPr>
        <w:t>Research Question Types handout</w:t>
      </w:r>
      <w:r>
        <w:t xml:space="preserve">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changed) + your transcript as a second file. Individual work. The tutor quizzes and challenges rather than answering.*</w:t>
      </w:r>
    </w:p>
    <w:p>
      <w:pPr>
        <w:ind w:left="432" w:hanging="432"/>
      </w:pPr>
      <w:r>
        <w:t>1.</w:t>
        <w:tab/>
      </w: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ind w:left="432" w:hanging="432"/>
      </w:pPr>
      <w:r>
        <w:t>2.</w:t>
        <w:tab/>
      </w: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ind w:left="432" w:hanging="432"/>
      </w:pPr>
      <w:r>
        <w:t>3.</w:t>
        <w:tab/>
      </w: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ind w:left="432" w:hanging="432"/>
      </w:pPr>
      <w:r>
        <w:t>4.</w:t>
        <w:tab/>
      </w: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ind w:left="432" w:hanging="432"/>
      </w:pPr>
      <w:r>
        <w:t>5.</w:t>
        <w:tab/>
      </w: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ind w:left="432" w:hanging="432"/>
      </w:pPr>
      <w:r>
        <w:t>6.</w:t>
        <w:tab/>
      </w: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Two references, both in hand: (1) the </w:t>
      </w:r>
      <w:r>
        <w:rPr>
          <w:b/>
        </w:rPr>
        <w:t>Research Question Types handout</w:t>
      </w:r>
      <w:r>
        <w:t xml:space="preserve"> — Descriptive / Differences / Association and the decision rule (short form in Appendix C; full handout on this card and on Canvas). </w:t>
      </w:r>
      <w:r>
        <w:rPr>
          <w:b/>
        </w:rPr>
        <w:t>It is the reference for typing the RQs: the textbook spreads the three types across Ch. 10–12.</w:t>
      </w:r>
      <w:r>
        <w:t xml:space="preserve"> You may attach the handout to the tutor. (2)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for how research questions follow from the research objectives; it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and the course's Research Question Types handout (Descriptive / Differences / Association, with the decision rule — the textbook has no single chapter on this) in front of me and may attach their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to the separate Mini-Case Presentation team assignment before class</w:t>
      </w:r>
    </w:p>
    <w:p>
      <w:pPr>
        <w:ind w:left="360"/>
      </w:pPr>
      <w:r>
        <w:rPr>
          <w:b/>
        </w:rPr>
        <w:t xml:space="preserve">☐  </w:t>
      </w:r>
      <w:r>
        <w:t xml:space="preserve">Your tutor transcript as a </w:t>
      </w:r>
      <w:r>
        <w:rPr>
          <w:b/>
        </w:rPr>
        <w:t>second file</w:t>
      </w:r>
      <w:r>
        <w:t xml:space="preserve"> in the same submission (.docx or .pdf; scroll to the very top of the chat before select-all). Not a link, not a summary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fresh, no prior recording to study. In a </w:t>
      </w:r>
      <w:r>
        <w:rPr>
          <w:b/>
        </w:rPr>
        <w:t>20-minute block (15 min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final exam,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</w:t>
      </w:r>
    </w:p>
    <w:p>
      <w:r>
        <w:rPr>
          <w:b/>
        </w:rPr>
        <w:t>Presentation (10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apply, including the Differences rewrite test ("Does X differ between [group A] and [group B]?" — groups of respondents, not answer options);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file attached and complete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Attach the full transcript as a second file.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case, the chapter, and the RQ-types handout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 or the handout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</w:t>
            </w:r>
            <w:r>
              <w:rPr>
                <w:sz w:val="19"/>
              </w:rPr>
              <w:t xml:space="preserve"> — attached as the second file in this submission (.docx or .pdf, whole chat pasted from the top). Write the filename here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p>
      <w:r>
        <w:t xml:space="preserve">*Short form of the </w:t>
      </w:r>
      <w:r>
        <w:rPr>
          <w:b/>
        </w:rPr>
        <w:t>Research Question Types</w:t>
      </w:r>
      <w:r>
        <w:t xml:space="preserve"> handout on Canvas (full examples and traps there). Names follow Burns &amp; Veeck 10e Ch. 10–12.*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one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one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Percentages, means, confidence intervals (Ch. 10, Week 8)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groups compared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t-test / ANOVA if the analysis variable is measured (Ch. 11, Week 9); cross-tab + chi-square if it is categorical (Ch. 12, Week 11)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two measures co-vary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quantities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a measured quantity on every respondent (income and purchase frequency; age and frequency): as one rises, does the other rise or fall? Both interval-level; 5+-point rating scales count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measured variables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Pearson correlation (Ch. 12; correlation video with the exam-review package)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both variables are measured quantities on every respondent,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rewrite test for Differences:</w:t>
      </w:r>
      <w:r>
        <w:t xml:space="preserve"> every Differences RQ can be rephrased *"Does [analysis variable] differ </w:t>
      </w:r>
      <w:r>
        <w:rPr>
          <w:b/>
        </w:rPr>
        <w:t>between [group A] and [group B]</w:t>
      </w:r>
      <w:r>
        <w:t>?"</w:t>
      </w:r>
      <w:r>
        <w:rPr>
          <w:i/>
        </w:rPr>
        <w:t xml:space="preserve"> where A and B are kinds of </w:t>
      </w:r>
      <w:r>
        <w:t>respondents*. If the rewrite will not work, it is not a Differences RQ.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compared, and the rewrite test fails (supermarket and florist are answer options, not people).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A cross-tab is still Differences here.</w:t>
      </w:r>
      <w:r>
        <w:t xml:space="preserve"> The textbook discusses cross-tabs and chi-square in Chapter 12 under "associations." In this course any RQ with a grouping variable is labeled </w:t>
      </w:r>
      <w:r>
        <w:rPr>
          <w:b/>
        </w:rPr>
        <w:t>Differences</w:t>
      </w:r>
      <w:r>
        <w:t xml:space="preserve">, whichever test follows; </w:t>
      </w:r>
      <w:r>
        <w:rPr>
          <w:b/>
        </w:rPr>
        <w:t>Association</w:t>
      </w:r>
      <w:r>
        <w:t xml:space="preserve"> is reserved for two measured quantities analyzed with Pearson correlation.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