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11,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the filled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round </w:t>
      </w:r>
      <w:r>
        <w:rPr>
          <w:b/>
        </w:rPr>
        <w:t>r10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pStyle w:val="ListNumber"/>
      </w:pPr>
      <w:r>
        <w:rPr>
          <w:b/>
        </w:rPr>
        <w:t>Choose 4–6 named physical locations</w:t>
      </w:r>
      <w:r>
        <w:t xml:space="preserve"> (plus at most one friends-and-family supplemental row). At least one location should be a term event from the events list on Canvas — or say explicitly why you're skipping the events.</w:t>
      </w:r>
    </w:p>
    <w:p>
      <w:pPr>
        <w:pStyle w:val="ListNumber"/>
      </w:pPr>
      <w:r>
        <w:rPr>
          <w:b/>
        </w:rPr>
        <w:t>Fill the fielding grid</w:t>
      </w:r>
      <w:r>
        <w:t xml:space="preserve"> (Appendix A): specific dates (not "flexible"), realistic time blocks, a target-segment rationale for every location, and an assigned team member on every row.</w:t>
      </w:r>
    </w:p>
    <w:p>
      <w:pPr>
        <w:pStyle w:val="ListNumber"/>
      </w:pPr>
      <w:r>
        <w:rPr>
          <w:b/>
        </w:rPr>
        <w:t>Estimate completes honestly.</w:t>
      </w:r>
      <w:r>
        <w:t xml:space="preserve"> Benchmarks: one member doing in-person intercepts completes roughly 5–15 surveys per hour in a high-traffic spot; an unpaid social post typically yields under 20 total. Plan a buffer above the 5 × team size target to absorb disqualifications.</w:t>
      </w:r>
    </w:p>
    <w:p>
      <w:pPr>
        <w:pStyle w:val="ListNumber"/>
      </w:pP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pStyle w:val="ListNumber"/>
      </w:pP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pStyle w:val="ListNumber"/>
      </w:pPr>
      <w:r>
        <w:rPr>
          <w:b/>
        </w:rPr>
        <w:t>Name the method honestly:</w:t>
      </w:r>
      <w:r>
        <w:t xml:space="preserve"> convenience sampling with a 50/50 gender quota and a homeowner / usable-outdoor-space screener — plus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column, every row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gender quota + screeners,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 term event used or its skip justified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+ 50/50 gender quota + screener named and justified;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</w:tbl>
    <w:p/>
    <w:p>
      <w:r>
        <w:rPr>
          <w:b/>
        </w:rPr>
        <w:t>Two example rows — this is the level of specificity expected (invent your own venues):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