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at your final-exam session; exact slot on Canvas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(SlideDocs report) + the filled skeleton checklist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round </w:t>
      </w:r>
      <w:r>
        <w:rPr>
          <w:b/>
        </w:rPr>
        <w:t>r12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pStyle w:val="ListNumber"/>
      </w:pP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pStyle w:val="ListNumber"/>
      </w:pPr>
      <w:r>
        <w:rPr>
          <w:b/>
        </w:rPr>
        <w:t>Write Methods as past-tense prose with the numbers:</w:t>
      </w:r>
      <w:r>
        <w:t xml:space="preserve"> invitations → refusals → nonqualified → final n, the response rate, demographics, and an honest representativeness assessment for both samples (aytm n = 600 and your student survey).</w:t>
      </w:r>
    </w:p>
    <w:p>
      <w:pPr>
        <w:pStyle w:val="ListNumber"/>
      </w:pP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pStyle w:val="ListNumber"/>
      </w:pP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pStyle w:val="ListNumber"/>
      </w:pP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pStyle w:val="ListNumber"/>
      </w:pP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PDF: SlideDocs report, ≤13-pt font,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≤13-pt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invitations → refusals → nonqualified → final n,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font ≤13 pt; body text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tense, client addressed as Mr./Ms.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